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小论文_中文初稿_写作说明</w:t>
      </w:r>
    </w:p>
    <w:p>
      <w:pPr>
        <w:pStyle w:val="Heading1"/>
      </w:pPr>
      <w:r>
        <w:t>1 正文总字数</w:t>
      </w:r>
    </w:p>
    <w:p>
      <w:pPr>
        <w:ind w:firstLine="420"/>
      </w:pPr>
      <w:r>
        <w:t>第1—5章叙述文字共8892个汉字。按汉字逐字计数，排除章节标题、图题、图注、表格、参考文献及补充材料说明；英文字母、数字、标点不计入。</w:t>
      </w:r>
    </w:p>
    <w:p>
      <w:pPr>
        <w:ind w:firstLine="420"/>
      </w:pPr>
      <w:r>
        <w:t>分章汉字数：1 引言 1358；2 数据与方法 2606；3 结果 2735；4 讨论 1779；5 结论 414。</w:t>
      </w:r>
    </w:p>
    <w:p>
      <w:pPr>
        <w:pStyle w:val="Heading1"/>
      </w:pPr>
      <w:r>
        <w:t>2 摘要字数</w:t>
      </w:r>
    </w:p>
    <w:p>
      <w:pPr>
        <w:ind w:firstLine="420"/>
      </w:pPr>
      <w:r>
        <w:t>摘要叙述文字共361个汉字，不含标题和关键词；与正文采用相同计数规则。</w:t>
      </w:r>
    </w:p>
    <w:p>
      <w:pPr>
        <w:pStyle w:val="Heading1"/>
      </w:pPr>
      <w:r>
        <w:t>3 图数量</w:t>
      </w:r>
    </w:p>
    <w:p>
      <w:pPr>
        <w:ind w:firstLine="420"/>
      </w:pPr>
      <w:r>
        <w:t>正文共8幅图，每幅均嵌入中文PNG，并保留对应SVG。图1—8分别为检测覆盖、连续评分预测、规划初始状态、共同资源下长期评分与增益、代表资源轨迹、同seed排程配对、代表方案年度变化、年评分下降量敏感性。</w:t>
      </w:r>
    </w:p>
    <w:p>
      <w:pPr>
        <w:pStyle w:val="Heading1"/>
      </w:pPr>
      <w:r>
        <w:t>4 表数量</w:t>
      </w:r>
    </w:p>
    <w:p>
      <w:pPr>
        <w:ind w:firstLine="420"/>
      </w:pPr>
      <w:r>
        <w:t>正文共6张编号主表。表6分A、B、C三个面板，使用3个Word原生表格呈现；合计8个物理表格。表6C仅保留代表B=1.513358的一行配对结果，完整七档数据放补充材料。</w:t>
      </w:r>
    </w:p>
    <w:p>
      <w:pPr>
        <w:pStyle w:val="Heading1"/>
      </w:pPr>
      <w:r>
        <w:t>5 研究问题与回答章节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3005"/>
        <w:gridCol w:w="3969"/>
      </w:tblGrid>
      <w:tr>
        <w:trPr>
          <w:tblHeader/>
          <w:cantSplit/>
        </w:trPr>
        <w:tc>
          <w:tcPr>
            <w:tcW w:type="dxa" w:w="2665"/>
            <w:shd w:fill="F0F2F4"/>
            <w:vAlign w:val="center"/>
          </w:tcPr>
          <w:p>
            <w:pPr>
              <w:spacing w:after="40" w:before="40" w:line="250" w:lineRule="auto"/>
            </w:pPr>
            <w:r>
              <w:rPr>
                <w:sz w:val="17"/>
              </w:rPr>
              <w:t>研究问题</w:t>
            </w:r>
          </w:p>
        </w:tc>
        <w:tc>
          <w:tcPr>
            <w:tcW w:type="dxa" w:w="3005"/>
            <w:shd w:fill="F0F2F4"/>
            <w:vAlign w:val="center"/>
          </w:tcPr>
          <w:p>
            <w:pPr>
              <w:spacing w:after="40" w:before="40" w:line="250" w:lineRule="auto"/>
            </w:pPr>
            <w:r>
              <w:rPr>
                <w:sz w:val="17"/>
              </w:rPr>
              <w:t>主要回答位置</w:t>
            </w:r>
          </w:p>
        </w:tc>
        <w:tc>
          <w:tcPr>
            <w:tcW w:type="dxa" w:w="3969"/>
            <w:shd w:fill="F0F2F4"/>
            <w:vAlign w:val="center"/>
          </w:tcPr>
          <w:p>
            <w:pPr>
              <w:spacing w:after="40" w:before="40" w:line="250" w:lineRule="auto"/>
            </w:pPr>
            <w:r>
              <w:rPr>
                <w:sz w:val="17"/>
              </w:rPr>
              <w:t>相关说明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40" w:before="40" w:line="250" w:lineRule="auto"/>
            </w:pPr>
            <w:r>
              <w:rPr>
                <w:sz w:val="17"/>
              </w:rPr>
              <w:t>RQ1 历史信息预测精度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50" w:lineRule="auto"/>
            </w:pPr>
            <w:r>
              <w:rPr>
                <w:sz w:val="17"/>
              </w:rPr>
              <w:t>2.1—2.2；3.1；4.1；结论第1点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50" w:lineRule="auto"/>
            </w:pPr>
            <w:r>
              <w:rPr>
                <w:sz w:val="17"/>
              </w:rPr>
              <w:t>216条时间外测试，按RMSE与MAE解释模型选择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40" w:before="40" w:line="250" w:lineRule="auto"/>
            </w:pPr>
            <w:r>
              <w:rPr>
                <w:sz w:val="17"/>
              </w:rPr>
              <w:t>RQ2 规划初始状态与养护时机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50" w:lineRule="auto"/>
            </w:pPr>
            <w:r>
              <w:rPr>
                <w:sz w:val="17"/>
              </w:rPr>
              <w:t>2.3、2.6；3.2；4.2；结论第2—3点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50" w:lineRule="auto"/>
            </w:pPr>
            <w:r>
              <w:rPr>
                <w:sz w:val="17"/>
              </w:rPr>
              <w:t>30组同seed配对为主要证据，同时解释J与ΔJ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40" w:before="40" w:line="250" w:lineRule="auto"/>
            </w:pPr>
            <w:r>
              <w:rPr>
                <w:sz w:val="17"/>
              </w:rPr>
              <w:t>RQ3 资源与长期状态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50" w:lineRule="auto"/>
            </w:pPr>
            <w:r>
              <w:rPr>
                <w:sz w:val="17"/>
              </w:rPr>
              <w:t>2.4—2.6；3.3—3.4；4.3；结论第4点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50" w:lineRule="auto"/>
            </w:pPr>
            <w:r>
              <w:rPr>
                <w:sz w:val="17"/>
              </w:rPr>
              <w:t>共同绝对B；代表排程仅展示年度变化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40" w:before="40" w:line="250" w:lineRule="auto"/>
            </w:pPr>
            <w:r>
              <w:rPr>
                <w:sz w:val="17"/>
              </w:rPr>
              <w:t>情景敏感性与适用范围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 w:line="250" w:lineRule="auto"/>
            </w:pPr>
            <w:r>
              <w:rPr>
                <w:sz w:val="17"/>
              </w:rPr>
              <w:t>3.5；4.4；结论第5点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 w:line="250" w:lineRule="auto"/>
            </w:pPr>
            <w:r>
              <w:rPr>
                <w:sz w:val="17"/>
              </w:rPr>
              <w:t>固定B下比较d，保留数据与情景参数限制</w:t>
            </w:r>
          </w:p>
        </w:tc>
      </w:tr>
    </w:tbl>
    <w:p>
      <w:pPr>
        <w:pStyle w:val="Heading1"/>
      </w:pPr>
      <w:r>
        <w:t>6 正文使用的关键数字清单</w:t>
      </w:r>
    </w:p>
    <w:p>
      <w:pPr>
        <w:ind w:firstLine="420"/>
      </w:pPr>
      <w:r>
        <w:t>下表复用冻结CSV中的结果及已经确认的方法设置，不进行模型训练、状态递推或随机优化。显示精度与正文保持一致，完整精度保留在随附CSV中。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shd w:fill="F0F2F4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项目</w:t>
            </w:r>
          </w:p>
        </w:tc>
        <w:tc>
          <w:tcPr>
            <w:tcW w:type="dxa" w:w="6803"/>
            <w:shd w:fill="F0F2F4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关键数字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数据范围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2012—2024年；59个检测单元；767个潜在单元—年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有效评分与缺失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全桥387有效/380缺失；上部结构380有效/387缺失；成对有效380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2024规划初始状态构成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6个实测单元、53个估计单元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验证设置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2018—2024扩展窗口；328条历史转移、216条主要测试；间隔1/2/3/4年分别123/144/55/6条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预测参数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10项特征；Ridge正则化参数10；XGBoost 200棵树、深度2、学习率0.03、最小子节点权重10、抽样0.8、二范数参数5、seed=20260908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LOCF时间外预测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n=216；RMSE=4.9971；MAE=3.7128；R²=-0.0104；r=0.5862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Ridge时间外预测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n=216；RMSE=4.0771；MAE=3.0332；R²=0.3274；r=0.5820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XGBoost时间外预测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n=216；RMSE=4.6146；MAE=3.6122；R²=0.1384；r=0.5486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LOCF规划初始状态/基线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90.6417±3.8398；范围81.18—98.51；J₀=83.8167；2044无养护均分77.6417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Ridge规划初始状态/基线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92.2957±3.0024；范围84.64—98.41；J₀=85.4707；2044无养护均分79.2957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规划情景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2025—2044年；d=0.65分/年，敏感性0.45与0.85；R=6分；年度≤8个，同单元间隔≥3年、累计≤3次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管理条件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全部年末评分&gt;60；至少57/59个&gt;75；程序阈值容差10⁻⁸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七档共同资源B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0.215150、0.647886、1.080622、1.513358、1.946093、2.378829、2.811565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求解设置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177维；种群30；每次10000次候选评价；每档30个seed，20261015—20261044；420次主实验，60次额外d情景，10次I-GJO；176次候选预处理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代表B下绝对J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LOCF 90.6162±0.5326；Ridge 92.5847±0.1579；Ridge−LOCF 1.9684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代表B下ΔJ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LOCF 6.7995；Ridge 7.1139；差0.3144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代表B下Jaccard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0.0687±0.0228；中位数0.0700；Q25—Q75 0.0534—0.0794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代表B下首次养护年差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运行级MAE均值2.9224年、中位数2.86年；Q25—Q75 2.59—3.18年；同年单元数均值7.43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代表B下行动数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LOCF 97.13；Ridge 107.43；Ridge−LOCF 10.30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最高资源档配对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Jaccard均值0.8613；首次年MAE均值0.0011年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LOCF资源响应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J均值85.0848→92.2101；增加7.1253分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Ridge资源响应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J均值87.7321→93.8523；增加6.1202分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d=0.45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J=92.8642±0.3567；ΔJ=6.9475；2044均分91.8170；平均行动数103.60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d=0.65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J=90.6162±0.5326；ΔJ=6.7995；2044均分87.4287；平均行动数97.13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d=0.85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J=88.2388±0.5569；ΔJ=6.5221；2044均分82.7458；平均行动数89.77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代表资源档面积诊断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50" w:lineRule="auto"/>
            </w:pPr>
            <w:r>
              <w:rPr>
                <w:sz w:val="16"/>
              </w:rPr>
              <w:t>LOCF Spearman=-0.0723；Ridge Spearman=-0.0890</w:t>
            </w:r>
          </w:p>
        </w:tc>
      </w:tr>
    </w:tbl>
    <w:p>
      <w:pPr>
        <w:pStyle w:val="Heading1"/>
      </w:pPr>
      <w:r>
        <w:t>7 放入补充材料的结果</w:t>
      </w:r>
    </w:p>
    <w:p>
      <w:pPr>
        <w:ind w:firstLine="420"/>
      </w:pPr>
      <w:r>
        <w:t>逐seed主实验与年评分下降量情景；七档完整同seed排程配对、逐对及逐单元明细；10组GJO/I-GJO对照；资源跨档固定排程复算及可行目标值下界；面积—养护次数相关与四分位组；详细年度状态；完整代表排程；独立复算与输入冻结校验。补充材料目录见正文末尾及supplementary/supplementary_index.csv。</w:t>
      </w:r>
    </w:p>
    <w:p>
      <w:pPr>
        <w:pStyle w:val="Heading1"/>
      </w:pPr>
      <w:r>
        <w:t>8 主动限制的结论</w:t>
      </w:r>
    </w:p>
    <w:p>
      <w:pPr>
        <w:ind w:firstLine="420"/>
      </w:pPr>
      <w:r>
        <w:t>预测结论限于既有59个检测单元的216条时间外测试；少样本年份和缺少外部桥梁验证限制了推广。历史误差较低不证明53个2024缺测值已经得到同期真值验证。</w:t>
      </w:r>
    </w:p>
    <w:p>
      <w:pPr>
        <w:ind w:firstLine="420"/>
      </w:pPr>
      <w:r>
        <w:t>同seed配对展示具体排程差异，但离散非凸问题和有限随机搜索仍带来波动，不能把全部差异归因于规划初始状态；代表方案只用于展示。</w:t>
      </w:r>
    </w:p>
    <w:p>
      <w:pPr>
        <w:ind w:firstLine="420"/>
      </w:pPr>
      <w:r>
        <w:t>绝对J差与扣除各自基线后的ΔJ差分别解释；相对养护增益没有固定规划初始状态排序。资源响应为当前模型下的情景结果，不认定严格单调的单位资源改善或现实最优资源水平。</w:t>
      </w:r>
    </w:p>
    <w:p>
      <w:pPr>
        <w:ind w:firstLine="420"/>
      </w:pPr>
      <w:r>
        <w:t>d与R均为未经养护事件校准的情景参数；行动次数变化只反映当前资源下的对象与年份配置，不据此判断真实养护需求。</w:t>
      </w:r>
    </w:p>
    <w:p>
      <w:pPr>
        <w:ind w:firstLine="420"/>
      </w:pPr>
      <w:r>
        <w:t>面积资源是相对工作量指标，未计入病害、工艺、单价及货币费用；单元等权目标与面积资源可能影响选择。代表资源相关接近0不能排除其他资源档的偏好。</w:t>
      </w:r>
    </w:p>
    <w:p>
      <w:pPr>
        <w:ind w:firstLine="420"/>
      </w:pPr>
      <w:r>
        <w:t>全部&gt;60且至少57/59个&gt;75是本文管理条件。评分区间映射不替代完整正式技术状况评定；有限搜索不构成数学最优性证明，公共候选背景下的可行数量不解释为发现可行解的概率或管理风险。</w:t>
      </w:r>
    </w:p>
    <w:p>
      <w:pPr>
        <w:ind w:firstLine="420"/>
      </w:pPr>
      <w:r>
        <w:t>参考文献依据原稿、所附标准PDF及官方软件引用资料整理；出版社在线核验受访问限制，未将本地书目信息核对表述为全部已在线核实。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35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中文初稿 · 写作说明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60" w:line="283" w:lineRule="auto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小论文_中文初稿_写作说明</dc:title>
  <dc:subject>低频桥梁检测、规划初始状态与预防性养护时机</dc:subject>
  <dc:creator/>
  <cp:keywords>桥梁状态预测；规划初始状态；预防性养护；归一化养护资源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