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图片优化说明</w:t>
      </w:r>
    </w:p>
    <w:p>
      <w:r>
        <w:t>本次以作者新上传、已经手动修正的Word为唯一底稿，仅优化图1—图7；未覆盖任何输入文件。</w:t>
      </w:r>
    </w:p>
    <w:p>
      <w:r>
        <w:t>7图均基于既有原始绘图脚本、冻结CSV或已保存预测/排程结果重绘。改进限于字体、配色、线型、标记、图例、边距和输出质量。未重新训练模型、运行优化求解或改动论文统计汇总。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860"/>
        <w:gridCol w:w="8780"/>
      </w:tblGrid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图片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视觉改进（均已重绘）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图1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对齐年度折线与下方两观测矩阵；共用缺测图例，线型与标记区分两类记录，年份及单元标签更清楚。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图2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统一三个模型散点图比例与坐标；圆、方、三角标记辅助灰度区分，优化点透明度；直接读取既存误差指标，误差柱以填充和纹理区分。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图3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突出53个估计初值与6个当年实测的标记差别，清理图例边框；保留原直方图分箱、零差参考线与全部散点。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图4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资源档刻度保留六位小数并旋转防拥挤；统一箱体、须线及离群点样式，有效配对数说明放图顶，避免遮盖数据。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图5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LOCF使用蓝色实线圆点，Ridge使用橙色虚线方点；空心菱形表示最好值，均值与样本SD层次更清楚，图例去边框。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图6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统一三行面板及年份轴；评分边界与年度能力线直接标注在留白区，弱化网格，提升曲线与养护数量的层次。</w:t>
            </w:r>
          </w:p>
        </w:tc>
      </w:tr>
      <w:tr>
        <w:trPr>
          <w:cantSplit/>
        </w:trPr>
        <w:tc>
          <w:tcPr>
            <w:tcW w:type="dxa" w:w="86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图7</w:t>
            </w:r>
          </w:p>
        </w:tc>
        <w:tc>
          <w:tcPr>
            <w:tcW w:type="dxa" w:w="8780"/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三种d情景统一绿、蓝、橙配色；以线型和点形辅助灰度阅读，均值/SD与最好值图例共用，优化箱线颜色及说明位置。</w:t>
            </w:r>
          </w:p>
        </w:tc>
      </w:tr>
    </w:tbl>
    <w:p>
      <w:r>
        <w:t>输出：output_figures/Figure_01_optimized 至 Figure_07_optimized，每图PNG、SVG、PDF各1份，共21份。PNG为600 dpi；SVG为矢量路径，PDF嵌入字体。Word采用高清PNG，以保留现有图片框、锚点和兼容性。</w:t>
      </w:r>
    </w:p>
    <w:p>
      <w:r>
        <w:t>科研数值改动：否。正文科研结论改动：否。Word仅替换7个PNG媒体部件，正文XML、表格、公式、引用、图题、页眉页脚及所有其他包部件逐字节不变；661份冻结科研输入哈希不变。</w:t>
      </w:r>
    </w:p>
    <w:p>
      <w:r>
        <w:t>当前Word实际页数：15页，与本次作者输入一致。逐页正文与图片框位置保持一致；题目、摘要形式及作者分页设置均保留。没有为套用旧稿格式而重建论文。</w:t>
      </w:r>
    </w:p>
    <w:p>
      <w:r>
        <w:t>本次图片优化范围内未完成事项：无。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图片优化说明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