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第一阶段状态预测与主动学习结果报告</w:t>
      </w:r>
    </w:p>
    <w:p>
      <w:r>
        <w:t>本报告依据《修改指令1》完成实际计算。原始Excel、Word与PDF均保留，输入副本SHA-256在运行前后完全一致。仅处理状态预测与检测排序；未运行或修改GJO、I-GJO、20年优化、预算及养护恢复量，也未改写最终摘要。</w:t>
      </w:r>
    </w:p>
    <w:p>
      <w:pPr>
        <w:pStyle w:val="Heading1"/>
      </w:pPr>
      <w:r>
        <w:t>1 数据核验</w:t>
      </w:r>
    </w:p>
    <w:p>
      <w:r>
        <w:t>检测单元59个，按初稿附表A1核验为34组；年份2012—2024，共767个潜在单元年度位置。全桥有效387条，上部结构有效380条；同期都有380条，仅全桥7条，仅上部结构0条，同步缺失380条。共有元数据逐项一致，没有非数值评分记录。</w:t>
      </w:r>
    </w:p>
    <w:p>
      <w:r>
        <w:t>全桥评分范围68.10—98.51，均值85.6541，中位数86.2600；上部结构范围46.20—100.00，均值80.6054，中位数82.9650。</w:t>
      </w:r>
    </w:p>
    <w:p>
      <w:r>
        <w:t>标准核对：上传PDF第16页、印刷页10的表3.3.2为桥跨技术状况分类界限，依次为(90,100]、(75,90]、(60,75]、(40,60]、[0,40]。第3.3.3条还有主要构件控制要求，第3.4节涉及全桥评定。本研究只能称为“依据JTG/T 5230—2026评分区间进行的技术状况等级映射”，不能宣称重新完成正式技术状况评定；对上部结构评分同样仅作区间描述。PDF封面标注2026年8月26日发布、11月1日实施；本报告依据用户提供文本，不另作外部发布状态认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评分类型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1类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2类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3类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4类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5类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super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63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90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whole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94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273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/>
    <w:p>
      <w:r>
        <w:t>全桥只出现1、2、3类，模型Q=3。标准完整五类定义保留，但没有生成或补造4、5类；后续概率均在观测到的1—3类上归一化，不能据此认定未来出现4、5类的概率为零。</w:t>
      </w:r>
    </w:p>
    <w:p>
      <w:r>
        <w:t>严格一年期转移123条；下一次真实检测转移328条，均来自真实相邻观测，没有用插值作标签。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/>
          <w:cantSplit/>
        </w:trPr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间隔/年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样本数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123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144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55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933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年度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全桥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上部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同期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同步缺失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仅全桥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仅上部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2020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2021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2023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2024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</w:tr>
    </w:tbl>
    <w:p/>
    <w:p>
      <w:r>
        <w:t>分组：直接读取初稿附表A1逐单元映射，再核对名称、桥长、建设年份及方向。Br26/Br27与Br40/Br41按初稿保守合组，虽然左右幅桩号相差1米；Br14/Br15净宽不同但同名同长，仍按初稿成组。34组是统计阻断组，尚未由资产编码证明为34座物理桥梁。</w:t>
      </w:r>
    </w:p>
    <w:p>
      <w:r>
        <w:drawing>
          <wp:inline xmlns:a="http://schemas.openxmlformats.org/drawingml/2006/main" xmlns:pic="http://schemas.openxmlformats.org/drawingml/2006/picture">
            <wp:extent cx="6192000" cy="251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1_grad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18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等级分布</w:t>
      </w:r>
    </w:p>
    <w:p>
      <w:pPr>
        <w:pStyle w:val="Heading1"/>
      </w:pPr>
      <w:r>
        <w:t>2 连续评分预测</w:t>
      </w:r>
    </w:p>
    <w:p>
      <w:r>
        <w:t>主分析采用下一次真实检测转移B，2018—2024扩展训练窗，训练标签年份严格早于测试年。测试量57/10/59/19/59/6/6，共216；训练量112/169/179/238/257/316/322。允许使用同单元的既往记录以评价既有清单时间外推；这与完全未见桥梁的分组留出任务不同。</w:t>
      </w:r>
    </w:p>
    <w:p>
      <w:r>
        <w:t>使用初稿相同的10个输入：目标服务龄、预测间隔、末次全桥评分、末次已知上部评分、上部历史缺失指示、桥长、净宽及3个路网功能类别指示。不使用目标年度实测或编号。上部评分始终不晚于current_year；无历史时按初稿用末次全桥分占位并保留缺失指示。Ridge训练内标准化、alpha=10；XGBoost按初稿固定配置：200棵、深度2、学习率0.03、min_child_weight=10、subsample=0.8、colsample_bytree=1、L2=5、L1=0、gamma=0、hist，单线程、seed=20260908。预测裁剪[0,100]，原始标签不裁剪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模型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样本数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RMSE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MAE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R²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LOCF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4.9971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3.7128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-0.0104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0.5862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Ridge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4.0771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3.0332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0.3274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0.5820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4.6146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3.6122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0.1384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0.5486</w:t>
            </w:r>
          </w:p>
        </w:tc>
      </w:tr>
    </w:tbl>
    <w:p/>
    <w:p>
      <w:r>
        <w:t>连续评分最优为Ridge，RMSE=4.0771。LOCF、Ridge及样本量、时间窗均复现初稿至报告精度。XGBoost本次RMSE=4.6146，与初稿4.688存在小幅差异。</w:t>
      </w:r>
    </w:p>
    <w:p>
      <w:r>
        <w:t>复现差异诊断：相同数据、样本定义、十个特征、Ridge系数惩罚与时间冻结规则均得到验证；原始运行代码、XGBoost版本和训练行顺序未提供。xgboost_order_sensitivity.csv在不改超参数的情况下仅改变训练行顺序，检验subsample随机抽样对结果的影响；主结果始终采用预先确定的“目标年—单元”顺序，不依据测试误差选取替代结果。现有证据可排除共同数据处理/样本/验证口径差异，但不足以唯一定位原XGBoost差异，不能声称精确复现其4.688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training_row_order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RMSE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MAE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Pearson_r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year_then_unit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4.6146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3.6122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0.1384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0.5486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unit_then_year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4.6763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3.6663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0.1152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0.5338</w:t>
            </w:r>
          </w:p>
        </w:tc>
      </w:tr>
    </w:tbl>
    <w:p/>
    <w:p>
      <w:r>
        <w:t>补充分析：严格一年期A在2018—2024仅有70条真实测试样本；没有测试观测的年度标为未运行，未填造年度标签。该任务与B的216条不同，不混合计算总体误差。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model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RMSE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MAE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R2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Pearson_r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LOCF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4.3081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3.1126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0.1146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0.5606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Ridge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3.9623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2.8596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0.2511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0.5768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70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4.5380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3.1506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0.0176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0.4613</w:t>
            </w:r>
          </w:p>
        </w:tc>
      </w:tr>
    </w:tbl>
    <w:p/>
    <w:p>
      <w:r>
        <w:t>年龄GP没有随原始代码提供，且本阶段为可选基准，未作为复现模型运行；不把初稿GP结果重新标记为本次验证结果。</w:t>
      </w:r>
    </w:p>
    <w:p>
      <w:pPr>
        <w:pStyle w:val="Heading1"/>
      </w:pPr>
      <w:r>
        <w:t>3 技术等级概率预测</w:t>
      </w:r>
    </w:p>
    <w:p>
      <w:r>
        <w:t>模型比较使用同一组216条时间外测试观测。输入为上述十个特征加末次已知等级与桥面面积；所有模型使用相同输入集合（Markov仅按当前等级转移）。Markov为带加一平滑的一阶经验转移，不建连续时间转移强度；不同间隔混合是其基准局限。Logistic为多项Logistic概率基准，不冒称有序Logistic；C=1，训练内标准化。XGBoost分类使用与回归相同的固定树配置。</w:t>
      </w:r>
    </w:p>
    <w:p>
      <w:r>
        <w:t>KELM明确命名为Probabilistic Ordinal Kernel ELM adaptation，不是原论文低秩Fast KELM的完全复现。编码M[q,j]=(j−q)²，Q=3时为[[0,1,4],[1,0,1],[4,1,0]]；RBF核，C=10，gamma=1/12，解(K+I/C)β=T，再按预测向量到编码行的L1距离NR，以数值稳定softmax(−NR)输出概率。超参数在外部评价前固定，未使用测试标签调参；概率未另行校准。</w:t>
      </w:r>
    </w:p>
    <w:p>
      <w:r>
        <w:t>RPS按升序类别的累计概率误差计算：每条样本对Q−1个非末端阈值平方误差求和后除以Q−1，再对样本平均。独立人工单元案例：真1类、确定预测1/2/3类时，RPS依次为0、0.5、1；跨两级错误惩罚更大。8项单元测试全部通过，含边界、未来上部评分扰动、稳定概率、Gower及隐藏标签访问约束。Macro-F1固定计算1—3类（某年无该类时其F1按0处理），QWK用二次加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model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RPS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Macro_F1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Grade_MAE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QWK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Markov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0.1194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0.7083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0.4190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0.2917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0.3123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Logistic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0.0967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0.7130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0.4634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0.2917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0.3962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0.1047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0.7315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0.4544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0.2685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0.3917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ProbabilisticOrdinalKELM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0.1163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0.7454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0.4836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0.2593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0.4510</w:t>
            </w:r>
          </w:p>
        </w:tc>
      </w:tr>
    </w:tbl>
    <w:p/>
    <w:p>
      <w:r>
        <w:t>以主要指标RPS判断，本配置下最优为Logistic（RPS=0.0967）。这不等于已验证统计显著优势或所有超参数下的全局最优。连续评分与等级概率任务分别选择模型。</w:t>
      </w:r>
    </w:p>
    <w:p>
      <w:r>
        <w:t>稀少类别诊断：216条测试标签中仅3条为3类（均在2020年）；四个模型均未将这3条识别为3类，3类召回率全为0。KELM较高的总体Accuracy不能掩盖这一问题，因此不应将本模型直接作为低等级桥梁筛查或安全预警工具。分年度QWK在真实与预测都只有同一类时无定义，CSV保留缺失值，报告用“—”显示，不伪造为0或1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/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model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true_grade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correct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recall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mean_true_class_probability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Logistic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0.0303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Markov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0.0515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ProbabilisticOrdinalKELM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0.0074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sz w:val="18"/>
              </w:rPr>
              <w:t>0.0249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92000" cy="35208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2_model_rps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2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概率预测RPS</w:t>
      </w:r>
    </w:p>
    <w:p>
      <w:r>
        <w:drawing>
          <wp:inline xmlns:a="http://schemas.openxmlformats.org/drawingml/2006/main" xmlns:pic="http://schemas.openxmlformats.org/drawingml/2006/picture">
            <wp:extent cx="6192000" cy="6021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3_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02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混淆矩阵</w:t>
      </w:r>
    </w:p>
    <w:p>
      <w:r>
        <w:t>补充分组与时间双重留出：按34组静态清单、seed=20260908选7组整体留出，其余27组仅保留2018年前已完成转移作为训练池；测试为留出组2018—2024真实转移。左右幅及同组所有记录保持同侧，且训练目标时间早于测试。这一任务更严格，测试组成不同，不与216条时间外推误差混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model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n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RPS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Accuracy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Macro_F1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Grade_MAE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QWK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Markov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0.1662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Logistic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0.1552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XGBoost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0.2147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ProbabilisticOrdinalKELM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</w:tbl>
    <w:p/>
    <w:p>
      <w:pPr>
        <w:pStyle w:val="Heading1"/>
      </w:pPr>
      <w:r>
        <w:t>4 主动学习与30次随机采样</w:t>
      </w:r>
    </w:p>
    <w:p>
      <w:r>
        <w:t>独立训练池89条，测试42条；初始标签14条，占15.7%，每轮新增5条，末轮按剩余量截断，最大89条。主种子20260908，随机后续查询种子20260909—20260938。两种方法共享完全相同的初始标签集、独立测试集、各轮预算和KELM配置；随机重复30次。初始标签按不看标签的随机序列获取，达到约15%并覆盖已审计1—3类即停止，所有初始查询都计入预算，没有扫描隐藏池标签做分层选样。</w:t>
      </w:r>
    </w:p>
    <w:p>
      <w:r>
        <w:t>Gower使用桥长、净宽、面积、目标服务龄、末次已知等级及路网功能类别，数值按训练池范围归一化，类别按相同/不同记0/1，六变量等权；长度/宽度/面积存在相关性，故几何信息有重复权重，尚未作权重敏感性分析。训练池聚类不使用任何目标标签或测试集特征；对k=3、4、5、6作average-linkage层次聚类，先要求最小簇≥max(3,ceil(0.03N))，在合格方案中按silhouette最高、并列选更小k。若无合格方案，优先最大化最小簇规模再比较silhouette。工程解释由簇的类型和几何/年龄统计核对，不通过测试RPS选择k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k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silhouette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min_cluster_size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max_cluster_size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minimum_acceptable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eligible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selected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0.5502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0.5761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0.5700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0.5766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cluster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size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length_mean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width_mean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age_min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age_max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types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226.6675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9.3562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匝道桥:16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200.3429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12.6429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主线桥:56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1742.2222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12.5000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主线桥:9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10.5000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12.5000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通道桥:8</w:t>
            </w:r>
          </w:p>
        </w:tc>
      </w:tr>
    </w:tbl>
    <w:p/>
    <w:p>
      <w:r>
        <w:t>每轮先训练，再对未标注池计算自然对数熵；按剩余簇规模以最大余数法分配额度，各簇内按熵降序查询。选定样本后才向独立LabelOracle读取标签。测试RPS仅用于事后绘图，不决定选样、停止、簇数或模型参数。历史回顾模拟的“标签”是一次转移记录，并不直接等于独立物理桥梁或现场检测成本；同训练桥组可含多次历史转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标签数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主动RPS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随机均值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随机SD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随机最好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随机最差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随机劣于主动占比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0.2343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0.0024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0.2257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0.2393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0.9000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0.2339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0.2360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0.0033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0.2245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0.2421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0.7333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0.2335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0.0064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0.2154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0.2433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0.7667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0.2376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0.2375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0.0049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0.2433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0.5333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0.2378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0.2382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0.0051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0.2202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0.2379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0.2401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0.0053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0.2236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0.2487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0.7333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0.2403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0.2412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0.2259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0.2550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0.6667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0.2396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0.2426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0.0044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0.2301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0.2522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0.8667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0.2399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0.2437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0.0045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0.2312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0.9333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0.2413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0.2451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0.0036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0.2379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0.2525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0.9000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0.2465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0.0032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0.2393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0.2525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0.6333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74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0.2456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0.2479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0.0032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0.2418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0.2558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0.7667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79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0.2454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0.2489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0.0028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0.2436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0.2537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0.9000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84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0.2498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0.2504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0.0023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0.2462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0.2541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0.6667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89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0.2514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0.0000</w:t>
            </w:r>
          </w:p>
        </w:tc>
      </w:tr>
    </w:tbl>
    <w:p/>
    <w:p>
      <w:r>
        <w:t>在不计相同初始点和全部标签终点的14个预算点中，主动RPS低于随机均值的有13个；其余1个不具备这一点位优势。</w:t>
      </w:r>
    </w:p>
    <w:p>
      <w:r>
        <w:t>更关键的是，本次主动曲线由14标签时RPS=0.2350增至89标签时0.2514，随机曲线也整体上升，说明更多早期历史标签没有改善后期留出预测。训练目标年龄14—18年，测试19—24年；训练1/2/3类为8/71/10，测试为21/21/0，存在明显时间与状态分布差异。四个模型在该42条留出集上都将等级判为2类，均仅50%准确率。全RBF核的超出训练年龄范围预测与分布变化是需要进一步研究的限制，现有实验不能分离其各自因果贡献。没有预先指定且被两种方法可靠达到的性能阈值，不报告所谓节省标签百分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  <w:gridCol w:w="987"/>
      </w:tblGrid>
      <w:tr>
        <w:trPr>
          <w:tblHeader/>
          <w:cantSplit/>
        </w:trPr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role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n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groups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units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grade1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grade2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grade3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target_age_min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target_age_max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target_score_mean</w:t>
            </w:r>
          </w:p>
        </w:tc>
      </w:tr>
      <w:tr>
        <w:trPr>
          <w:cantSplit/>
        </w:trPr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training_pool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89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27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46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71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82.0894</w:t>
            </w:r>
          </w:p>
        </w:tc>
      </w:tr>
      <w:tr>
        <w:trPr>
          <w:cantSplit/>
        </w:trPr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independent_test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42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21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21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0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24</w:t>
            </w:r>
          </w:p>
        </w:tc>
        <w:tc>
          <w:tcPr>
            <w:tcW w:type="dxa" w:w="987"/>
          </w:tcPr>
          <w:p>
            <w:pPr>
              <w:spacing w:after="40"/>
            </w:pPr>
            <w:r>
              <w:rPr>
                <w:sz w:val="16"/>
              </w:rPr>
              <w:t>89.7076</w:t>
            </w:r>
          </w:p>
        </w:tc>
      </w:tr>
    </w:tbl>
    <w:p/>
    <w:p>
      <w:r>
        <w:t>因此不能声称主动学习稳定优于随机采样或已证明节省检测成本。应保留完整波动结果，作为本小样本上不确定性与多样性选样的探索性证据；不为获得优势改变初始集或筛选随机运行。</w:t>
      </w:r>
    </w:p>
    <w:p>
      <w:r>
        <w:t>初始点两者一致，全部标签终点两者一致，均已断言检查。熵随迭代未强制单调下降；最后池为空时平均/中位熵为缺失值，不用0伪造下降。</w:t>
      </w:r>
    </w:p>
    <w:p>
      <w:r>
        <w:drawing>
          <wp:inline xmlns:a="http://schemas.openxmlformats.org/drawingml/2006/main" xmlns:pic="http://schemas.openxmlformats.org/drawingml/2006/picture">
            <wp:extent cx="6192000" cy="37497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4_active_vs_rand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749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主动与随机</w:t>
      </w:r>
    </w:p>
    <w:p>
      <w:r>
        <w:drawing>
          <wp:inline xmlns:a="http://schemas.openxmlformats.org/drawingml/2006/main" xmlns:pic="http://schemas.openxmlformats.org/drawingml/2006/picture">
            <wp:extent cx="6192000" cy="3520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5_entropy_cur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520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池熵变化</w:t>
      </w:r>
    </w:p>
    <w:p>
      <w:pPr>
        <w:pStyle w:val="Heading1"/>
      </w:pPr>
      <w:r>
        <w:t>5 2024主动检测优先级</w:t>
      </w:r>
    </w:p>
    <w:p>
      <w:r>
        <w:t>2024年缺全桥真实评分共53个单元，均以2024年前可获得信息预测，训练转移目标年份严格&lt;2024（322条）。有2024实测的6个单元未进入缺测排序，2024实测也未进入模型训练。管理聚类在全体59单元的截至2023年快照上独立重建，仅用无标签特征；其cluster编号与主动学习训练池的簇编号没有对应关系。</w:t>
      </w:r>
    </w:p>
    <w:p>
      <w:r>
        <w:t>主排序为熵降序，相同熵按编号；这是优先消除模型不确定性的检测清单，不是结构安全最危险清单。KELM概率没有校准，且只能表达1—3类中的模型相对概率，未覆盖历史中缺失的4/5类风险；没有2024缺测位置真值来验证这份排序的真实预测效果。</w:t>
      </w:r>
    </w:p>
    <w:p>
      <w:r>
        <w:t>附加risk_score=(minmax熵+P(3类及更差)+minmax距末次检测年数)/3，为本文自定义等权管理指标，并非规范风险指标。三个分量均按53个候选单元计算；若某分量恒定，标准化记0。当前所有候选的检测间隔均2年，因此该时间分量不能区分优先级。P(3类及更差)在本模型中只能量化已支持的3类，不能估计4/5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/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k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silhouette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min_cluster_size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max_cluster_size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minimum_acceptable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eligible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selected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0.6129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0.5679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44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0.6141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32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0.6634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28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  <w:tc>
          <w:tcPr>
            <w:tcW w:type="dxa" w:w="1409"/>
          </w:tcPr>
          <w:p>
            <w:pPr>
              <w:spacing w:after="40"/>
            </w:pPr>
            <w:r>
              <w:rPr>
                <w:sz w:val="18"/>
              </w:rPr>
              <w:t>False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7"/>
        <w:gridCol w:w="567"/>
        <w:gridCol w:w="2835"/>
        <w:gridCol w:w="624"/>
        <w:gridCol w:w="624"/>
        <w:gridCol w:w="850"/>
        <w:gridCol w:w="850"/>
        <w:gridCol w:w="850"/>
        <w:gridCol w:w="680"/>
        <w:gridCol w:w="397"/>
      </w:tblGrid>
      <w:tr>
        <w:trPr>
          <w:tblHeader/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名次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编号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桥名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末次年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末次分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P_grade1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P_grade2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P_grade3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熵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簇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Br10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K0+131澎港漕大桥（右幅）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91.70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0.5084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0.4821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0.0095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0.7400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Br09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K0+131澎港漕大桥(左幅）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91.13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0.4290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0.5607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0.0103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0.7348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3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Br12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K1+992傅家村大桥（左幅）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90.24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0.5555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0.4357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0.0088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0.7303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Br11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K0+273.4姜山C匝道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84.79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0.6904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0.2997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0.0099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0.6625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Br59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K1517+868雏鸡山大桥（右幅）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90.06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0.8625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0.1337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0.0038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0.4178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Br54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K1515+958张江岸大桥（左幅）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87.88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0.8673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0.1291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0.0036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0.4080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Br58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K1517+868雏鸡山大桥（左幅）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93.26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0.8707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0.1257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0.0036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0.4016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8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Br40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K27+428新安庙大桥(左幅)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90.83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0.9007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0.0965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0.0029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0.3366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9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Br55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K1515+958张江岸大桥（右幅）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89.32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0.9076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0.0896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0.0028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0.3205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Br56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K1516+532骆角江大桥（左幅）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90.77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0.9108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0.0867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0.0025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0.3121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Br13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K1+992傅家村大桥（右幅）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87.95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0.9193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0.0782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0.0025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0.2918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Br41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K27+429新安庙大桥(右幅)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91.27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0.9261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0.0716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0.0023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0.2738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Br06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FK0+070匝道桥(2类）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81.18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0.0352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0.9563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0.0085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0.2012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Br52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K1514+860鄞奉江大桥（左幅）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92.12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0.9530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0.0454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0.0016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0.1963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567"/>
          </w:tcPr>
          <w:p>
            <w:pPr>
              <w:spacing w:after="40"/>
            </w:pPr>
            <w:r>
              <w:rPr>
                <w:sz w:val="16"/>
              </w:rPr>
              <w:t>Br29</w:t>
            </w:r>
          </w:p>
        </w:tc>
        <w:tc>
          <w:tcPr>
            <w:tcW w:type="dxa" w:w="2835"/>
          </w:tcPr>
          <w:p>
            <w:pPr>
              <w:spacing w:after="40"/>
            </w:pPr>
            <w:r>
              <w:rPr>
                <w:sz w:val="16"/>
              </w:rPr>
              <w:t>K17+414前塘河大桥(右幅)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2022</w:t>
            </w:r>
          </w:p>
        </w:tc>
        <w:tc>
          <w:tcPr>
            <w:tcW w:type="dxa" w:w="624"/>
          </w:tcPr>
          <w:p>
            <w:pPr>
              <w:spacing w:after="40"/>
            </w:pPr>
            <w:r>
              <w:rPr>
                <w:sz w:val="16"/>
              </w:rPr>
              <w:t>90.45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0.9568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0.0418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sz w:val="16"/>
              </w:rPr>
              <w:t>0.0014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sz w:val="16"/>
              </w:rPr>
              <w:t>0.1842</w:t>
            </w:r>
          </w:p>
        </w:tc>
        <w:tc>
          <w:tcPr>
            <w:tcW w:type="dxa" w:w="397"/>
          </w:tcPr>
          <w:p>
            <w:pPr>
              <w:spacing w:after="40"/>
            </w:pPr>
            <w:r>
              <w:rPr>
                <w:sz w:val="16"/>
              </w:rPr>
              <w:t>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92000" cy="3334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06_inspection_prior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33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优先检测前15</w:t>
      </w:r>
    </w:p>
    <w:p>
      <w:pPr>
        <w:pStyle w:val="Heading1"/>
      </w:pPr>
      <w:r>
        <w:t>6 生成文件与复现方法</w:t>
      </w:r>
    </w:p>
    <w:p>
      <w:r>
        <w:t>建议PyCharm使用Python 3.12。将整个bridge_prediction文件夹作为项目打开，建立虚拟环境后执行：</w:t>
      </w:r>
    </w:p>
    <w:p>
      <w:pPr>
        <w:spacing w:after="0"/>
      </w:pPr>
      <w:r>
        <w:rPr>
          <w:rFonts w:ascii="Consolas" w:hAnsi="Consolas"/>
          <w:sz w:val="18"/>
        </w:rPr>
        <w:t>python -m pip install -r requirements.txt</w:t>
      </w:r>
    </w:p>
    <w:p>
      <w:pPr>
        <w:spacing w:after="0"/>
      </w:pPr>
      <w:r>
        <w:rPr>
          <w:rFonts w:ascii="Consolas" w:hAnsi="Consolas"/>
          <w:sz w:val="18"/>
        </w:rPr>
        <w:t>python run_stage1.py</w:t>
      </w:r>
    </w:p>
    <w:p>
      <w:pPr>
        <w:spacing w:after="0"/>
      </w:pPr>
      <w:r>
        <w:rPr>
          <w:rFonts w:ascii="Consolas" w:hAnsi="Consolas"/>
          <w:sz w:val="18"/>
        </w:rPr>
        <w:t>python plot_figures_standalone.py</w:t>
      </w:r>
    </w:p>
    <w:p>
      <w:pPr>
        <w:spacing w:after="0"/>
      </w:pPr>
      <w:r>
        <w:rPr>
          <w:rFonts w:ascii="Consolas" w:hAnsi="Consolas"/>
          <w:sz w:val="18"/>
        </w:rPr>
        <w:t>python test_stage1.py</w:t>
      </w:r>
    </w:p>
    <w:p>
      <w:r>
        <w:t>所有输入放在input，运行输出放在output；脚本使用自身路径定位，允许从其他工作目录调用。plot_figures_standalone.py只读取CSV绘图，不训练模型。CSV采用UTF-8 BOM，可由Excel直接打开。单机CPU即可，计算无须网络密钥、Jupyter或冷门ELM包。</w:t>
      </w:r>
    </w:p>
    <w:p>
      <w:r>
        <w:t>实际运行环境：Python 3.12.14；numpy=2.3.5，scipy=1.17.0，pandas=2.2.3，scikit-learn=1.8.0，xgboost-cpu=3.0.5，matplotlib=3.10.8，openpyxl=3.1.5，python-docx=1.2.0，threadpoolctl=3.6.0。主随机种子20260908，版本、种子、特征、设计与输入哈希见run_metadata.json及input_sha256.json。</w:t>
      </w:r>
    </w:p>
    <w:p>
      <w:r>
        <w:t>Python文件：active_learning.py；baseline_regression.py；config.py；data_loader.py；diagnostics.py；evaluation.py；feature_builder.py；figures.py；gower_clustering.py；grade_standard.py；inspection_priority.py；ordinal_baselines.py；plot_figures_standalone.py；probabilistic_kelm.py；report_builder.py；run_stage1.py；test_stage1.py；transition_builder.py。</w:t>
      </w:r>
    </w:p>
    <w:p>
      <w:r>
        <w:t>CSV文件：active_cluster_profiles.csv；active_clustering_candidates.csv；active_initial_labels.csv；active_learning_curve.csv；active_learning_design.csv；active_learning_history.csv；active_pool_clusters.csv；active_query_log.csv；active_random_comparison.csv；bridge_group_mapping.csv；class_recall_diagnostics.csv；confusion_matrices.csv；continuous_model_comparison.csv；continuous_predictions.csv；data_audit.csv；draft_reproduction_comparison.csv；feature_dictionary.csv；grade_distribution.csv；group_holdout_split.csv；holdout_distribution_diagnostics.csv；inspection_priority.csv；invalid_records.csv；leakage_checks.csv；observation_intervals.csv；observations_long.csv；ordinal_model_comparison.csv；ordinal_predictions.csv；output_manifest.csv；priority_cluster_profiles.csv；priority_clustering_candidates.csv；priority_snapshot_features.csv；random_learning_curve.csv；random_learning_runs.csv；temporal_validation_splits.csv；transition_gap_count.csv；transitions_1year.csv；transitions_next_observation.csv；unit_observation_audit.csv；xgboost_order_sensitivity.csv；yearly_observation_count.csv。</w:t>
      </w:r>
    </w:p>
    <w:p>
      <w:r>
        <w:t>图片：Figure_01_grade_distribution.png；Figure_01_grade_distribution.svg；Figure_02_model_rps_comparison.png；Figure_02_model_rps_comparison.svg；Figure_03_confusion_matrix.png；Figure_03_confusion_matrix.svg；Figure_04_active_vs_random.png；Figure_04_active_vs_random.svg；Figure_05_entropy_curve.png；Figure_05_entropy_curve.svg；Figure_06_inspection_priority.png；Figure_06_inspection_priority.svg。全部采用matplotlib，PNG为300 dpi，另存SVG；无中文字体时以英文标题/编号替代，避免方框。</w:t>
      </w:r>
    </w:p>
    <w:p>
      <w:pPr>
        <w:pStyle w:val="Heading1"/>
      </w:pPr>
      <w:r>
        <w:t>7 论文修改建议与可直接采用的局部文字</w:t>
      </w:r>
    </w:p>
    <w:p>
      <w:r>
        <w:t>保留：LOCF简单基准、Ridge连续预测主模型（RMSE=4.0771），XGBoost作为固定非线性对照。原同期估计任务与其结果保留，但不得与本阶段历史预测合并比较；原始GP没有重跑，不删除初稿结果，也不把它标记为本次复现。</w:t>
      </w:r>
    </w:p>
    <w:p>
      <w:r>
        <w:t>等级概率模型选择：按216条扩展窗测试的RPS，当前最优是Logistic。KELM保留为有序概率与主动检测机制的研究模型，是否取代等级基准应依据RPS和稀少3类识别表现，不应为了新模型优越性删去其他基准。</w:t>
      </w:r>
    </w:p>
    <w:p>
      <w:r>
        <w:t>应删除或改写的仅是表述：将“依据2026规范重新完成正式评定”改为评分区间映射；将“Fast/AP-KELM完全复现”改为全核KELM适配；删除未经实验支持的“主动学习显著节省标签”“预测概率已经校准”“未来4、5类风险为零”等结论。禁止删除原始实验数据来制造模型优势。GJO/I-GJO及优化章节留待第二阶段，不修改预算、恢复量和最终摘要。</w:t>
      </w:r>
    </w:p>
    <w:p>
      <w:r>
        <w:t>可用于数据与方法章节的文字：</w:t>
      </w:r>
    </w:p>
    <w:p>
      <w:r>
        <w:t>“本研究保留59个检测单元与34个统计桥梁组的既有分析粒度，直接从2012—2024年真实检测记录构造123条严格一年期转移和328条下一次真实检测转移。依据JTG/T 5230—2026表3.3.2所列评分区间进行技术状况等级映射，完整保留五类定义。全桥数据仅出现1—3类，因而概率模型只在真实观测到的三类上训练，不使用插值或人工低等级标签。该映射不替代含构件控制指标的正式技术状况评定。”</w:t>
      </w:r>
    </w:p>
    <w:p>
      <w:r>
        <w:t>“连续评分预测采用2018—2024年扩展训练窗，任一测试年的训练标签和历史特征均先于目标年度。概率等级预测以规范化RPS为主要指标，并同时报告Accuracy、Macro-F1、等级绝对误差及二次加权Kappa。参考Mahmoudi和Ilbeigi的二次有序编码、L1拒绝度及modified softmax机制，建立RBF全核Probabilistic Ordinal Kernel ELM adaptation；本研究未实现低秩Fast Kernel版本，不将二者等同。”</w:t>
      </w:r>
    </w:p>
    <w:p>
      <w:r>
        <w:t>“主动学习采用桥梁组与时间双重留出，并用Gower距离和层次聚类保持选样多样性。在每轮按簇规模分配查询额度后，仅以未标注样本特征和预测熵选样，再读取所选历史标签。主动与30次随机查询共享初始标注集、测试集及训练预算，评价结果按全部预算点披露，不使用测试误差控制查询过程。”</w:t>
      </w:r>
    </w:p>
    <w:p>
      <w:r>
        <w:t>可用于结果与讨论章节的文字：</w:t>
      </w:r>
    </w:p>
    <w:p>
      <w:r>
        <w:t>“216条真实后续检测记录中，Ridge的RMSE为4.077分，与初稿结果一致。等级概率任务中，Logistic的RPS最低，为0.0967。在独立的42条分组和时间留出测试中，主动采样在14个中间预算点的13个点优于随机均值，尚不能仅据单次划分证明稳定标签效率优势。对2024年缺测的53个单元生成的熵排序应理解为补充信息的优先序，不能替代结构安全评定或证明2024年真实状态。”</w:t>
      </w:r>
    </w:p>
    <w:p>
      <w:r>
        <w:t>局限：3类样本少且跨年不均衡；左右幅组仍属推定；目标间隔使用回顾性真实下一次检测年，部署时须事先给定计划检测年度，不能假设知道未来实际检测日；静态属性默认全时期可用但缺少资产变更日志；没有养护事件和构件病害，不作自然退化因果解释。主动曲线仅一条、随机30次条件于同一初始集，未做多种外部划分和概率校准，不宣称显著性或跨地区泛化。</w:t>
      </w:r>
    </w:p>
    <w:p>
      <w:r>
        <w:t>参考资料补充（初稿已有[1]—[14]，可从[15]起另行编排）：</w:t>
      </w:r>
    </w:p>
    <w:p>
      <w:r>
        <w:t>[15] Mahmoudi N, Ilbeigi M. Active Probabilistic Fast Kernel Extreme-Learning Machine for Data-Efficient Bridge Condition Prediction. Journal of Performance of Constructed Facilities, 2026, 40(2):04025078. DOI:10.1061/JPCFEV.CFENG-5322.（2025年12月17日在线发表）</w:t>
      </w:r>
    </w:p>
    <w:p>
      <w:r>
        <w:t>[16] 中华人民共和国交通运输部. 公路桥梁技术状况评定标准：JTG/T 5230—2026. 2026.（依据上传PDF，第3.3.2、3.3.3、3.4节）</w:t>
      </w:r>
    </w:p>
    <w:sectPr w:rsidR="00FC693F" w:rsidRPr="0006063C" w:rsidSect="00034616">
      <w:footerReference w:type="default" r:id="rId15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第一阶段结果报告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8" w:lineRule="auto"/>
    </w:pPr>
    <w:rPr>
      <w:rFonts w:ascii="Times New Roman" w:hAnsi="Times New Roman" w:eastAsia="宋体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