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宋体"/>
          <w:b/>
          <w:sz w:val="32"/>
        </w:rPr>
        <w:t>小论文_15年版修改说明</w:t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1  本轮修改范围与规划定义</w:t>
      </w: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对应论文《低频检测数据下公路桥梁状态预测与预防性养护时机决策研究》。本轮将已审核通过的15年冻结结果写入中文第二稿，保留原题名和原有9条参考文献。本说明中的旧20年数字仅用于核查替换关系，不再进入正式正文主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187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379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旧20年版本</w:t>
            </w:r>
          </w:p>
        </w:tc>
        <w:tc>
          <w:tcPr>
            <w:tcW w:type="dxa" w:w="379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新15年版本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规划期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2025—2044年，20年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2025—2039年，15年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年份整数编码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0—20；21个区间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0—15；16个区间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J的平均范围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59×20=1180个年末评分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59×15=885个年末评分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末年指标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2044年平均评分</w:t>
            </w:r>
          </w:p>
        </w:tc>
        <w:tc>
          <w:tcPr>
            <w:tcW w:type="dxa" w:w="37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2039年平均评分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规划期选择理由已写入方法：现有资料覆盖2012—2024年，年评分下降量与养护后评分恢复量尚未用真实养护事件校准，采用2025—2039年以减少较长时间外推假设的累积影响；不将15年称为唯一合理期限。面积占比资源公式、d=0.65、R=6、年度能力8、间隔3年和K=3保持不变。</w:t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2  无养护基线及资源端点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/>
        </w:trPr>
        <w:tc>
          <w:tcPr>
            <w:tcW w:type="dxa" w:w="680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初值</w:t>
            </w:r>
          </w:p>
        </w:tc>
        <w:tc>
          <w:tcPr>
            <w:tcW w:type="dxa" w:w="209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J0：旧→新</w:t>
            </w:r>
          </w:p>
        </w:tc>
        <w:tc>
          <w:tcPr>
            <w:tcW w:type="dxa" w:w="1814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末年均分：旧→新</w:t>
            </w:r>
          </w:p>
        </w:tc>
        <w:tc>
          <w:tcPr>
            <w:tcW w:type="dxa" w:w="136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最低分：旧→新</w:t>
            </w:r>
          </w:p>
        </w:tc>
        <w:tc>
          <w:tcPr>
            <w:tcW w:type="dxa" w:w="1304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最少&gt;75：旧→新</w:t>
            </w:r>
          </w:p>
        </w:tc>
        <w:tc>
          <w:tcPr>
            <w:tcW w:type="dxa" w:w="221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首次不足57：旧→新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LOCF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83.816695 → 85.441695</w:t>
            </w:r>
          </w:p>
        </w:tc>
        <w:tc>
          <w:tcPr>
            <w:tcW w:type="dxa" w:w="181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77.6417 → 80.8917</w:t>
            </w:r>
          </w:p>
        </w:tc>
        <w:tc>
          <w:tcPr>
            <w:tcW w:type="dxa" w:w="136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68.18 → 71.43</w:t>
            </w:r>
          </w:p>
        </w:tc>
        <w:tc>
          <w:tcPr>
            <w:tcW w:type="dxa" w:w="130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46 → 54</w:t>
            </w:r>
          </w:p>
        </w:tc>
        <w:tc>
          <w:tcPr>
            <w:tcW w:type="dxa" w:w="221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2036 → 2036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85.470737 → 87.095737</w:t>
            </w:r>
          </w:p>
        </w:tc>
        <w:tc>
          <w:tcPr>
            <w:tcW w:type="dxa" w:w="181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79.2957 → 82.5457</w:t>
            </w:r>
          </w:p>
        </w:tc>
        <w:tc>
          <w:tcPr>
            <w:tcW w:type="dxa" w:w="136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71.64 → 74.89</w:t>
            </w:r>
          </w:p>
        </w:tc>
        <w:tc>
          <w:tcPr>
            <w:tcW w:type="dxa" w:w="130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52 → 58</w:t>
            </w:r>
          </w:p>
        </w:tc>
        <w:tc>
          <w:tcPr>
            <w:tcW w:type="dxa" w:w="221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2043 → 未发生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255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端点</w:t>
            </w:r>
          </w:p>
        </w:tc>
        <w:tc>
          <w:tcPr>
            <w:tcW w:type="dxa" w:w="260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旧B</w:t>
            </w:r>
          </w:p>
        </w:tc>
        <w:tc>
          <w:tcPr>
            <w:tcW w:type="dxa" w:w="260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新B</w:t>
            </w:r>
          </w:p>
        </w:tc>
        <w:tc>
          <w:tcPr>
            <w:tcW w:type="dxa" w:w="170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行动数：旧→新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LOCF最低已知</w:t>
            </w:r>
          </w:p>
        </w:tc>
        <w:tc>
          <w:tcPr>
            <w:tcW w:type="dxa" w:w="260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0.2151498644</w:t>
            </w:r>
          </w:p>
        </w:tc>
        <w:tc>
          <w:tcPr>
            <w:tcW w:type="dxa" w:w="260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0.0138153314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13 → 3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LOCF高状态参考</w:t>
            </w:r>
          </w:p>
        </w:tc>
        <w:tc>
          <w:tcPr>
            <w:tcW w:type="dxa" w:w="260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2.8115652636</w:t>
            </w:r>
          </w:p>
        </w:tc>
        <w:tc>
          <w:tcPr>
            <w:tcW w:type="dxa" w:w="260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2.2956417860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148 → 114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Ridge最低诊断</w:t>
            </w:r>
          </w:p>
        </w:tc>
        <w:tc>
          <w:tcPr>
            <w:tcW w:type="dxa" w:w="260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0.1319233981</w:t>
            </w:r>
          </w:p>
        </w:tc>
        <w:tc>
          <w:tcPr>
            <w:tcW w:type="dxa" w:w="260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0.0000000000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 → 0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Ridge零行动方案在15年估计初值、情景参数和本文管理条件下仍可行，不能解释为真实桥梁15年无需养护。其资源0仅作诊断，共同资源轴仍用LOCF两端点；最低已知端点不称全局最小资源。</w:t>
      </w:r>
    </w:p>
    <w:p>
      <w:r>
        <w:br w:type="page"/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3  七档共同资源与长期平均评分替换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cantSplit/>
          <w:tblHeader/>
        </w:trPr>
        <w:tc>
          <w:tcPr>
            <w:tcW w:type="dxa" w:w="39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档</w:t>
            </w:r>
          </w:p>
        </w:tc>
        <w:tc>
          <w:tcPr>
            <w:tcW w:type="dxa" w:w="1134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旧B</w:t>
            </w:r>
          </w:p>
        </w:tc>
        <w:tc>
          <w:tcPr>
            <w:tcW w:type="dxa" w:w="1134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新B</w:t>
            </w:r>
          </w:p>
        </w:tc>
        <w:tc>
          <w:tcPr>
            <w:tcW w:type="dxa" w:w="170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LOCF旧J±SD</w:t>
            </w:r>
          </w:p>
        </w:tc>
        <w:tc>
          <w:tcPr>
            <w:tcW w:type="dxa" w:w="170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LOCF新J±SD</w:t>
            </w:r>
          </w:p>
        </w:tc>
        <w:tc>
          <w:tcPr>
            <w:tcW w:type="dxa" w:w="170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Ridge旧J±SD</w:t>
            </w:r>
          </w:p>
        </w:tc>
        <w:tc>
          <w:tcPr>
            <w:tcW w:type="dxa" w:w="170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6"/>
              </w:rPr>
              <w:t>Ridge新J±SD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0.215150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0.013815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85.0848±0.0101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85.7468±0.0000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87.7321±0.1093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87.4524±0.0720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0.647886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0.394120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89.1967±0.2703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89.7606±0.1304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90.9199±0.1805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91.3898±0.1695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1.080622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0.774424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90.2545±0.3831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90.7880±0.2097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91.9869±0.2238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92.4093±0.1933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1.513358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1.154729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90.6162±0.5326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91.2534±0.1433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92.5847±0.1579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92.8418±0.1455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1.946093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1.535033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91.0286±0.0049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91.1552±0.1998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93.0424±0.1653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93.1720±0.1083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2.378829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1.915337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91.7926±0.0124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91.5998±0.0117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93.2791±0.1285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93.4183±0.0472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2.811565</w:t>
            </w:r>
          </w:p>
        </w:tc>
        <w:tc>
          <w:tcPr>
            <w:tcW w:type="dxa" w:w="113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2.295642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92.2101±0.0169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91.9095±0.0000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93.8523±0.0103</w:t>
            </w:r>
          </w:p>
        </w:tc>
        <w:tc>
          <w:tcPr>
            <w:tcW w:type="dxa" w:w="170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6"/>
              </w:rPr>
              <w:t>93.5540±0.0000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每个初值×资源档均为30次可行GJO运行，SD为样本标准差。正文图表主要显示绝对B，ρ只在方法中解释等距取点。新LOCF逐档均值在B=1.154729至1.535033出现91.2534→91.1552的小幅下降，按有限随机搜索波动保留，不平滑或强制单调。</w:t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4  中间资源档两套初值的组统计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226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旧LOCF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新LOCF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旧Ridge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新Ridge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J±SD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90.6162±0.5326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91.2534±0.1433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92.5847±0.1579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92.8418±0.1455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ΔJ±SD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6.7995±0.5326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5.8117±0.1433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7.1139±0.1579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5.7461±0.1455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末年均分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87.4287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89.8526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89.9310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91.3094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平均行动数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97.13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89.37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107.43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88.43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平均养护单元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55.70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53.83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56.90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53.93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平均B使用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1.492402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1.128504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1.489924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1.121921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平均最低分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76.6853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76.2347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75.6950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76.2917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平均最少&gt;75单元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58.67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58.57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58.63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58.50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Ridge−LOCF绝对J差：1.9684 → 1.5884；ΔJ差：0.3144 → -0.0656。新稿改为：Ridge绝对长期评分较高，但扣除各自无养护基线后，平均养护增益非常接近，不据此称Ridge养护效果更好。</w:t>
      </w:r>
    </w:p>
    <w:p>
      <w:r>
        <w:br w:type="page"/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5  代表方案及年度行动更新</w:t>
      </w: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代表资源档预先固定在新共同资源区间中间，B=1.154728558718；各初值在30次可行运行中选最高J，数值并列时先取较小B_used，再取较小seed。新代表不是旧排程删去后五年的结果。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/>
        </w:trPr>
        <w:tc>
          <w:tcPr>
            <w:tcW w:type="dxa" w:w="226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旧LOCF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新LOCF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旧Ridge</w:t>
            </w:r>
          </w:p>
        </w:tc>
        <w:tc>
          <w:tcPr>
            <w:tcW w:type="dxa" w:w="1786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新Ridge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seed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20261023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20261039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20261044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20261023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91.2365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91.4646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92.8094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93.1157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ΔJ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7.4198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6.0229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7.3387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6.0200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B_used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1.472294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1.149885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1.497011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1.148890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行动总数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111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93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112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养护单元数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56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末年均分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88.7871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90.3097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90.3250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92.2643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全期最低分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76.67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74.89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77.64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77.05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最少&gt;75单元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59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最少&gt;75比例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0.9831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年最大养护数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首次养护年均值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2028.95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2028.54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2028.64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2028.60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首次养护年中位数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</w:t>
            </w:r>
          </w:p>
        </w:tc>
        <w:tc>
          <w:tcPr>
            <w:tcW w:type="dxa" w:w="1786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2028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73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初值</w:t>
            </w:r>
          </w:p>
        </w:tc>
        <w:tc>
          <w:tcPr>
            <w:tcW w:type="dxa" w:w="433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旧：达到年度8上限的年份</w:t>
            </w:r>
          </w:p>
        </w:tc>
        <w:tc>
          <w:tcPr>
            <w:tcW w:type="dxa" w:w="433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新：达到年度8上限的年份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LOCF</w:t>
            </w:r>
          </w:p>
        </w:tc>
        <w:tc>
          <w:tcPr>
            <w:tcW w:type="dxa" w:w="433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2025,2026,2027,2028,2029,2030,2031,2032,2033,2036</w:t>
            </w:r>
          </w:p>
        </w:tc>
        <w:tc>
          <w:tcPr>
            <w:tcW w:type="dxa" w:w="433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2025,2026,2027,2028,2029,2030,2031,2032,2033,2034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</w:t>
            </w:r>
          </w:p>
        </w:tc>
        <w:tc>
          <w:tcPr>
            <w:tcW w:type="dxa" w:w="433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2025,2026,2027,2028,2029,2030,2031,2032,2033</w:t>
            </w:r>
          </w:p>
        </w:tc>
        <w:tc>
          <w:tcPr>
            <w:tcW w:type="dxa" w:w="433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2025,2026,2027,2028,2029,2030,2031,2032,2033,2034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正文代表为新LOCF、seed=20261039：93次行动、56个养护单元；15年中10年达到年度8单元能力。其最低分74.89低于75仍可行，因为要求是所有单元&gt;60、每年至少57/59个&gt;75。75仅为等级边界，不能画成全体单元的最低允许评分。年度最低评分也不对应一条固定单元轨迹。</w:t>
      </w: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Figure 7已换成新15年逐年均分、最低分和年度行动数；最低分面板保留75与60参考线并区分其含义，行动面板保留8单元能力线。所有年度主结果仅含2025—2039年。</w:t>
      </w:r>
    </w:p>
    <w:p>
      <w:r>
        <w:br w:type="page"/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6  同随机种子排程与最高资源档解释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3685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中档30组配对指标</w:t>
            </w:r>
          </w:p>
        </w:tc>
        <w:tc>
          <w:tcPr>
            <w:tcW w:type="dxa" w:w="289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旧20年</w:t>
            </w:r>
          </w:p>
        </w:tc>
        <w:tc>
          <w:tcPr>
            <w:tcW w:type="dxa" w:w="289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新15年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行动Jaccard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0.0687±0.0228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0.0704±0.0214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行动Jaccard 中位数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0.0700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0.0708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行动Jaccard Q25—Q75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0.0534—0.0794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0.0554—0.0846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首次养护年份MAE/年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2.92±0.51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2.66±0.34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首次养护年份MAE/年 中位数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2.86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2.71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首次养护年份MAE/年 Q25—Q75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2.59—3.18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2.49—2.88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双方均养护单元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53.93±2.02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49.90±2.31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首次年份相同单元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7.43±3.21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6.50±2.86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仅LOCF养护单元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1.77±0.97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3.93±1.23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仅Ridge养护单元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2.97±2.20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4.03±1.96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双方均未养护单元 均值±SD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0.33±0.61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1.13±0.73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首次养护年MAE仅在每对双方均养护的单元上计算；未养护者不记为年份0。新中档在相同B、参数和seed下仍产生不同具体安排；离散非凸问题与有限搜索同时影响结果，不能将全部差异完全归因于初值。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  <w:tblHeader/>
        </w:trPr>
        <w:tc>
          <w:tcPr>
            <w:tcW w:type="dxa" w:w="3685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最高资源档指标</w:t>
            </w:r>
          </w:p>
        </w:tc>
        <w:tc>
          <w:tcPr>
            <w:tcW w:type="dxa" w:w="289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旧20年</w:t>
            </w:r>
          </w:p>
        </w:tc>
        <w:tc>
          <w:tcPr>
            <w:tcW w:type="dxa" w:w="289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新15年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最高资源B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2.811565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2.295642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Jaccard均值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0.8613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LOCF平均行动数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148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Ridge平均行动数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148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理论年度能力合计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160次</w:t>
            </w:r>
          </w:p>
        </w:tc>
        <w:tc>
          <w:tcPr>
            <w:tcW w:type="dxa" w:w="289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120次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新最高档Jaccard=1.0000，同时存在共享高状态已知可行候选、114次行动接近120次年度能力理论上限以及有限搜索影响。因此只描述高度一致的行动安排，不据此判断初值影响完全消失。</w:t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7  面积—行动次数诊断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/>
        </w:trPr>
        <w:tc>
          <w:tcPr>
            <w:tcW w:type="dxa" w:w="680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初值</w:t>
            </w:r>
          </w:p>
        </w:tc>
        <w:tc>
          <w:tcPr>
            <w:tcW w:type="dxa" w:w="255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Spearman：旧→新</w:t>
            </w:r>
          </w:p>
        </w:tc>
        <w:tc>
          <w:tcPr>
            <w:tcW w:type="dxa" w:w="311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旧Q1/Q2/Q3/Q4次数均值</w:t>
            </w:r>
          </w:p>
        </w:tc>
        <w:tc>
          <w:tcPr>
            <w:tcW w:type="dxa" w:w="311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新Q1/Q2/Q3/Q4次数均值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LOCF</w:t>
            </w:r>
          </w:p>
        </w:tc>
        <w:tc>
          <w:tcPr>
            <w:tcW w:type="dxa" w:w="255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-0.0723 → -0.1151</w:t>
            </w:r>
          </w:p>
        </w:tc>
        <w:tc>
          <w:tcPr>
            <w:tcW w:type="dxa" w:w="311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1.80/1.94/2.42/1.47</w:t>
            </w:r>
          </w:p>
        </w:tc>
        <w:tc>
          <w:tcPr>
            <w:tcW w:type="dxa" w:w="311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1.53/1.65/1.92/1.27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Ridge</w:t>
            </w:r>
          </w:p>
        </w:tc>
        <w:tc>
          <w:tcPr>
            <w:tcW w:type="dxa" w:w="255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-0.0890 → -0.1526</w:t>
            </w:r>
          </w:p>
        </w:tc>
        <w:tc>
          <w:tcPr>
            <w:tcW w:type="dxa" w:w="311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1.80/2.06/2.17/1.60</w:t>
            </w:r>
          </w:p>
        </w:tc>
        <w:tc>
          <w:tcPr>
            <w:tcW w:type="dxa" w:w="311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1.67/1.82/1.83/1.40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诊断纳入全部59个单元及零行动者，等面积保留在同一四分位组；组数15/17/12/15。等单元权重目标与面积比例资源的计量不同仍是局限，相关诊断不能据以修改目标函数。</w:t>
      </w:r>
    </w:p>
    <w:p>
      <w:r>
        <w:br w:type="page"/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8  年评分下降量敏感性及各自基线</w:t>
      </w: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LOCF、各自中间资源档；旧B=1.513358，新B=1.154729。每个d各30次，参考d复用相应主实验。表格单元格均为“旧→新”；完整全部统计指标连同来源字段写入revision_number_map_15y.csv/.json。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/>
        </w:trPr>
        <w:tc>
          <w:tcPr>
            <w:tcW w:type="dxa" w:w="39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d</w:t>
            </w:r>
          </w:p>
        </w:tc>
        <w:tc>
          <w:tcPr>
            <w:tcW w:type="dxa" w:w="175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无养护J0</w:t>
            </w:r>
          </w:p>
        </w:tc>
        <w:tc>
          <w:tcPr>
            <w:tcW w:type="dxa" w:w="209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J均值±SD</w:t>
            </w:r>
          </w:p>
        </w:tc>
        <w:tc>
          <w:tcPr>
            <w:tcW w:type="dxa" w:w="2098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ΔJ均值±SD</w:t>
            </w:r>
          </w:p>
        </w:tc>
        <w:tc>
          <w:tcPr>
            <w:tcW w:type="dxa" w:w="175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末年平均评分</w:t>
            </w:r>
          </w:p>
        </w:tc>
        <w:tc>
          <w:tcPr>
            <w:tcW w:type="dxa" w:w="136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平均行动数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0.45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85.916695</w:t>
              <w:br/>
              <w:t>→ 87.041695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92.8642±0.3567</w:t>
              <w:br/>
              <w:t>→ 92.7647±0.1439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6.9475±0.3567</w:t>
              <w:br/>
              <w:t>→ 5.7231±0.1439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91.8170</w:t>
              <w:br/>
              <w:t>→ 92.5825</w:t>
            </w:r>
          </w:p>
        </w:tc>
        <w:tc>
          <w:tcPr>
            <w:tcW w:type="dxa" w:w="136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103.60</w:t>
              <w:br/>
              <w:t>→ 88.40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0.65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83.816695</w:t>
              <w:br/>
              <w:t>→ 85.441695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90.6162±0.5326</w:t>
              <w:br/>
              <w:t>→ 91.2534±0.1433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6.7995±0.5326</w:t>
              <w:br/>
              <w:t>→ 5.8117±0.1433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87.4287</w:t>
              <w:br/>
              <w:t>→ 89.8526</w:t>
            </w:r>
          </w:p>
        </w:tc>
        <w:tc>
          <w:tcPr>
            <w:tcW w:type="dxa" w:w="136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97.13</w:t>
              <w:br/>
              <w:t>→ 89.37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0.85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81.716695</w:t>
              <w:br/>
              <w:t>→ 83.841695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88.2388±0.5569</w:t>
              <w:br/>
              <w:t>→ 89.7065±0.1721</w:t>
            </w:r>
          </w:p>
        </w:tc>
        <w:tc>
          <w:tcPr>
            <w:tcW w:type="dxa" w:w="2098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6.5221±0.5569</w:t>
              <w:br/>
              <w:t>→ 5.8648±0.1721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82.7458</w:t>
              <w:br/>
              <w:t>→ 86.9976</w:t>
            </w:r>
          </w:p>
        </w:tc>
        <w:tc>
          <w:tcPr>
            <w:tcW w:type="dxa" w:w="136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89.77</w:t>
              <w:br/>
              <w:t>→ 89.90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/>
        </w:trPr>
        <w:tc>
          <w:tcPr>
            <w:tcW w:type="dxa" w:w="39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d</w:t>
            </w:r>
          </w:p>
        </w:tc>
        <w:tc>
          <w:tcPr>
            <w:tcW w:type="dxa" w:w="175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平均B_used</w:t>
            </w:r>
          </w:p>
        </w:tc>
        <w:tc>
          <w:tcPr>
            <w:tcW w:type="dxa" w:w="1757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资源使用率</w:t>
            </w:r>
          </w:p>
        </w:tc>
        <w:tc>
          <w:tcPr>
            <w:tcW w:type="dxa" w:w="187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平均最低分</w:t>
            </w:r>
          </w:p>
        </w:tc>
        <w:tc>
          <w:tcPr>
            <w:tcW w:type="dxa" w:w="1871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平均最少&gt;75数</w:t>
            </w:r>
          </w:p>
        </w:tc>
        <w:tc>
          <w:tcPr>
            <w:tcW w:type="dxa" w:w="1814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7"/>
              </w:rPr>
              <w:t>平均养护单元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0.45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1.485400</w:t>
              <w:br/>
              <w:t>→ 1.133094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0.9815</w:t>
              <w:br/>
              <w:t>→ 0.9813</w:t>
            </w:r>
          </w:p>
        </w:tc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78.8267</w:t>
              <w:br/>
              <w:t>→ 79.2800</w:t>
            </w:r>
          </w:p>
        </w:tc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59.00</w:t>
              <w:br/>
              <w:t>→ 59.00</w:t>
            </w:r>
          </w:p>
        </w:tc>
        <w:tc>
          <w:tcPr>
            <w:tcW w:type="dxa" w:w="181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56.70</w:t>
              <w:br/>
              <w:t>→ 54.57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0.65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1.492402</w:t>
              <w:br/>
              <w:t>→ 1.128504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0.9862</w:t>
              <w:br/>
              <w:t>→ 0.9773</w:t>
            </w:r>
          </w:p>
        </w:tc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76.6853</w:t>
              <w:br/>
              <w:t>→ 76.2347</w:t>
            </w:r>
          </w:p>
        </w:tc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58.67</w:t>
              <w:br/>
              <w:t>→ 58.57</w:t>
            </w:r>
          </w:p>
        </w:tc>
        <w:tc>
          <w:tcPr>
            <w:tcW w:type="dxa" w:w="181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55.70</w:t>
              <w:br/>
              <w:t>→ 53.83</w:t>
            </w:r>
          </w:p>
        </w:tc>
      </w:tr>
      <w:tr>
        <w:trPr>
          <w:cantSplit/>
        </w:trPr>
        <w:tc>
          <w:tcPr>
            <w:tcW w:type="dxa" w:w="39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0.85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1.494904</w:t>
              <w:br/>
              <w:t>→ 1.130360</w:t>
            </w:r>
          </w:p>
        </w:tc>
        <w:tc>
          <w:tcPr>
            <w:tcW w:type="dxa" w:w="1757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0.9878</w:t>
              <w:br/>
              <w:t>→ 0.9789</w:t>
            </w:r>
          </w:p>
        </w:tc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74.5243</w:t>
              <w:br/>
              <w:t>→ 73.7340</w:t>
            </w:r>
          </w:p>
        </w:tc>
        <w:tc>
          <w:tcPr>
            <w:tcW w:type="dxa" w:w="1871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58.17</w:t>
              <w:br/>
              <w:t>→ 58.00</w:t>
            </w:r>
          </w:p>
        </w:tc>
        <w:tc>
          <w:tcPr>
            <w:tcW w:type="dxa" w:w="181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>54.83</w:t>
              <w:br/>
              <w:t>→ 53.77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新15年结果随d增大，J和2039状态降低；ΔJ略增，源于每个d均减去自身的同初值、同规划期无养护基线，不能解释为评分下降越快养护效果越好。旧、新使用的代表绝对B不同，跨规划期对照只说明本轮方法调整，不将差值解释为单独的期限效应。</w:t>
      </w:r>
    </w:p>
    <w:p>
      <w:pPr>
        <w:keepNext/>
        <w:spacing w:before="100" w:after="80"/>
      </w:pPr>
      <w:r>
        <w:rPr>
          <w:rFonts w:ascii="Times New Roman" w:hAnsi="Times New Roman" w:eastAsia="宋体"/>
          <w:b/>
          <w:sz w:val="22"/>
        </w:rPr>
        <w:t>9  图表、正文和文献处理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1984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7483"/>
            <w:vAlign w:val="center"/>
            <w:shd w:fill="E9EEF4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/>
                <w:sz w:val="18"/>
              </w:rPr>
              <w:t>本轮处理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Figure 1—3；Table 1—2</w:t>
            </w:r>
          </w:p>
        </w:tc>
        <w:tc>
          <w:tcPr>
            <w:tcW w:type="dxa" w:w="7483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沿用冻结数据、预测和2024初值，不训练、不改预测。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Figure 4/6/7/8</w:t>
            </w:r>
          </w:p>
        </w:tc>
        <w:tc>
          <w:tcPr>
            <w:tcW w:type="dxa" w:w="7483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正式换成15年资源响应、30组同seed排程、LOCF代表年度状态与行动、d敏感性；PNG与SVG均保留。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Figure 5</w:t>
            </w:r>
          </w:p>
        </w:tc>
        <w:tc>
          <w:tcPr>
            <w:tcW w:type="dxa" w:w="7483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移至补充材料，使用15年两初值代表长期轨迹；正文不再插入旧图。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Table 3/4/5/6</w:t>
            </w:r>
          </w:p>
        </w:tc>
        <w:tc>
          <w:tcPr>
            <w:tcW w:type="dxa" w:w="7483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依次更新15年参数、两套无养护基线、七档共同B、代表档初值/d/paired结果；完整七档paired分布保留补充。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摘要、方法、讨论、结论</w:t>
            </w:r>
          </w:p>
        </w:tc>
        <w:tc>
          <w:tcPr>
            <w:tcW w:type="dxa" w:w="7483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替换所有旧主结果；说明Ridge零行动的情景限定、LOCF2036管理约束及共享候选/有限搜索限制。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本轮计算</w:t>
            </w:r>
          </w:p>
        </w:tc>
        <w:tc>
          <w:tcPr>
            <w:tcW w:type="dxa" w:w="7483"/>
            <w:vAlign w:val="center"/>
          </w:tcPr>
          <w:p>
            <w:pPr>
              <w:spacing w:after="30" w:before="30" w:line="240" w:lineRule="auto"/>
            </w:pPr>
            <w:r>
              <w:rPr>
                <w:rFonts w:ascii="Times New Roman" w:hAnsi="Times New Roman" w:eastAsia="宋体"/>
                <w:b w:val="0"/>
                <w:sz w:val="18"/>
              </w:rPr>
              <w:t>仅读取已审核15年结果写稿；新增优化0次、预测训练0次，不开展10年分析，不加入AP-KELM或货币预算。</w:t>
            </w:r>
          </w:p>
        </w:tc>
      </w:tr>
    </w:tbl>
    <w:p>
      <w:pPr>
        <w:spacing w:after="0"/>
      </w:pP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原9条参考文献及其来源材料保留，不补新文献。在本轮可用文件中未找到此前同名《小论文_待补文献主题清单.docx》；未据此扩充任何文献，也未新造清单冒称已有。后续补充真实SCI文献需另行开展。</w:t>
      </w:r>
    </w:p>
    <w:p>
      <w:pPr>
        <w:ind w:firstLine="400"/>
      </w:pPr>
      <w:r>
        <w:rPr>
          <w:rFonts w:ascii="Times New Roman" w:hAnsi="Times New Roman" w:eastAsia="宋体"/>
          <w:b w:val="0"/>
          <w:sz w:val="20"/>
        </w:rPr>
        <w:t>所有新结果来自已冻结15年重新优化及独立复算；本轮不覆盖旧稿与旧结果。正式第二稿仅使用15年主结果，旧数字只保留在本修改说明与数字映射中。完成后停止，不生成英文稿。</w:t>
      </w:r>
    </w:p>
    <w:sectPr w:rsidR="00FC693F" w:rsidRPr="0006063C" w:rsidSect="00034616">
      <w:footerReference w:type="default" r:id="rId9"/>
      <w:pgSz w:w="11906" w:h="16838"/>
      <w:pgMar w:top="907" w:right="935" w:bottom="850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7"/>
      </w:rPr>
      <w:t xml:space="preserve">修改说明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