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小论文_SCI规范修改说明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本文档记录本轮SCI规范化写作处理，科学结果继续使用2025—2039年15年冻结版本。已按作者最新引言核对本轮文字处理。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1 摘要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按问题、数据、方法、主要定量结果和克制结论组织为一个完整段落；保留时间外预测、代表资源、排程比较及评分下降情景，减少算法名称与小数堆积。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核查与边界：当前摘要含305个汉字；长度和完整字符数以主稿构建核验为准。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2 引言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仅在作者最新引言上调整衔接、重复与引用格式，核心结构和新增文献逻辑保留。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核查与边界：作者最新来源：source/author_latest_小论文_中文第二稿_15年版.docx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3 方法压缩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正文保留数据、特征、时间外验证、初值来源、状态/资源定义、离散编码、约束与标准GJO的必要设置；具体随机种子编号、规则阈值、公共候选构造与预评估计数、完整模型参数移入补充材料。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核查与边界：已核对当前内容；补充材料保留复现所需细节。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4 养护动作定义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明确不区分工艺，以统一状态改善行动表示养护；R=6仅是情景恢复量，不对应具体工程措施的实测效果。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方法中检查以下原句：本文不区分具体养护工艺，而将规划中的预防性养护抽象为一类统一的状态改善行动。养护后评分恢复量R=6仅作为情景参数，用于比较不同规划条件下的养护时机，不对应某一种具体工程措施的实测效果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5 中文术语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正文孤立英文seed统一为“随机种子”；首次定义末次观测延续、岭回归、XGBoost、金豺优化算法和Jaccard相似系数，后续用统一简称。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核查与边界：当前五部分内容独立词seed出现0次；引言及排版全文由终核覆盖。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6 结果与讨论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结果按比较对象、数字、克制总结报告；起点不确定性、时间验证理由、初值传递、J与ΔJ、资源计量和情景机制移到讨论4.1—4.4。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核查与边界：已核对当前内容；不把讨论推断写成新增检验结果。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7 降低过度表述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采用“较高/较低”“重合度较低”“总体改善”；不宣称优劣的普遍排序、初值的纯因果效应或求解器最优性。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核查与边界：已核对当前内容；同随机种子和共享候选的限制保留。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8 图形安排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正文保留图1、2、3、4、6、7、8；图5长期轨迹继续置于补充材料。图4/6/7/8引用冻结15年数据，检查中文标注、单位、图注和英文切换能力。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核查与边界：已核对当前内容；图形美化不调整数据。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9 表格规范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正文表格采用三线表，统一变量单位、小数位和样本SD格式；表6保留两初值及d情景的必要指标，过宽的完整配对统计移补充材料，正文保留代表B比较。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核查与边界：已核对当前内容；冻结CSV的完整精度不随展示精度变化。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10 讨论待补文献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逐条记录讨论位置、主题和支持论点；优先使用当前稿件来源可追溯且支持范围匹配的文献，不能覆盖处保留[待补文献]。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核查与边界：当前文献位置元数据列出3项待核主题；不编造题名、期刊或DOI。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11 科学结果变化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科学结果数值变化0；新增预测训练0次、新增养护优化0次。仅作已有冻结结果的文字、结构、精度和排版调整，正式期限、资源公式与核心指标保持不变。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核查与边界：最终“不变”核验以本轮冻结文件SHA和主稿数值审计为准；展示四舍五入不计作科学结果变化。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12 符号与复现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统一评分、养护前评分、d、R、行动变量、面积占比、B、B_used、J及ΔJ的定义；变量斜体、单位正体，说明ΔJ采用同初值同d同期限基线。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核查与边界：已核对当前内容；公式不更换模型。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13 参考文献与声明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不擅改已核验DOI，不把可追溯书目称为已完成全文或出版社核验；投稿信息独立列数据、代码、贡献、利益冲突、资助和致谢，均待作者确认。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核查与边界：用户最新版引言来源及其文献逻辑已纳入核查；未补造文献。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讨论引用需要核对的位置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4.1 第1段；但缺测期间的变化无法直接观测：低频和缺失桥梁检测记录下的当前状态估计及检测间隔影响。支持论点：历史评分对当前状态的代表性依赖检测间隔及缺测期间事件，需要桥梁领域经验或方法证据支持。。当前处理：[待补文献]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4.2 第1段；其在真实桥梁管理中的决策敏感性仍需相应实证研究支持：初始状态估计不确定性向资源约束养护排程和行动年份的传播。支持论点：初始评分改变阈值接近时点和行动竞争，可能传递为具体年份差异；本文模型内解释需要与真实桥梁决策敏感性研究区分。。当前处理：[待补文献]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4.4 第1段；建立按干预类型和事件记录校准的评分变化关系：利用真实养护事件、处治类型及前后检测校准状态恢复和评分变化模型。支持论点：将统一R=6情景连接到工程应用，需要按真实干预事件及类型校准评分响应并独立验证。。当前处理：[待补文献]。</w:t>
      </w:r>
    </w:p>
    <w:p>
      <w:pPr>
        <w:keepNext/>
        <w:spacing w:before="140"/>
      </w:pPr>
      <w:r>
        <w:rPr>
          <w:rFonts w:ascii="Times New Roman" w:hAnsi="Times New Roman" w:eastAsia="宋体"/>
          <w:b/>
          <w:sz w:val="23"/>
        </w:rPr>
        <w:t>作者书目合并与待核事项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作者最新版含16条引言书目及原9条书目，共25条；按DOI合并Frangopol（2012）、Roberts（2017）和Wei（2024）三条重复记录，实际引用22条。引言原数字引用与原方法章节的数字引用分别恢复为文献身份，再按全稿首次出现顺序统一编号，避免同号误引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保留作者五段引言和新增文献逻辑；仅删除末尾关于现有第二稿的编辑过程句，去除RQ标签的字面星号，并规范缩略语和引用格式。未替换作者引言为旧引言。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Hu与Assaad（2024）的作者来源未列文章号或页码，本轮未猜填；现有DOI保持原样。Crossref元数据请求因环境代理403被阻断，本轮只完成作者Word和现有注册表字段核对，不声称已完成新增文献的出版社或全文核验。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7"/>
      </w:rPr>
      <w:t xml:space="preserve">补充说明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