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Times New Roman" w:hAnsi="Times New Roman" w:eastAsia="Noto Serif CJK SC"/>
          <w:b/>
          <w:color w:val="000000"/>
          <w:sz w:val="22"/>
        </w:rPr>
        <w:t>正式图题</w:t>
      </w:r>
    </w:p>
    <w:p>
      <w:pPr>
        <w:keepLines/>
        <w:widowControl/>
        <w:jc w:val="both"/>
      </w:pPr>
      <w:r>
        <w:rPr>
          <w:rFonts w:ascii="Times New Roman" w:hAnsi="Times New Roman" w:eastAsia="Noto Serif CJK SC"/>
          <w:b/>
          <w:color w:val="000000"/>
          <w:sz w:val="21"/>
        </w:rPr>
        <w:t>不同养护资源情景下桥梁检测单元评分等级构成的年度变化</w:t>
      </w:r>
    </w:p>
    <w:p>
      <w:pPr>
        <w:keepNext/>
        <w:spacing w:before="160" w:after="60"/>
      </w:pPr>
      <w:r>
        <w:rPr>
          <w:rFonts w:ascii="Times New Roman" w:hAnsi="Times New Roman" w:eastAsia="Noto Serif CJK SC"/>
          <w:b/>
          <w:color w:val="000000"/>
          <w:sz w:val="22"/>
        </w:rPr>
        <w:t>图注</w:t>
      </w:r>
    </w:p>
    <w:p>
      <w:pPr>
        <w:keepLines/>
        <w:widowControl/>
        <w:jc w:val="both"/>
      </w:pPr>
      <w:r>
        <w:rPr>
          <w:rFonts w:ascii="Times New Roman" w:hAnsi="Times New Roman" w:eastAsia="Noto Serif CJK SC"/>
          <w:b w:val="0"/>
          <w:color w:val="000000"/>
          <w:sz w:val="21"/>
        </w:rPr>
        <w:t>59个桥梁检测单元在2025—2039年的年末评分区间构成。四情景同用2024年LOCF初值、d=0.65分/年、R=6分及相同的基础递推与管理条件。（a）为固定零行动的无养护比较基线（B=0）；（b）—（d）依次为低、中、高资源养护情景，B分别显示为0.394、1.155、2.296，计算保留原始精度。B为以总面积归一化的累计养护面积份额上限，非货币预算。各类比例以59个单元为分母，按养护后年末连续模拟评分划分，非完整规范检测的正式技术状况评定。所有模拟情景中均未出现4类和5类评分区间的检测单元。下方条带表示当年执行养护的检测单元数，跨年行动分别计次。无养护基线自2036年起不满足管理约束，不作为可行养护方案。</w:t>
      </w:r>
    </w:p>
    <w:p>
      <w:pPr>
        <w:keepNext/>
        <w:spacing w:before="160" w:after="60"/>
      </w:pPr>
      <w:r>
        <w:rPr>
          <w:rFonts w:ascii="Times New Roman" w:hAnsi="Times New Roman" w:eastAsia="Noto Serif CJK SC"/>
          <w:b/>
          <w:color w:val="000000"/>
          <w:sz w:val="22"/>
        </w:rPr>
        <w:t>结果描述（第3章备选）</w:t>
      </w:r>
    </w:p>
    <w:p>
      <w:pPr>
        <w:keepLines/>
        <w:widowControl/>
        <w:jc w:val="both"/>
      </w:pPr>
      <w:r>
        <w:rPr>
          <w:rFonts w:ascii="Times New Roman" w:hAnsi="Times New Roman" w:eastAsia="Noto Serif CJK SC"/>
          <w:b w:val="0"/>
          <w:color w:val="000000"/>
          <w:sz w:val="21"/>
        </w:rPr>
        <w:t>基于年度模拟评分，比较无养护及低、中、高资源养护情景下59个检测单元的评分区间构成。2039年，无养护情景的1—3类数量依次为0、54、5个；低资源情景为19、39、1个，中等资源情景为40、18、1个，高资源情景为58、1、0个。随着所比较资源水平提高，期末构成表现为更多单元处于一类评分区间，三类单元数量减少或保持较低水平；各情景均未出现四、五类单元。该比较仅反映给定LOCF初始状态、年评分下降量、养护恢复量及资源条件下的模型模拟结果。</w:t>
      </w:r>
    </w:p>
    <w:p>
      <w:pPr>
        <w:keepNext/>
        <w:spacing w:before="160" w:after="60"/>
      </w:pPr>
      <w:r>
        <w:rPr>
          <w:rFonts w:ascii="Times New Roman" w:hAnsi="Times New Roman" w:eastAsia="Noto Serif CJK SC"/>
          <w:b/>
          <w:color w:val="000000"/>
          <w:sz w:val="22"/>
        </w:rPr>
        <w:t>讨论衔接（备选）</w:t>
      </w:r>
    </w:p>
    <w:p>
      <w:pPr>
        <w:keepLines/>
        <w:widowControl/>
        <w:jc w:val="both"/>
      </w:pPr>
      <w:r>
        <w:rPr>
          <w:rFonts w:ascii="Times New Roman" w:hAnsi="Times New Roman" w:eastAsia="Noto Serif CJK SC"/>
          <w:b w:val="0"/>
          <w:color w:val="000000"/>
          <w:sz w:val="21"/>
        </w:rPr>
        <w:t>等级构成图补充了长期平均评分J和最低评分未直接呈现的单元分布信息。平均评分接近的方案，各评分区间内的单元数量仍可能不同，且差异受区间阈值影响。因此，一类单元比例不能单独作为判断真实工程养护效益的依据。</w:t>
      </w:r>
    </w:p>
    <w:sectPr w:rsidR="00FC693F" w:rsidRPr="0006063C" w:rsidSect="00034616">
      <w:pgSz w:w="11906" w:h="16838"/>
      <w:pgMar w:top="1219" w:right="1332" w:bottom="121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桥梁检测单元评分等级构成图：独立图题与论文文字</dc:title>
  <dc:subject>绘图指令3；供作者审核，未插入原论文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