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line="269" w:lineRule="auto"/>
        <w:jc w:val="center"/>
      </w:pPr>
      <w:r>
        <w:rPr>
          <w:rFonts w:ascii="Times New Roman" w:hAnsi="Times New Roman" w:eastAsia="宋体"/>
          <w:b/>
          <w:color w:val="222222"/>
          <w:sz w:val="34"/>
        </w:rPr>
        <w:t>第二轮图片重绘说明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完成范围：图1—图7全部重绘。以第15轮图片优化后的最新Word为底稿，仅替换正文图片；图号、图题和正文引用保持不变，保留作者已经修正的题目、摘要格式、页眉页脚和最后一页分页处理。</w:t>
      </w:r>
    </w:p>
    <w:p>
      <w:pPr>
        <w:spacing w:after="120" w:line="269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数据方式：全部基于原始观测CSV或已保存的预测、规划实验输出精确重绘。未使用截图估值、图像读数或缺失数据猜测；未重跑训练、排程优化或新增实验。</w:t>
      </w:r>
    </w:p>
    <w:p>
      <w:pPr>
        <w:keepNext/>
        <w:spacing w:after="80" w:line="269" w:lineRule="auto" w:before="120"/>
      </w:pPr>
      <w:r>
        <w:rPr>
          <w:rFonts w:ascii="Times New Roman" w:hAnsi="Times New Roman" w:eastAsia="宋体"/>
          <w:b/>
          <w:color w:val="222222"/>
          <w:sz w:val="22"/>
        </w:rPr>
        <w:t>逐图重绘内容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236"/>
        <w:gridCol w:w="2721"/>
      </w:tblGrid>
      <w:tr>
        <w:tc>
          <w:tcPr>
            <w:tcW w:type="dxa" w:w="680"/>
            <w:tcBorders>
              <w:top w:val="single" w:sz="8" w:color="434C54"/>
              <w:left w:val="nil"/>
              <w:bottom w:val="single" w:sz="4" w:color="434C54"/>
              <w:right w:val="nil"/>
            </w:tcBorders>
          </w:tcPr>
          <w:p>
            <w:r>
              <w:rPr>
                <w:rFonts w:ascii="Times New Roman" w:hAnsi="Times New Roman" w:eastAsia="宋体"/>
                <w:b/>
                <w:color w:val="222222"/>
                <w:sz w:val="19"/>
              </w:rPr>
              <w:t>图号</w:t>
            </w:r>
          </w:p>
        </w:tc>
        <w:tc>
          <w:tcPr>
            <w:tcW w:type="dxa" w:w="6236"/>
            <w:tcBorders>
              <w:top w:val="single" w:sz="8" w:color="434C54"/>
              <w:left w:val="nil"/>
              <w:bottom w:val="single" w:sz="4" w:color="434C54"/>
              <w:right w:val="nil"/>
            </w:tcBorders>
          </w:tcPr>
          <w:p>
            <w:r>
              <w:rPr>
                <w:rFonts w:ascii="Times New Roman" w:hAnsi="Times New Roman" w:eastAsia="宋体"/>
                <w:b/>
                <w:color w:val="222222"/>
                <w:sz w:val="19"/>
              </w:rPr>
              <w:t>主要视觉升级</w:t>
            </w:r>
          </w:p>
        </w:tc>
        <w:tc>
          <w:tcPr>
            <w:tcW w:type="dxa" w:w="2721"/>
            <w:tcBorders>
              <w:top w:val="single" w:sz="8" w:color="434C54"/>
              <w:left w:val="nil"/>
              <w:bottom w:val="single" w:sz="4" w:color="434C54"/>
              <w:right w:val="nil"/>
            </w:tcBorders>
          </w:tcPr>
          <w:p>
            <w:r>
              <w:rPr>
                <w:rFonts w:ascii="Times New Roman" w:hAnsi="Times New Roman" w:eastAsia="宋体"/>
                <w:b/>
                <w:color w:val="222222"/>
                <w:sz w:val="19"/>
              </w:rPr>
              <w:t>数据依据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图1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建立“年度覆盖总览＋逐单元观测细节”层级；矩阵改用规整单元格，强化有观测／缺测区分，统一年份列与图例。</w:t>
            </w:r>
          </w:p>
        </w:tc>
        <w:tc>
          <w:tcPr>
            <w:tcW w:type="dxa" w:w="272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原始观测及年度覆盖CSV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图2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统一三模型散点、对角参考线和误差标注；误差比较改为水平分组柱，增加直接数值与灰度纹理，保留模型顺序。</w:t>
            </w:r>
          </w:p>
        </w:tc>
        <w:tc>
          <w:tcPr>
            <w:tcW w:type="dxa" w:w="272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已保存预测与误差比较CSV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图3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以空心点和醒目叉号区分53个估计初值、6个当年实测；加强零差线与差值正负区分，保留原直方分箱和频数。</w:t>
            </w:r>
          </w:p>
        </w:tc>
        <w:tc>
          <w:tcPr>
            <w:tcW w:type="dxa" w:w="272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已保存2024年初始状态CSV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图4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重设计箱线、面板标题及统计图例；增加已有均值菱形，保留中位数、1.5×IQR须线和离群圆点。首次年差最低档n=28，其余各档n=30。</w:t>
            </w:r>
          </w:p>
        </w:tc>
        <w:tc>
          <w:tcPr>
            <w:tcW w:type="dxa" w:w="272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已保存配对运行及汇总CSV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图5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以模型与统计类型分层编码：可行均值±样本SD、独立最好值及既有可行目标下界；标明LOCF有限搜索不足，保留原局部下降。</w:t>
            </w:r>
          </w:p>
        </w:tc>
        <w:tc>
          <w:tcPr>
            <w:tcW w:type="dxa" w:w="272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已保存资源响应及下界CSV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图6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将平均评分、最低评分和年度养护数组织成一致三联图；统一年份网格，清楚呈现75／60分阈值、年度能力和各年次数，保留零次数。</w:t>
            </w:r>
          </w:p>
        </w:tc>
        <w:tc>
          <w:tcPr>
            <w:tcW w:type="dxa" w:w="272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已保存代表方案年度CSV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nil"/>
              <w:left w:val="nil"/>
              <w:bottom w:val="single" w:sz="8" w:color="434C54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图7</w:t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single" w:sz="8" w:color="434C54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统一三种d情景的颜色、线型和点形；重组均值／样本SD／最好值图例，增加原值标注与首次养护年份点列；仅作横向排布，年份原值不变。</w:t>
            </w:r>
          </w:p>
        </w:tc>
        <w:tc>
          <w:tcPr>
            <w:tcW w:type="dxa" w:w="2721"/>
            <w:vAlign w:val="center"/>
            <w:tcBorders>
              <w:top w:val="nil"/>
              <w:left w:val="nil"/>
              <w:bottom w:val="single" w:sz="8" w:color="434C54"/>
              <w:right w:val="nil"/>
            </w:tcBorders>
          </w:tcPr>
          <w:p>
            <w:pPr>
              <w:spacing w:after="60" w:before="60" w:line="25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已保存敏感性汇总、年度及首次养护CSV</w:t>
            </w:r>
          </w:p>
        </w:tc>
      </w:tr>
    </w:tbl>
    <w:p>
      <w:pPr>
        <w:keepNext/>
        <w:spacing w:after="80" w:line="269" w:lineRule="auto" w:before="120"/>
      </w:pPr>
      <w:r>
        <w:rPr>
          <w:rFonts w:ascii="Times New Roman" w:hAnsi="Times New Roman" w:eastAsia="宋体"/>
          <w:b/>
          <w:color w:val="222222"/>
          <w:sz w:val="22"/>
        </w:rPr>
        <w:t>统计语义与保留边界</w:t>
      </w:r>
    </w:p>
    <w:p>
      <w:pPr>
        <w:spacing w:after="80" w:line="269" w:lineRule="auto"/>
      </w:pPr>
      <w:r>
        <w:rPr>
          <w:rFonts w:ascii="Times New Roman" w:hAnsi="Times New Roman" w:eastAsia="宋体"/>
          <w:b w:val="0"/>
          <w:color w:val="222222"/>
          <w:sz w:val="20"/>
        </w:rPr>
        <w:t>图4新增均值直接读取paired_schedule_comparison_summary_15y.csv；图5新增目标下界直接读取resource_lower_bound_summary_15y.csv。均为项目中已有结果，不是新实验。已验证可行下界单独展示，不计入本档30次独立运行的均值、样本SD或最好值统计；NA未置为0。</w:t>
      </w:r>
    </w:p>
    <w:p>
      <w:pPr>
        <w:spacing w:after="80" w:line="269" w:lineRule="auto"/>
      </w:pPr>
      <w:r>
        <w:rPr>
          <w:rFonts w:ascii="Times New Roman" w:hAnsi="Times New Roman" w:eastAsia="宋体"/>
          <w:b w:val="0"/>
          <w:color w:val="222222"/>
          <w:sz w:val="20"/>
        </w:rPr>
        <w:t>科研数值改动：否。正文科研结论改动：否。未平滑曲线、修改趋势、删除不利结果或改变样本数量；原数据坐标、误差棒、箱线结构和柱形数值均按冻结输入核对。</w:t>
      </w:r>
    </w:p>
    <w:p>
      <w:pPr>
        <w:keepNext/>
        <w:spacing w:after="80" w:line="269" w:lineRule="auto" w:before="120"/>
      </w:pPr>
      <w:r>
        <w:rPr>
          <w:rFonts w:ascii="Times New Roman" w:hAnsi="Times New Roman" w:eastAsia="宋体"/>
          <w:b/>
          <w:color w:val="222222"/>
          <w:sz w:val="22"/>
        </w:rPr>
        <w:t>交付与检查</w:t>
      </w:r>
    </w:p>
    <w:p>
      <w:pPr>
        <w:spacing w:after="80" w:line="269" w:lineRule="auto"/>
      </w:pPr>
      <w:r>
        <w:rPr>
          <w:rFonts w:ascii="Times New Roman" w:hAnsi="Times New Roman" w:eastAsia="宋体"/>
          <w:b w:val="0"/>
          <w:color w:val="222222"/>
          <w:sz w:val="20"/>
        </w:rPr>
        <w:t>最终论文：小论文_中文终稿候选_高质量图片重绘版.docx，15页。单图输出至output_figures_redrawn/：图1—图7各含600dpi PNG、SVG及PDF，共21个文件；保留原Word图框的物理宽高，避免拉伸变形。</w:t>
      </w:r>
    </w:p>
    <w:p>
      <w:pPr>
        <w:spacing w:after="80" w:line="269" w:lineRule="auto"/>
      </w:pPr>
      <w:r>
        <w:rPr>
          <w:rFonts w:ascii="Times New Roman" w:hAnsi="Times New Roman" w:eastAsia="宋体"/>
          <w:b w:val="0"/>
          <w:color w:val="222222"/>
          <w:sz w:val="20"/>
        </w:rPr>
        <w:t>output_scripts/提供统一重绘入口、共享样式和分图脚本，支持中文／英文切换；随附22份CSV，可独立读取复用。核验记录包括原始数组与图形数据比对、源文件哈希和文字边界检查。</w:t>
      </w:r>
    </w:p>
    <w:p>
      <w:pPr>
        <w:spacing w:after="0" w:line="269" w:lineRule="auto"/>
      </w:pPr>
      <w:r>
        <w:rPr>
          <w:rFonts w:ascii="Times New Roman" w:hAnsi="Times New Roman" w:eastAsia="宋体"/>
          <w:b w:val="0"/>
          <w:color w:val="222222"/>
          <w:sz w:val="20"/>
        </w:rPr>
        <w:t>全部15页逐页核验通过，文字位置、原图框及图片以外的版面保持一致。未发现遗留裁字、图形变形或科研数据缺失；图号与正文引用一致，文字、数值、表格、参考文献及作者人工修正均予保留。当前无未完成项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第二轮图片重绘说明</dc:title>
  <dc:subject>修改指令16：图1—图7正式重绘与科学内容保留说明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