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小论文_终稿候选修改说明</w:t>
      </w:r>
    </w:p>
    <w:p>
      <w:pPr>
        <w:ind w:firstLine="420"/>
      </w:pPr>
      <w:r>
        <w:rPr>
          <w:rFonts w:ascii="Times New Roman" w:hAnsi="Times New Roman" w:eastAsia="宋体"/>
        </w:rPr>
        <w:t>本次依据《修改指令14》，在现有模板排版版上继续精修。论文题目、引言、15年研究设计与科研结果保持不变；未重新训练预测模型、运行养护优化或重新计算统计量。</w:t>
      </w:r>
    </w:p>
    <w:p>
      <w:pPr>
        <w:pStyle w:val="Heading1"/>
      </w:pPr>
      <w:r>
        <w:rPr>
          <w:rFonts w:ascii="Times New Roman" w:hAnsi="Times New Roman" w:eastAsia="宋体"/>
        </w:rPr>
        <w:t>1 输入文件角色与保护</w:t>
      </w:r>
    </w:p>
    <w:p>
      <w:pPr>
        <w:ind w:firstLine="420"/>
      </w:pPr>
      <w:r>
        <w:rPr>
          <w:rFonts w:ascii="Times New Roman" w:hAnsi="Times New Roman" w:eastAsia="宋体"/>
        </w:rPr>
        <w:t>三份输入均已实际打开并检查有效性。“小论文_中文第三稿_模板排版版.docx”为唯一修改底稿；“参考模板（仅参考格式排版）.docx”仅读取排版样式；“小论文_中文第三稿_SCI规范版1.docx”仅用于核对原始内容，文件名中的1对应指令所称(1)。另读取《修改指令14.docx》提取任务要求。所有输入文件均未覆盖，生成后重新校验其SHA-256未变。</w:t>
      </w:r>
    </w:p>
    <w:p>
      <w:pPr>
        <w:pStyle w:val="Heading1"/>
      </w:pPr>
      <w:r>
        <w:rPr>
          <w:rFonts w:ascii="Times New Roman" w:hAnsi="Times New Roman" w:eastAsia="宋体"/>
        </w:rPr>
        <w:t>2 三处文献占位符的处理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/>
          <w:left w:val="nil" w:sz="8"/>
          <w:bottom w:val="single" w:sz="8"/>
          <w:right w:val="nil" w:sz="8"/>
          <w:insideH w:val="nil" w:sz="8"/>
          <w:insideV w:val="nil" w:sz="8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bottom w:val="single" w:sz="4"/>
            </w:tcBorders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4819"/>
            <w:tcBorders>
              <w:bottom w:val="single" w:sz="4"/>
            </w:tcBorders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处理与支持范围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讨论4.1</w:t>
            </w:r>
          </w:p>
        </w:tc>
        <w:tc>
          <w:tcPr>
            <w:tcW w:type="dxa" w:w="4819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新增Hamida与Goulet（2022）[23]。作者原文第3—4页区分状态演化与观测误差，第6—7页分析漏报干预对状态估计的影响。用于说明检测间隔内事件会影响状态推断，不验证本研究53个估计初始状态。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讨论4.2</w:t>
            </w:r>
          </w:p>
        </w:tc>
        <w:tc>
          <w:tcPr>
            <w:tcW w:type="dxa" w:w="4819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采用已有[1][3][14][16]支持性能预测、不确定性和养护决策的一般联系。初值影响阈值时间与行动排序的解释限定于本文模型，未声称文献证明本次排程差异的独立因果效应。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讨论4.4</w:t>
            </w:r>
          </w:p>
        </w:tc>
        <w:tc>
          <w:tcPr>
            <w:tcW w:type="dxa" w:w="4819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使用已核验[23]的干预类型、时间、效应及缺失记录讨论，支持真实事件记录的校准需求；不将该研究当作R=6或d=0.65的取值依据。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</w:rPr>
        <w:t>主文三处文献占位符均已消除；新增1条参考文献，现为23条。Hamida与Goulet的作者公开论文原文、作者出版列表及作者其他论文的参考文献共同用于核验，未声称读取了受网络限制的出版社页面。</w:t>
      </w:r>
    </w:p>
    <w:p>
      <w:pPr>
        <w:ind w:firstLine="420"/>
      </w:pPr>
      <w:r>
        <w:rPr>
          <w:rFonts w:ascii="Times New Roman" w:hAnsi="Times New Roman" w:eastAsia="宋体"/>
        </w:rPr>
        <w:t>核验来源：作者出版列表 https://raw.githubusercontent.com/zachamida/zachamida.github.io/master/index.md ；作者完整预印本 https://raw.githubusercontent.com/zachamida/zachamida.github.io/master/pdf/Hamida_Goulet_NSA_2022.pdf （27页）；2024年作者论文参考文献第16页第</w:t>
      </w:r>
      <w:r>
        <w:rPr>
          <w:rFonts w:ascii="Times New Roman" w:hAnsi="Times New Roman" w:eastAsia="宋体"/>
          <w:sz w:val="16"/>
          <w:vertAlign w:val="superscript"/>
        </w:rPr>
        <w:t>[14]</w:t>
      </w:r>
      <w:r>
        <w:rPr>
          <w:rFonts w:ascii="Times New Roman" w:hAnsi="Times New Roman" w:eastAsia="宋体"/>
        </w:rPr>
        <w:t>项核对2022年29(4):e2916。DOI为10.1002/stc.2916。预印本封面日期为2021年12月1日，正式出版年份2022由作者出版列表核对。</w:t>
      </w:r>
    </w:p>
    <w:p>
      <w:pPr>
        <w:ind w:firstLine="420"/>
      </w:pPr>
      <w:r>
        <w:rPr>
          <w:rFonts w:ascii="Times New Roman" w:hAnsi="Times New Roman" w:eastAsia="宋体"/>
        </w:rPr>
        <w:t>4.2的三篇既有文献沿用原稿已经表述的一般支持范围；本次未取得其出版全文，不将引用一致性检查描述为逐篇全文重读。</w:t>
      </w:r>
    </w:p>
    <w:p>
      <w:pPr>
        <w:pStyle w:val="Heading1"/>
      </w:pPr>
      <w:r>
        <w:rPr>
          <w:rFonts w:ascii="Times New Roman" w:hAnsi="Times New Roman" w:eastAsia="宋体"/>
        </w:rPr>
        <w:t>3 图表编号与正文引用同步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/>
          <w:left w:val="nil" w:sz="8"/>
          <w:bottom w:val="single" w:sz="8"/>
          <w:right w:val="nil" w:sz="8"/>
          <w:insideH w:val="nil" w:sz="8"/>
          <w:insideV w:val="nil" w:sz="8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原图号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新图号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图示内容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检测覆盖与缺失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连续评分预测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两套2024年规划初始状态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配对排程重合与首次养护年份差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资源响应与相对增益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代表方案年度状态和行动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3213"/>
          </w:tcPr>
          <w:p>
            <w:pPr>
              <w:spacing w:before="40" w:after="40" w:line="25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下降量敏感性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</w:rPr>
        <w:t>保持7张图片的位置及对象不变，以最终出现顺序连续编号为图1—7，逐一更新正文引用、图题和补充说明。既有两初值评分轨迹图在正文中单独称“补充图S1”，对应此前补充图5，以避免与新正文图5混淆；既有补充图的数据与图像文件未重算或覆盖。表格也按首次出现顺序编号：原表3（规划参数）改为新表2，原表2（连续评分预测）改为新表3，正文引用同步交换；表1、4—6不变，表6A/</w:t>
      </w:r>
      <w:r>
        <w:rPr>
          <w:rFonts w:ascii="Times New Roman" w:hAnsi="Times New Roman" w:eastAsia="宋体"/>
          <w:i/>
        </w:rPr>
        <w:t>B</w:t>
      </w:r>
      <w:r>
        <w:rPr>
          <w:rFonts w:ascii="Times New Roman" w:hAnsi="Times New Roman" w:eastAsia="宋体"/>
        </w:rPr>
        <w:t>/C保持原有数据。</w:t>
      </w:r>
    </w:p>
    <w:p>
      <w:pPr>
        <w:pStyle w:val="Heading1"/>
      </w:pPr>
      <w:r>
        <w:rPr>
          <w:rFonts w:ascii="Times New Roman" w:hAnsi="Times New Roman" w:eastAsia="宋体"/>
        </w:rPr>
        <w:t>4 模板格式与对象保留</w:t>
      </w:r>
    </w:p>
    <w:p>
      <w:pPr>
        <w:ind w:firstLine="420"/>
      </w:pPr>
      <w:r>
        <w:rPr>
          <w:rFonts w:ascii="Times New Roman" w:hAnsi="Times New Roman" w:eastAsia="宋体"/>
        </w:rPr>
        <w:t>摘要改为独立“摘要”标题，下一段保留现有摘要全部正文；删除原行内标签。页眉去掉内部版本标记，改为“低频检测与桥梁养护时机”，采用模板右对齐8磅格式。页脚保留居中自动PAGE页码。</w:t>
      </w:r>
    </w:p>
    <w:p>
      <w:pPr>
        <w:ind w:firstLine="420"/>
      </w:pPr>
      <w:r>
        <w:rPr>
          <w:rFonts w:ascii="Times New Roman" w:hAnsi="Times New Roman" w:eastAsia="宋体"/>
        </w:rPr>
        <w:t>实际读取并应用模板的A4页面及上下左右页边距；正文10.5磅宋体/Times New Roman、约1.179倍行距和段后3磅；一级标题13磅、二级标题11.5磅，黑色；题名17磅居中并沿用模板下边线；图表题9磅居中。参考文献使用9磅、约1.058倍行距、段后4磅、17磅悬挂缩进，编号及DOI与条目逐一核对。</w:t>
      </w:r>
    </w:p>
    <w:p>
      <w:pPr>
        <w:ind w:firstLine="420"/>
      </w:pPr>
      <w:r>
        <w:rPr>
          <w:rFonts w:ascii="Times New Roman" w:hAnsi="Times New Roman" w:eastAsia="宋体"/>
        </w:rPr>
        <w:t>按用户此前明确选择保留SCI三线表及无底色表头；表内8—8.5磅等现有格式与模板文字尺度一致。保留8个实际表格、5组原生OMML公式、7张原始嵌入图片及其尺寸。行内变量斜体、下标和引用上标继续保留；未从模板带入旧科研内容。</w:t>
      </w:r>
    </w:p>
    <w:p>
      <w:pPr>
        <w:pStyle w:val="Heading1"/>
      </w:pPr>
      <w:r>
        <w:rPr>
          <w:rFonts w:ascii="Times New Roman" w:hAnsi="Times New Roman" w:eastAsia="宋体"/>
        </w:rPr>
        <w:t>5 方法、讨论和结论的精修</w:t>
      </w:r>
    </w:p>
    <w:p>
      <w:pPr>
        <w:ind w:firstLine="420"/>
      </w:pPr>
      <w:r>
        <w:rPr>
          <w:rFonts w:ascii="Times New Roman" w:hAnsi="Times New Roman" w:eastAsia="宋体"/>
        </w:rPr>
        <w:t>方法2.6：保留标准GJO、可行性优先、种群30、每次10000次候选评价、每情景30个随机种子、公共初始化披露，以及</w:t>
      </w:r>
      <w:r>
        <w:rPr>
          <w:rFonts w:ascii="Times New Roman" w:hAnsi="Times New Roman" w:eastAsia="宋体"/>
          <w:i/>
        </w:rPr>
        <w:t>J</w:t>
      </w:r>
      <w:r>
        <w:rPr>
          <w:rFonts w:ascii="Times New Roman" w:hAnsi="Times New Roman" w:eastAsia="宋体"/>
        </w:rPr>
        <w:t>与</w:t>
      </w:r>
      <w:r>
        <w:rPr>
          <w:rFonts w:ascii="Times New Roman" w:hAnsi="Times New Roman" w:eastAsia="宋体"/>
          <w:i/>
        </w:rPr>
        <w:t>ΔJ</w:t>
      </w:r>
      <w:r>
        <w:rPr>
          <w:rFonts w:ascii="Times New Roman" w:hAnsi="Times New Roman" w:eastAsia="宋体"/>
        </w:rPr>
        <w:t>定义、配对规则、缺失处理和独立复算说明；槽位映射、年度接纳和并列排序等程序细节改为引用已存在的S-M3。本次已核对既有S-M3包含这些细则，并未虚构新补充实验。</w:t>
      </w:r>
    </w:p>
    <w:p>
      <w:pPr>
        <w:ind w:firstLine="420"/>
      </w:pPr>
      <w:r>
        <w:rPr>
          <w:rFonts w:ascii="Times New Roman" w:hAnsi="Times New Roman" w:eastAsia="宋体"/>
        </w:rPr>
        <w:t>讨论4.1：减少时间验证与候选初值有效性上的重复句；加入已核验的干预与观测证据。4.2：保留初值、共同约束、有限随机搜索的联合解释，区分</w:t>
      </w:r>
      <w:r>
        <w:rPr>
          <w:rFonts w:ascii="Times New Roman" w:hAnsi="Times New Roman" w:eastAsia="宋体"/>
          <w:i/>
        </w:rPr>
        <w:t>J</w:t>
      </w:r>
      <w:r>
        <w:rPr>
          <w:rFonts w:ascii="Times New Roman" w:hAnsi="Times New Roman" w:eastAsia="宋体"/>
        </w:rPr>
        <w:t>与</w:t>
      </w:r>
      <w:r>
        <w:rPr>
          <w:rFonts w:ascii="Times New Roman" w:hAnsi="Times New Roman" w:eastAsia="宋体"/>
          <w:i/>
        </w:rPr>
        <w:t>ΔJ</w:t>
      </w:r>
      <w:r>
        <w:rPr>
          <w:rFonts w:ascii="Times New Roman" w:hAnsi="Times New Roman" w:eastAsia="宋体"/>
        </w:rPr>
        <w:t>，保留零行动、公共候选和最高资源档一致性的适用边界。4.3：压缩可行域、局部搜索波动和下降量敏感性的重复说明，保留已知可行下界与两个Spearman相关系数。4.4：集中说明时间外验证范围、未校准参数、有限求解和管理目标来源。</w:t>
      </w:r>
    </w:p>
    <w:p>
      <w:pPr>
        <w:ind w:firstLine="420"/>
      </w:pPr>
      <w:r>
        <w:rPr>
          <w:rFonts w:ascii="Times New Roman" w:hAnsi="Times New Roman" w:eastAsia="宋体"/>
        </w:rPr>
        <w:t>统一“规划初始状态”“首次养护年份平均绝对差”“年评分下降量”“养护后评分恢复量”等用语。结论进一步限定于本研究单元、模型、约束和有限评价次数，不将初值较高、排程低重合或最高资源档一致推广为普遍因果规律。现有引言逐字保留。</w:t>
      </w:r>
    </w:p>
    <w:p>
      <w:pPr>
        <w:pStyle w:val="Heading1"/>
      </w:pPr>
      <w:r>
        <w:rPr>
          <w:rFonts w:ascii="Times New Roman" w:hAnsi="Times New Roman" w:eastAsia="宋体"/>
        </w:rPr>
        <w:t>6 科研结果及页数核对</w:t>
      </w:r>
    </w:p>
    <w:p>
      <w:pPr>
        <w:ind w:firstLine="420"/>
      </w:pPr>
      <w:r>
        <w:rPr>
          <w:rFonts w:ascii="Times New Roman" w:hAnsi="Times New Roman" w:eastAsia="宋体"/>
        </w:rPr>
        <w:t>科研结果无变化。保留2025—2039年15年规划期、59个检测单元、216条时间外测试、Ridge RMSE=4.0771分、代表</w:t>
      </w:r>
      <w:r>
        <w:rPr>
          <w:rFonts w:ascii="Times New Roman" w:hAnsi="Times New Roman" w:eastAsia="宋体"/>
          <w:i/>
        </w:rPr>
        <w:t>B</w:t>
      </w:r>
      <w:r>
        <w:rPr>
          <w:rFonts w:ascii="Times New Roman" w:hAnsi="Times New Roman" w:eastAsia="宋体"/>
        </w:rPr>
        <w:t>=1.154729、Jaccard=0.0704、首次养护年份平均绝对差2.66年，以及七档资源、</w:t>
      </w:r>
      <w:r>
        <w:rPr>
          <w:rFonts w:ascii="Times New Roman" w:hAnsi="Times New Roman" w:eastAsia="宋体"/>
          <w:i/>
        </w:rPr>
        <w:t>J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i/>
        </w:rPr>
        <w:t>ΔJ</w:t>
      </w:r>
      <w:r>
        <w:rPr>
          <w:rFonts w:ascii="Times New Roman" w:hAnsi="Times New Roman" w:eastAsia="宋体"/>
        </w:rPr>
        <w:t>、代表方案与下降量敏感性的全部原有数值。七图嵌入字节、五组公式对象、八表格数据及原22条书目均与输入逐项比对。</w:t>
      </w:r>
    </w:p>
    <w:p>
      <w:pPr>
        <w:ind w:firstLine="420"/>
      </w:pPr>
      <w:r>
        <w:rPr>
          <w:rFonts w:ascii="Times New Roman" w:hAnsi="Times New Roman" w:eastAsia="宋体"/>
        </w:rPr>
        <w:t>以同一LibreOffice渲染环境统计，修改前论文为15页，修改后终稿候选为14页。论文已逐页渲染并进行版面检查；页数变化来自摘要结构、文字精简和连续图题等编辑，不来自删除科研图表。</w:t>
      </w:r>
    </w:p>
    <w:p>
      <w:pPr>
        <w:pStyle w:val="Heading1"/>
      </w:pPr>
      <w:r>
        <w:rPr>
          <w:rFonts w:ascii="Times New Roman" w:hAnsi="Times New Roman" w:eastAsia="宋体"/>
        </w:rPr>
        <w:t>7 本次仍未完成或待作者确认的事项</w:t>
      </w:r>
    </w:p>
    <w:p>
      <w:pPr>
        <w:ind w:firstLine="420"/>
      </w:pPr>
      <w:r>
        <w:rPr>
          <w:rFonts w:ascii="Times New Roman" w:hAnsi="Times New Roman" w:eastAsia="宋体"/>
        </w:rPr>
        <w:t>尚未补齐原参考文献</w:t>
      </w:r>
      <w:r>
        <w:rPr>
          <w:rFonts w:ascii="Times New Roman" w:hAnsi="Times New Roman" w:eastAsia="宋体"/>
          <w:sz w:val="16"/>
          <w:vertAlign w:val="superscript"/>
        </w:rPr>
        <w:t>[6]</w:t>
      </w:r>
      <w:r>
        <w:rPr>
          <w:rFonts w:ascii="Times New Roman" w:hAnsi="Times New Roman" w:eastAsia="宋体"/>
        </w:rPr>
        <w:t xml:space="preserve"> Hu与Assaad（2024，DOI:10.1061/JBENF2.BEENG-6012）的文章号/页码：当前出版平台访问受限，未取得可靠独立来源，故保留原条目而未编造字段。新增Hamida与Goulet（2022）的元数据和上述支持论点已核验。其余既有文献本次完成引用和编号一致性检查，不声称完成全部出版元数据的在线复核。</w:t>
      </w:r>
    </w:p>
    <w:p>
      <w:pPr>
        <w:ind w:firstLine="420"/>
      </w:pPr>
      <w:r>
        <w:rPr>
          <w:rFonts w:ascii="Times New Roman" w:hAnsi="Times New Roman" w:eastAsia="宋体"/>
        </w:rPr>
        <w:t>作者审核事项：正式标准来源及适用性、目标期刊投稿信息与声明、数据与代码可用性，以及既有补充材料按投稿要求的打包和图S1标识同步。风险分级文件分别说明A/</w:t>
      </w:r>
      <w:r>
        <w:rPr>
          <w:rFonts w:ascii="Times New Roman" w:hAnsi="Times New Roman" w:eastAsia="宋体"/>
          <w:i/>
        </w:rPr>
        <w:t>B</w:t>
      </w:r>
      <w:r>
        <w:rPr>
          <w:rFonts w:ascii="Times New Roman" w:hAnsi="Times New Roman" w:eastAsia="宋体"/>
        </w:rPr>
        <w:t>/C事项。未进行新增桥梁外部验证、真实干预参数校准或算法对比；这些未运行的研究工作没有被写成已完成。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35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sz w:val="16"/>
      </w:rPr>
      <w:t>终稿候选修改说明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3" w:lineRule="auto"/>
    </w:pPr>
    <w:rPr>
      <w:rFonts w:ascii="Times New Roman" w:eastAsia="宋体" w:hAnsi="Times New Roman"/>
      <w:sz w:val="21"/>
    </w:rPr>
  </w:style>
  <w:style w:type="paragraph" w:styleId="Header">
    <w:name w:val="header"/>
    <w:basedOn w:val="Normal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pBdr>
        <w:bottom w:val="single" w:sz="8" w:space="4" w:color="4F81BD" w:themeColor="accent1"/>
      </w:pBdr>
      <w:spacing w:before="180" w:after="1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小论文_终稿候选修改说明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