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低频检测数据下公路桥梁状态预测与预防性养护时机决策研究</w:t>
      </w:r>
    </w:p>
    <w:p>
      <w:r>
        <w:t>摘要：针对桥梁检测低频、不连续且规划起点大量缺测的问题，研究历史状态预测及其对长期预防性养护安排的影响。采用2012—2024年59个检测单元的全桥与上部结构记录，沿用216条真实后续检测的时间外验证，比较末次观测延续、Ridge和XGBoost。保留6个2024年实测值，对53个缺测项分别构造LOCF参考初值与Ridge候选初值。以面积占比和养护前评分定义累计归一化资源，计算两个参考端点，设置七档共同资源上限，在年度能力和状态管理约束下优化2025—2044年养护年份。Ridge的RMSE为4.0771分，为三种方法最低。共同中档资源下，两套代表排程的行动Jaccard为0.0732，共同养护单元首次年份平均绝对差为2.6727年。LOCF在ρ从1/6增至1时，长期平均评分均值由89.0090分增至92.1335分；低资源端点虽已有可行排程，30次主搜索未重获可行解。全部新排程由独立程序复算状态、资源及施工约束，保留不可行运行，不以端点方案替换失败结果。两套初值均不代表完整的当年真实状态。退化情景变化亦改变长期状态和行动安排。结果表明，低频记录可用于构造候选规划状态，但具体养护年份需结合最新检测、资源条件和情景参数持续核查。</w:t>
      </w:r>
    </w:p>
    <w:p>
      <w:r>
        <w:t>关键词：公路桥梁；低频检测；状态预测；规划初始状态；预防性养护；归一化养护资源</w:t>
      </w:r>
    </w:p>
    <w:p>
      <w:pPr>
        <w:pStyle w:val="Heading1"/>
      </w:pPr>
      <w:r>
        <w:t>1 引言</w:t>
      </w:r>
    </w:p>
    <w:p>
      <w:r>
        <w:t>公路桥梁预防性养护需要在状态明显恶化前安排合适的处治时间。管理者既要维持桥梁群的使用状态，也要考虑年度施工能力以及同一桥梁重复施工的间隔。一次提前或推迟的养护行动，会改变之后多年的状态和可用资源。桥梁群的维护优化因此同时涉及当前状态、未来变化和跨年度行动选择。已有研究将这些问题作为桥梁管理的重要内容，并指出状态及维护效果的不确定性会影响长期规划结果[1]。在使用优化程序前，首先需要明确哪些状态信息来自实际检测，哪些来自预测或情景假设。</w:t>
      </w:r>
    </w:p>
    <w:p>
      <w:r>
        <w:t>实际检测台账通常难以提供逐单元、逐年度的完整状态序列。不同单元的检测年份可能不同，评分也可能在规划起点缺失。把未检测年份当作已有观测，会扩大可用于训练和评价的样本数量，却不能增加真实信息。直接沿用最近一次评分虽然容易追溯，但不能描述两次检测之间可能发生的变化。采用预测模型则需要回答另一问题：在只使用预测时点之前资料的条件下，模型能否预测下一次实际检测评分。若训练或特征构造使用了目标年份的评分，所得误差无法反映实际规划条件下的预测能力。</w:t>
      </w:r>
    </w:p>
    <w:p>
      <w:r>
        <w:t>对于具有时间顺序和重复观测的数据，模型验证方式会影响误差解释。随机拆分可能使较晚年份的信息进入较早年份的训练过程，因此应采用与使用过程接近的时间分割[2]。复杂模型也不一定适合样本较少、观测间隔不一致的台账。XGBoost可以表示非线性关系[3]，但其结果仍需与简单方法在相同样本上比较。本文保留末次观测延续、Ridge和XGBoost三种连续评分方法，并采用已有的扩展训练窗验证结果。模型选择依据真实后续检测误差，不以规划目标值较高作为预测准确的证据。</w:t>
      </w:r>
    </w:p>
    <w:p>
      <w:r>
        <w:t>状态预测用于长期养护时，还需要区分初始状态差异和资源条件差异。已有研究将预测与养护优化结合，并在资源约束下选择维护行动[4-5]。但是，若最新年份大部分单元没有实测评分，规划起点本身就包含估计误差；不同的初值构建方法可能改变哪些单元应先养护以及之后的重复养护年份。另一方面，在缺少工程结算资料时，直接解释具体金额及折现率容易超出数据支持范围。本文采用由面积占比和养护前评分构成的归一化养护资源，分析模型中的相对资源水平，而不把它换算为实际工程造价。</w:t>
      </w:r>
    </w:p>
    <w:p>
      <w:r>
        <w:t>本文围绕三个问题开展研究：仅使用真实历史信息，能够以多大精度预测后续全桥评分；最新年份大量缺测时，不同规划初始状态会在多大程度上改变养护时机；资源水平变化会如何影响长期状态。本文主要开展以下工作：（1）按真实时间顺序评价后续检测评分预测，避免将预测时点之后的评分用于训练或输入特征；（2）以LOCF和Ridge构建两套2024年规划初始状态，比较初值与养护年份的关系；（3）在缺少工程预算资料的条件下，构造归一化养护资源及七档共同资源上限；（4）在相同状态递推和管理约束下优化养护年份，并分析三种年退化量情景。本文使用既有求解方法，不把求解器改进作为研究贡献。</w:t>
      </w:r>
    </w:p>
    <w:p>
      <w:pPr>
        <w:pStyle w:val="Heading1"/>
      </w:pPr>
      <w:r>
        <w:t>2 数据与方法</w:t>
      </w:r>
    </w:p>
    <w:p>
      <w:pPr>
        <w:pStyle w:val="Heading2"/>
      </w:pPr>
      <w:r>
        <w:t>2.1 桥梁检测数据及观测特征</w:t>
      </w:r>
    </w:p>
    <w:p>
      <w:r>
        <w:t>研究资料包括2012—2024年的全桥和上部结构检测评分，以及检测单元的静态属性。清理后共有59个检测单元。相同桥名下可能存在主线、匝道或通道等不同记录，因此本文以检测单元作为预测和排程对象，不将其等同于59座彼此独立的桥梁。年份与单元构成的完整网格共有767个位置。程序分别标记真实观测和缺测，不通过线性插值补出年度检测值。上部结构评分只用于历史特征，不代替全桥目标评分。面积由台账中的桥长与净宽相乘获得，长度和宽度均视为预测时可取得的静态资料。</w:t>
      </w:r>
    </w:p>
    <w:p>
      <w:r>
        <w:t>本文采用用户提供的JTG/T 5230—2026文本进行评分区间映射[8]：90&lt;S≤100为1类，75&lt;S≤90为2类，60&lt;S≤75为3类，40&lt;S≤60为4类，0≤S≤40为5类。边界值90、75、60和40分别映射为2、3、4和5类。该文本载明2026年11月1日起施行；本文仅借用其评分区间定义状态指标。由于资料缺少完整构件控制指标和病害记录，这种映射不等同于重新完成正式技术状况评定。规划中的人数要求另行设置，不能归为标准规定的桥梁群达标比例。</w:t>
      </w:r>
    </w:p>
    <w:p>
      <w:pPr>
        <w:keepNext/>
        <w:jc w:val="center"/>
      </w:pPr>
      <w:r>
        <w:t>表1 检测数据与评分统计</w:t>
      </w:r>
    </w:p>
    <w:tbl>
      <w:tblPr>
        <w:tblStyle w:val="TableGrid"/>
        <w:tblW w:type="auto" w:w="0"/>
        <w:tblLook w:firstColumn="1" w:firstRow="1" w:lastColumn="0" w:lastRow="0" w:noHBand="0" w:noVBand="1" w:val="04A0"/>
      </w:tblPr>
      <w:tblGrid>
        <w:gridCol w:w="3289"/>
        <w:gridCol w:w="3289"/>
        <w:gridCol w:w="3289"/>
      </w:tblGrid>
      <w:tr>
        <w:trPr>
          <w:tblHeader/>
          <w:cantSplit/>
        </w:trPr>
        <w:tc>
          <w:tcPr>
            <w:tcW w:type="dxa" w:w="3289"/>
          </w:tcPr>
          <w:p>
            <w:pPr>
              <w:spacing w:after="40" w:line="240" w:lineRule="auto"/>
            </w:pPr>
            <w:r>
              <w:rPr>
                <w:sz w:val="18"/>
              </w:rPr>
              <w:t>项目</w:t>
            </w:r>
          </w:p>
        </w:tc>
        <w:tc>
          <w:tcPr>
            <w:tcW w:type="dxa" w:w="3289"/>
          </w:tcPr>
          <w:p>
            <w:pPr>
              <w:spacing w:after="40" w:line="240" w:lineRule="auto"/>
            </w:pPr>
            <w:r>
              <w:rPr>
                <w:sz w:val="18"/>
              </w:rPr>
              <w:t>全桥</w:t>
            </w:r>
          </w:p>
        </w:tc>
        <w:tc>
          <w:tcPr>
            <w:tcW w:type="dxa" w:w="3289"/>
          </w:tcPr>
          <w:p>
            <w:pPr>
              <w:spacing w:after="40" w:line="240" w:lineRule="auto"/>
            </w:pPr>
            <w:r>
              <w:rPr>
                <w:sz w:val="18"/>
              </w:rPr>
              <w:t>上部结构</w:t>
            </w:r>
          </w:p>
        </w:tc>
      </w:tr>
      <w:tr>
        <w:trPr>
          <w:cantSplit/>
        </w:trPr>
        <w:tc>
          <w:tcPr>
            <w:tcW w:type="dxa" w:w="3289"/>
          </w:tcPr>
          <w:p>
            <w:pPr>
              <w:spacing w:after="40" w:line="240" w:lineRule="auto"/>
            </w:pPr>
            <w:r>
              <w:rPr>
                <w:sz w:val="18"/>
              </w:rPr>
              <w:t>检测单元/个</w:t>
            </w:r>
          </w:p>
        </w:tc>
        <w:tc>
          <w:tcPr>
            <w:tcW w:type="dxa" w:w="3289"/>
          </w:tcPr>
          <w:p>
            <w:pPr>
              <w:spacing w:after="40" w:line="240" w:lineRule="auto"/>
            </w:pPr>
            <w:r>
              <w:rPr>
                <w:sz w:val="18"/>
              </w:rPr>
              <w:t>59</w:t>
            </w:r>
          </w:p>
        </w:tc>
        <w:tc>
          <w:tcPr>
            <w:tcW w:type="dxa" w:w="3289"/>
          </w:tcPr>
          <w:p>
            <w:pPr>
              <w:spacing w:after="40" w:line="240" w:lineRule="auto"/>
            </w:pPr>
            <w:r>
              <w:rPr>
                <w:sz w:val="18"/>
              </w:rPr>
              <w:t>59</w:t>
            </w:r>
          </w:p>
        </w:tc>
      </w:tr>
      <w:tr>
        <w:trPr>
          <w:cantSplit/>
        </w:trPr>
        <w:tc>
          <w:tcPr>
            <w:tcW w:type="dxa" w:w="3289"/>
          </w:tcPr>
          <w:p>
            <w:pPr>
              <w:spacing w:after="40" w:line="240" w:lineRule="auto"/>
            </w:pPr>
            <w:r>
              <w:rPr>
                <w:sz w:val="18"/>
              </w:rPr>
              <w:t>年份</w:t>
            </w:r>
          </w:p>
        </w:tc>
        <w:tc>
          <w:tcPr>
            <w:tcW w:type="dxa" w:w="3289"/>
          </w:tcPr>
          <w:p>
            <w:pPr>
              <w:spacing w:after="40" w:line="240" w:lineRule="auto"/>
            </w:pPr>
            <w:r>
              <w:rPr>
                <w:sz w:val="18"/>
              </w:rPr>
              <w:t>2012—2024</w:t>
            </w:r>
          </w:p>
        </w:tc>
        <w:tc>
          <w:tcPr>
            <w:tcW w:type="dxa" w:w="3289"/>
          </w:tcPr>
          <w:p>
            <w:pPr>
              <w:spacing w:after="40" w:line="240" w:lineRule="auto"/>
            </w:pPr>
            <w:r>
              <w:rPr>
                <w:sz w:val="18"/>
              </w:rPr>
              <w:t>2012—2024</w:t>
            </w:r>
          </w:p>
        </w:tc>
      </w:tr>
      <w:tr>
        <w:trPr>
          <w:cantSplit/>
        </w:trPr>
        <w:tc>
          <w:tcPr>
            <w:tcW w:type="dxa" w:w="3289"/>
          </w:tcPr>
          <w:p>
            <w:pPr>
              <w:spacing w:after="40" w:line="240" w:lineRule="auto"/>
            </w:pPr>
            <w:r>
              <w:rPr>
                <w:sz w:val="18"/>
              </w:rPr>
              <w:t>潜在单元—年份位置/个</w:t>
            </w:r>
          </w:p>
        </w:tc>
        <w:tc>
          <w:tcPr>
            <w:tcW w:type="dxa" w:w="3289"/>
          </w:tcPr>
          <w:p>
            <w:pPr>
              <w:spacing w:after="40" w:line="240" w:lineRule="auto"/>
            </w:pPr>
            <w:r>
              <w:rPr>
                <w:sz w:val="18"/>
              </w:rPr>
              <w:t>767</w:t>
            </w:r>
          </w:p>
        </w:tc>
        <w:tc>
          <w:tcPr>
            <w:tcW w:type="dxa" w:w="3289"/>
          </w:tcPr>
          <w:p>
            <w:pPr>
              <w:spacing w:after="40" w:line="240" w:lineRule="auto"/>
            </w:pPr>
            <w:r>
              <w:rPr>
                <w:sz w:val="18"/>
              </w:rPr>
              <w:t>767</w:t>
            </w:r>
          </w:p>
        </w:tc>
      </w:tr>
      <w:tr>
        <w:trPr>
          <w:cantSplit/>
        </w:trPr>
        <w:tc>
          <w:tcPr>
            <w:tcW w:type="dxa" w:w="3289"/>
          </w:tcPr>
          <w:p>
            <w:pPr>
              <w:spacing w:after="40" w:line="240" w:lineRule="auto"/>
            </w:pPr>
            <w:r>
              <w:rPr>
                <w:sz w:val="18"/>
              </w:rPr>
              <w:t>真实观测/条</w:t>
            </w:r>
          </w:p>
        </w:tc>
        <w:tc>
          <w:tcPr>
            <w:tcW w:type="dxa" w:w="3289"/>
          </w:tcPr>
          <w:p>
            <w:pPr>
              <w:spacing w:after="40" w:line="240" w:lineRule="auto"/>
            </w:pPr>
            <w:r>
              <w:rPr>
                <w:sz w:val="18"/>
              </w:rPr>
              <w:t>387</w:t>
            </w:r>
          </w:p>
        </w:tc>
        <w:tc>
          <w:tcPr>
            <w:tcW w:type="dxa" w:w="3289"/>
          </w:tcPr>
          <w:p>
            <w:pPr>
              <w:spacing w:after="40" w:line="240" w:lineRule="auto"/>
            </w:pPr>
            <w:r>
              <w:rPr>
                <w:sz w:val="18"/>
              </w:rPr>
              <w:t>380</w:t>
            </w:r>
          </w:p>
        </w:tc>
      </w:tr>
      <w:tr>
        <w:trPr>
          <w:cantSplit/>
        </w:trPr>
        <w:tc>
          <w:tcPr>
            <w:tcW w:type="dxa" w:w="3289"/>
          </w:tcPr>
          <w:p>
            <w:pPr>
              <w:spacing w:after="40" w:line="240" w:lineRule="auto"/>
            </w:pPr>
            <w:r>
              <w:rPr>
                <w:sz w:val="18"/>
              </w:rPr>
              <w:t>观测覆盖率/%</w:t>
            </w:r>
          </w:p>
        </w:tc>
        <w:tc>
          <w:tcPr>
            <w:tcW w:type="dxa" w:w="3289"/>
          </w:tcPr>
          <w:p>
            <w:pPr>
              <w:spacing w:after="40" w:line="240" w:lineRule="auto"/>
            </w:pPr>
            <w:r>
              <w:rPr>
                <w:sz w:val="18"/>
              </w:rPr>
              <w:t>50.46</w:t>
            </w:r>
          </w:p>
        </w:tc>
        <w:tc>
          <w:tcPr>
            <w:tcW w:type="dxa" w:w="3289"/>
          </w:tcPr>
          <w:p>
            <w:pPr>
              <w:spacing w:after="40" w:line="240" w:lineRule="auto"/>
            </w:pPr>
            <w:r>
              <w:rPr>
                <w:sz w:val="18"/>
              </w:rPr>
              <w:t>49.54</w:t>
            </w:r>
          </w:p>
        </w:tc>
      </w:tr>
      <w:tr>
        <w:trPr>
          <w:cantSplit/>
        </w:trPr>
        <w:tc>
          <w:tcPr>
            <w:tcW w:type="dxa" w:w="3289"/>
          </w:tcPr>
          <w:p>
            <w:pPr>
              <w:spacing w:after="40" w:line="240" w:lineRule="auto"/>
            </w:pPr>
            <w:r>
              <w:rPr>
                <w:sz w:val="18"/>
              </w:rPr>
              <w:t>评分范围/分</w:t>
            </w:r>
          </w:p>
        </w:tc>
        <w:tc>
          <w:tcPr>
            <w:tcW w:type="dxa" w:w="3289"/>
          </w:tcPr>
          <w:p>
            <w:pPr>
              <w:spacing w:after="40" w:line="240" w:lineRule="auto"/>
            </w:pPr>
            <w:r>
              <w:rPr>
                <w:sz w:val="18"/>
              </w:rPr>
              <w:t>68.10—98.51</w:t>
            </w:r>
          </w:p>
        </w:tc>
        <w:tc>
          <w:tcPr>
            <w:tcW w:type="dxa" w:w="3289"/>
          </w:tcPr>
          <w:p>
            <w:pPr>
              <w:spacing w:after="40" w:line="240" w:lineRule="auto"/>
            </w:pPr>
            <w:r>
              <w:rPr>
                <w:sz w:val="18"/>
              </w:rPr>
              <w:t>46.20—100.00</w:t>
            </w:r>
          </w:p>
        </w:tc>
      </w:tr>
      <w:tr>
        <w:trPr>
          <w:cantSplit/>
        </w:trPr>
        <w:tc>
          <w:tcPr>
            <w:tcW w:type="dxa" w:w="3289"/>
          </w:tcPr>
          <w:p>
            <w:pPr>
              <w:spacing w:after="40" w:line="240" w:lineRule="auto"/>
            </w:pPr>
            <w:r>
              <w:rPr>
                <w:sz w:val="18"/>
              </w:rPr>
              <w:t>平均评分/分</w:t>
            </w:r>
          </w:p>
        </w:tc>
        <w:tc>
          <w:tcPr>
            <w:tcW w:type="dxa" w:w="3289"/>
          </w:tcPr>
          <w:p>
            <w:pPr>
              <w:spacing w:after="40" w:line="240" w:lineRule="auto"/>
            </w:pPr>
            <w:r>
              <w:rPr>
                <w:sz w:val="18"/>
              </w:rPr>
              <w:t>85.6541</w:t>
            </w:r>
          </w:p>
        </w:tc>
        <w:tc>
          <w:tcPr>
            <w:tcW w:type="dxa" w:w="3289"/>
          </w:tcPr>
          <w:p>
            <w:pPr>
              <w:spacing w:after="40" w:line="240" w:lineRule="auto"/>
            </w:pPr>
            <w:r>
              <w:rPr>
                <w:sz w:val="18"/>
              </w:rPr>
              <w:t>80.6054</w:t>
            </w:r>
          </w:p>
        </w:tc>
      </w:tr>
      <w:tr>
        <w:trPr>
          <w:cantSplit/>
        </w:trPr>
        <w:tc>
          <w:tcPr>
            <w:tcW w:type="dxa" w:w="3289"/>
          </w:tcPr>
          <w:p>
            <w:pPr>
              <w:spacing w:after="40" w:line="240" w:lineRule="auto"/>
            </w:pPr>
            <w:r>
              <w:rPr>
                <w:sz w:val="18"/>
              </w:rPr>
              <w:t>1/2/3/4/5类记录/条</w:t>
            </w:r>
          </w:p>
        </w:tc>
        <w:tc>
          <w:tcPr>
            <w:tcW w:type="dxa" w:w="3289"/>
          </w:tcPr>
          <w:p>
            <w:pPr>
              <w:spacing w:after="40" w:line="240" w:lineRule="auto"/>
            </w:pPr>
            <w:r>
              <w:rPr>
                <w:sz w:val="18"/>
              </w:rPr>
              <w:t>94/273/20/0/0</w:t>
            </w:r>
          </w:p>
        </w:tc>
        <w:tc>
          <w:tcPr>
            <w:tcW w:type="dxa" w:w="3289"/>
          </w:tcPr>
          <w:p>
            <w:pPr>
              <w:spacing w:after="40" w:line="240" w:lineRule="auto"/>
            </w:pPr>
            <w:r>
              <w:rPr>
                <w:sz w:val="18"/>
              </w:rPr>
              <w:t>63/213/90/14/0</w:t>
            </w:r>
          </w:p>
        </w:tc>
      </w:tr>
    </w:tbl>
    <w:p>
      <w:r>
        <w:rPr>
          <w:sz w:val="18"/>
        </w:rPr>
        <w:t>注：评分统计仅含真实观测；类别根据所提供2026文本的评分区间映射。</w:t>
      </w:r>
    </w:p>
    <w:p>
      <w:pPr>
        <w:pStyle w:val="Heading2"/>
      </w:pPr>
      <w:r>
        <w:t>2.2 基于历史信息的桥梁状态预测</w:t>
      </w:r>
    </w:p>
    <w:p>
      <w:r>
        <w:t>连续预测的目标是下一次真实检测记录中的全桥技术状况评分。每个样本的起点为已有真实检测年份，终点为该单元下一次真实检测年份。两次检测之间允许相隔多年。模型输入包括目标年份桥龄、预测间隔、末次全桥评分、起点之前最近一次上部结构评分、上部结构历史缺失标记、桥长、净宽以及三项功能类型指示变量，共10个特征。若起点以前没有上部结构评分，使用末次全桥评分作为特征回退值，同时保留缺失标记。该回退不被记作上部结构实测。</w:t>
      </w:r>
    </w:p>
    <w:p>
      <w:r>
        <w:t>验证年份为2018—2024年。对某个目标年份，训练集仅包含目标检测年份更早的样本，然后对该年真实后续检测记录预测。随着年份推进，训练集逐步扩大。训练样本数依次为112、169、179、238、257、316和322条，测试数依次为57、10、59、19、59、6和6条，共216条测试记录。目标年份桥龄和间隔在回顾验证中由实际检测年份确定。实际部署时，应先指定计划预测年份，不能假设未来实际检测日期已经知道。本文评价的是给定预测时距下的评分预测，而非下一次检测时间预测。</w:t>
      </w:r>
    </w:p>
    <w:p>
      <w:r>
        <w:t>LOCF把末次真实全桥评分直接作为预测值。Ridge采用线性预测并对回归系数设置二次惩罚，其惩罚参数固定为10，特征缩放仅由当年训练集估计。XGBoost采用已冻结的参数，作为非线性对照。三种方法在相同目标记录上计算均方根误差RMSE和平均绝对误差MAE。本文沿用已经完成并保存的逐条预测，不重新训练或调参，也不根据测试年份结果选择参数。各年度测试样本数不同，因此总体指标按216条记录汇总，不把每年的误差均值再等权平均。</w:t>
      </w:r>
    </w:p>
    <w:p>
      <w:pPr>
        <w:keepNext/>
        <w:jc w:val="center"/>
      </w:pPr>
      <w:r>
        <w:t>表2 连续评分时间外验证结果</w:t>
      </w:r>
    </w:p>
    <w:tbl>
      <w:tblPr>
        <w:tblStyle w:val="TableGrid"/>
        <w:tblW w:type="auto" w:w="0"/>
        <w:tblLook w:firstColumn="1" w:firstRow="1" w:lastColumn="0" w:lastRow="0" w:noHBand="0" w:noVBand="1" w:val="04A0"/>
      </w:tblPr>
      <w:tblGrid>
        <w:gridCol w:w="1973"/>
        <w:gridCol w:w="1973"/>
        <w:gridCol w:w="1973"/>
        <w:gridCol w:w="1973"/>
        <w:gridCol w:w="1973"/>
      </w:tblGrid>
      <w:tr>
        <w:trPr>
          <w:tblHeader/>
          <w:cantSplit/>
        </w:trPr>
        <w:tc>
          <w:tcPr>
            <w:tcW w:type="dxa" w:w="1973"/>
          </w:tcPr>
          <w:p>
            <w:pPr>
              <w:spacing w:after="40" w:line="240" w:lineRule="auto"/>
            </w:pPr>
            <w:r>
              <w:rPr>
                <w:sz w:val="18"/>
              </w:rPr>
              <w:t>模型</w:t>
            </w:r>
          </w:p>
        </w:tc>
        <w:tc>
          <w:tcPr>
            <w:tcW w:type="dxa" w:w="1973"/>
          </w:tcPr>
          <w:p>
            <w:pPr>
              <w:spacing w:after="40" w:line="240" w:lineRule="auto"/>
            </w:pPr>
            <w:r>
              <w:rPr>
                <w:sz w:val="18"/>
              </w:rPr>
              <w:t>测试数</w:t>
            </w:r>
          </w:p>
        </w:tc>
        <w:tc>
          <w:tcPr>
            <w:tcW w:type="dxa" w:w="1973"/>
          </w:tcPr>
          <w:p>
            <w:pPr>
              <w:spacing w:after="40" w:line="240" w:lineRule="auto"/>
            </w:pPr>
            <w:r>
              <w:rPr>
                <w:sz w:val="18"/>
              </w:rPr>
              <w:t>RMSE/分</w:t>
            </w:r>
          </w:p>
        </w:tc>
        <w:tc>
          <w:tcPr>
            <w:tcW w:type="dxa" w:w="1973"/>
          </w:tcPr>
          <w:p>
            <w:pPr>
              <w:spacing w:after="40" w:line="240" w:lineRule="auto"/>
            </w:pPr>
            <w:r>
              <w:rPr>
                <w:sz w:val="18"/>
              </w:rPr>
              <w:t>MAE/分</w:t>
            </w:r>
          </w:p>
        </w:tc>
        <w:tc>
          <w:tcPr>
            <w:tcW w:type="dxa" w:w="1973"/>
          </w:tcPr>
          <w:p>
            <w:pPr>
              <w:spacing w:after="40" w:line="240" w:lineRule="auto"/>
            </w:pPr>
            <w:r>
              <w:rPr>
                <w:sz w:val="18"/>
              </w:rPr>
              <w:t>R²</w:t>
            </w:r>
          </w:p>
        </w:tc>
      </w:tr>
      <w:tr>
        <w:trPr>
          <w:cantSplit/>
        </w:trPr>
        <w:tc>
          <w:tcPr>
            <w:tcW w:type="dxa" w:w="1973"/>
          </w:tcPr>
          <w:p>
            <w:pPr>
              <w:spacing w:after="40" w:line="240" w:lineRule="auto"/>
            </w:pPr>
            <w:r>
              <w:rPr>
                <w:sz w:val="18"/>
              </w:rPr>
              <w:t>LOCF</w:t>
            </w:r>
          </w:p>
        </w:tc>
        <w:tc>
          <w:tcPr>
            <w:tcW w:type="dxa" w:w="1973"/>
          </w:tcPr>
          <w:p>
            <w:pPr>
              <w:spacing w:after="40" w:line="240" w:lineRule="auto"/>
            </w:pPr>
            <w:r>
              <w:rPr>
                <w:sz w:val="18"/>
              </w:rPr>
              <w:t>216</w:t>
            </w:r>
          </w:p>
        </w:tc>
        <w:tc>
          <w:tcPr>
            <w:tcW w:type="dxa" w:w="1973"/>
          </w:tcPr>
          <w:p>
            <w:pPr>
              <w:spacing w:after="40" w:line="240" w:lineRule="auto"/>
            </w:pPr>
            <w:r>
              <w:rPr>
                <w:sz w:val="18"/>
              </w:rPr>
              <w:t>4.9971</w:t>
            </w:r>
          </w:p>
        </w:tc>
        <w:tc>
          <w:tcPr>
            <w:tcW w:type="dxa" w:w="1973"/>
          </w:tcPr>
          <w:p>
            <w:pPr>
              <w:spacing w:after="40" w:line="240" w:lineRule="auto"/>
            </w:pPr>
            <w:r>
              <w:rPr>
                <w:sz w:val="18"/>
              </w:rPr>
              <w:t>3.7128</w:t>
            </w:r>
          </w:p>
        </w:tc>
        <w:tc>
          <w:tcPr>
            <w:tcW w:type="dxa" w:w="1973"/>
          </w:tcPr>
          <w:p>
            <w:pPr>
              <w:spacing w:after="40" w:line="240" w:lineRule="auto"/>
            </w:pPr>
            <w:r>
              <w:rPr>
                <w:sz w:val="18"/>
              </w:rPr>
              <w:t>-0.0104</w:t>
            </w:r>
          </w:p>
        </w:tc>
      </w:tr>
      <w:tr>
        <w:trPr>
          <w:cantSplit/>
        </w:trPr>
        <w:tc>
          <w:tcPr>
            <w:tcW w:type="dxa" w:w="1973"/>
          </w:tcPr>
          <w:p>
            <w:pPr>
              <w:spacing w:after="40" w:line="240" w:lineRule="auto"/>
            </w:pPr>
            <w:r>
              <w:rPr>
                <w:sz w:val="18"/>
              </w:rPr>
              <w:t>Ridge</w:t>
            </w:r>
          </w:p>
        </w:tc>
        <w:tc>
          <w:tcPr>
            <w:tcW w:type="dxa" w:w="1973"/>
          </w:tcPr>
          <w:p>
            <w:pPr>
              <w:spacing w:after="40" w:line="240" w:lineRule="auto"/>
            </w:pPr>
            <w:r>
              <w:rPr>
                <w:sz w:val="18"/>
              </w:rPr>
              <w:t>216</w:t>
            </w:r>
          </w:p>
        </w:tc>
        <w:tc>
          <w:tcPr>
            <w:tcW w:type="dxa" w:w="1973"/>
          </w:tcPr>
          <w:p>
            <w:pPr>
              <w:spacing w:after="40" w:line="240" w:lineRule="auto"/>
            </w:pPr>
            <w:r>
              <w:rPr>
                <w:sz w:val="18"/>
              </w:rPr>
              <w:t>4.0771</w:t>
            </w:r>
          </w:p>
        </w:tc>
        <w:tc>
          <w:tcPr>
            <w:tcW w:type="dxa" w:w="1973"/>
          </w:tcPr>
          <w:p>
            <w:pPr>
              <w:spacing w:after="40" w:line="240" w:lineRule="auto"/>
            </w:pPr>
            <w:r>
              <w:rPr>
                <w:sz w:val="18"/>
              </w:rPr>
              <w:t>3.0332</w:t>
            </w:r>
          </w:p>
        </w:tc>
        <w:tc>
          <w:tcPr>
            <w:tcW w:type="dxa" w:w="1973"/>
          </w:tcPr>
          <w:p>
            <w:pPr>
              <w:spacing w:after="40" w:line="240" w:lineRule="auto"/>
            </w:pPr>
            <w:r>
              <w:rPr>
                <w:sz w:val="18"/>
              </w:rPr>
              <w:t>0.3274</w:t>
            </w:r>
          </w:p>
        </w:tc>
      </w:tr>
      <w:tr>
        <w:trPr>
          <w:cantSplit/>
        </w:trPr>
        <w:tc>
          <w:tcPr>
            <w:tcW w:type="dxa" w:w="1973"/>
          </w:tcPr>
          <w:p>
            <w:pPr>
              <w:spacing w:after="40" w:line="240" w:lineRule="auto"/>
            </w:pPr>
            <w:r>
              <w:rPr>
                <w:sz w:val="18"/>
              </w:rPr>
              <w:t>XGBoost</w:t>
            </w:r>
          </w:p>
        </w:tc>
        <w:tc>
          <w:tcPr>
            <w:tcW w:type="dxa" w:w="1973"/>
          </w:tcPr>
          <w:p>
            <w:pPr>
              <w:spacing w:after="40" w:line="240" w:lineRule="auto"/>
            </w:pPr>
            <w:r>
              <w:rPr>
                <w:sz w:val="18"/>
              </w:rPr>
              <w:t>216</w:t>
            </w:r>
          </w:p>
        </w:tc>
        <w:tc>
          <w:tcPr>
            <w:tcW w:type="dxa" w:w="1973"/>
          </w:tcPr>
          <w:p>
            <w:pPr>
              <w:spacing w:after="40" w:line="240" w:lineRule="auto"/>
            </w:pPr>
            <w:r>
              <w:rPr>
                <w:sz w:val="18"/>
              </w:rPr>
              <w:t>4.6146</w:t>
            </w:r>
          </w:p>
        </w:tc>
        <w:tc>
          <w:tcPr>
            <w:tcW w:type="dxa" w:w="1973"/>
          </w:tcPr>
          <w:p>
            <w:pPr>
              <w:spacing w:after="40" w:line="240" w:lineRule="auto"/>
            </w:pPr>
            <w:r>
              <w:rPr>
                <w:sz w:val="18"/>
              </w:rPr>
              <w:t>3.6122</w:t>
            </w:r>
          </w:p>
        </w:tc>
        <w:tc>
          <w:tcPr>
            <w:tcW w:type="dxa" w:w="1973"/>
          </w:tcPr>
          <w:p>
            <w:pPr>
              <w:spacing w:after="40" w:line="240" w:lineRule="auto"/>
            </w:pPr>
            <w:r>
              <w:rPr>
                <w:sz w:val="18"/>
              </w:rPr>
              <w:t>0.1384</w:t>
            </w:r>
          </w:p>
        </w:tc>
      </w:tr>
    </w:tbl>
    <w:p>
      <w:r>
        <w:rPr>
          <w:sz w:val="18"/>
        </w:rPr>
        <w:t>注：三模型采用同一批216条后续真实检测；总体指标按记录汇总。</w:t>
      </w:r>
    </w:p>
    <w:p>
      <w:pPr>
        <w:jc w:val="center"/>
      </w:pPr>
      <m:oMath>
        <m:r>
          <m:t>RMSE = √[(1/n)∑ₖ(ŷₖ−yₖ)²]； MAE = (1/n)∑ₖ|ŷₖ−yₖ|</m:t>
        </m:r>
      </m:oMath>
      <w:r>
        <w:t xml:space="preserve">    （1）</w:t>
      </w:r>
    </w:p>
    <w:p>
      <w:pPr>
        <w:pStyle w:val="Heading2"/>
      </w:pPr>
      <w:r>
        <w:t>2.3 2024年规划初始状态构建</w:t>
      </w:r>
    </w:p>
    <w:p>
      <w:r>
        <w:t>以2024年末为养护规划起点，构造LOCF参考规划初值与Ridge候选规划初值。2024年有真实全桥评分的6个单元，在两套初值中均保留当年实测值。其余53个单元的LOCF初值取2024年前最近一次真实评分。程序根据每个单元的记录自动寻找该年份；本资料中这些记录均来自2022年，不将2022写成通用的固定规则。Ridge初值由只使用2024年前数据训练的冻结模型预测，历史特征截至最近一次真实观测，预测终点统一为2024年。</w:t>
      </w:r>
    </w:p>
    <w:p>
      <w:r>
        <w:t>两套初值分别代表简单延续与数据预测两种处理方式。它们使用的6个实测项相同，差异仅来自53个缺测项。本文保留每项评分的来源、最近真实年份和估计标记，以便追溯。即使Ridge在历史时间外验证中误差较低，也不能据此断言每一个2024年预测值更准确，因为53个缺测项缺少同期真值。后续规划分别使用两套初值，且共享同一绝对资源上限。这样可以避免将初值变化与资源可用量变化同时引入比较。</w:t>
      </w:r>
    </w:p>
    <w:p>
      <w:pPr>
        <w:pStyle w:val="Heading2"/>
      </w:pPr>
      <w:r>
        <w:t>2.4 预防性养护状态递推与资源模型</w:t>
      </w:r>
    </w:p>
    <w:p>
      <w:r>
        <w:t>规划期为2025—2044年，共20年。令xᵢ,ₜ为单元i在年份t是否养护的二元变量，Sᵢ,₀为2024年规划初值。每年先按固定年退化量d得到养护前评分，再按当年的养护行动增加恢复量R，所有评分限制在0至100分之间。参考情景取d=0.65分/年、R=6分。资料没有完整养护事件和养护前后配对检测，因此这两个数均为规划情景参数。它们不是由当前台账识别的自然退化率或实测恢复效果。简单递推的用途是比较相同假设下的排程，而不是精确预测20年后的真实评分。</w:t>
      </w:r>
    </w:p>
    <w:p>
      <w:r>
        <w:t>单次养护资源rᵢ,ₜ由面积占比和养护前评分确定。Aᵢ为单元面积，A总为59个单元的面积之和，wᵢ=Aᵢ/A总。相同评分下，大面积单元占用更多资源；相同面积下，评分较低时资源增加。形状参数α=1.5、β=2沿用设计预览，其作用是控制评分项的变化幅度。主分析计算20年内所有养护行动的累计归一化资源，不使用人民币单位，也不作财务折现。面积只进入资源计算，长期评分目标仍按检测单元等权计算。</w:t>
      </w:r>
    </w:p>
    <w:p>
      <w:r>
        <w:t>正式优化前，程序检查面积为正、权重和为1、资源非负以及评分和面积变化的方向是否符合定义，并保存逐单元诊断。对评分范围0至100，状态乘数位于1至10.375之间；在管理要求接近的60分处，乘数为2.5。该检查用于识别函数异常，不说明这些乘数已经得到工程验证。模型未包含不同处治类型、交通导改、固定进场费用以及施工规模效应，因此归一化资源只能用于本文内部的相对比较，不能直接用于采购或工程预算。</w:t>
      </w:r>
    </w:p>
    <w:p>
      <w:pPr>
        <w:keepNext/>
        <w:jc w:val="center"/>
      </w:pPr>
      <w:r>
        <w:t>表3 规划模型参数及参数性质</w:t>
      </w:r>
    </w:p>
    <w:tbl>
      <w:tblPr>
        <w:tblStyle w:val="TableGrid"/>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spacing w:after="40" w:line="240" w:lineRule="auto"/>
            </w:pPr>
            <w:r>
              <w:rPr>
                <w:sz w:val="18"/>
              </w:rPr>
              <w:t>参数</w:t>
            </w:r>
          </w:p>
        </w:tc>
        <w:tc>
          <w:tcPr>
            <w:tcW w:type="dxa" w:w="2466"/>
          </w:tcPr>
          <w:p>
            <w:pPr>
              <w:spacing w:after="40" w:line="240" w:lineRule="auto"/>
            </w:pPr>
            <w:r>
              <w:rPr>
                <w:sz w:val="18"/>
              </w:rPr>
              <w:t>取值</w:t>
            </w:r>
          </w:p>
        </w:tc>
        <w:tc>
          <w:tcPr>
            <w:tcW w:type="dxa" w:w="2466"/>
          </w:tcPr>
          <w:p>
            <w:pPr>
              <w:spacing w:after="40" w:line="240" w:lineRule="auto"/>
            </w:pPr>
            <w:r>
              <w:rPr>
                <w:sz w:val="18"/>
              </w:rPr>
              <w:t>参数性质</w:t>
            </w:r>
          </w:p>
        </w:tc>
        <w:tc>
          <w:tcPr>
            <w:tcW w:type="dxa" w:w="2466"/>
          </w:tcPr>
          <w:p>
            <w:pPr>
              <w:spacing w:after="40" w:line="240" w:lineRule="auto"/>
            </w:pPr>
            <w:r>
              <w:rPr>
                <w:sz w:val="18"/>
              </w:rPr>
              <w:t>说明</w:t>
            </w:r>
          </w:p>
        </w:tc>
      </w:tr>
      <w:tr>
        <w:trPr>
          <w:cantSplit/>
        </w:trPr>
        <w:tc>
          <w:tcPr>
            <w:tcW w:type="dxa" w:w="2466"/>
          </w:tcPr>
          <w:p>
            <w:pPr>
              <w:spacing w:after="40" w:line="240" w:lineRule="auto"/>
            </w:pPr>
            <w:r>
              <w:rPr>
                <w:sz w:val="18"/>
              </w:rPr>
              <w:t>检测单元数</w:t>
            </w:r>
          </w:p>
        </w:tc>
        <w:tc>
          <w:tcPr>
            <w:tcW w:type="dxa" w:w="2466"/>
          </w:tcPr>
          <w:p>
            <w:pPr>
              <w:spacing w:after="40" w:line="240" w:lineRule="auto"/>
            </w:pPr>
            <w:r>
              <w:rPr>
                <w:sz w:val="18"/>
              </w:rPr>
              <w:t>59</w:t>
            </w:r>
          </w:p>
        </w:tc>
        <w:tc>
          <w:tcPr>
            <w:tcW w:type="dxa" w:w="2466"/>
          </w:tcPr>
          <w:p>
            <w:pPr>
              <w:spacing w:after="40" w:line="240" w:lineRule="auto"/>
            </w:pPr>
            <w:r>
              <w:rPr>
                <w:sz w:val="18"/>
              </w:rPr>
              <w:t>实测数据</w:t>
            </w:r>
          </w:p>
        </w:tc>
        <w:tc>
          <w:tcPr>
            <w:tcW w:type="dxa" w:w="2466"/>
          </w:tcPr>
          <w:p>
            <w:pPr>
              <w:spacing w:after="40" w:line="240" w:lineRule="auto"/>
            </w:pPr>
            <w:r>
              <w:rPr>
                <w:sz w:val="18"/>
              </w:rPr>
              <w:t>台账清理</w:t>
            </w:r>
          </w:p>
        </w:tc>
      </w:tr>
      <w:tr>
        <w:trPr>
          <w:cantSplit/>
        </w:trPr>
        <w:tc>
          <w:tcPr>
            <w:tcW w:type="dxa" w:w="2466"/>
          </w:tcPr>
          <w:p>
            <w:pPr>
              <w:spacing w:after="40" w:line="240" w:lineRule="auto"/>
            </w:pPr>
            <w:r>
              <w:rPr>
                <w:sz w:val="18"/>
              </w:rPr>
              <w:t>面积权重wᵢ</w:t>
            </w:r>
          </w:p>
        </w:tc>
        <w:tc>
          <w:tcPr>
            <w:tcW w:type="dxa" w:w="2466"/>
          </w:tcPr>
          <w:p>
            <w:pPr>
              <w:spacing w:after="40" w:line="240" w:lineRule="auto"/>
            </w:pPr>
            <w:r>
              <w:rPr>
                <w:sz w:val="18"/>
              </w:rPr>
              <w:t>Aᵢ/A总</w:t>
            </w:r>
          </w:p>
        </w:tc>
        <w:tc>
          <w:tcPr>
            <w:tcW w:type="dxa" w:w="2466"/>
          </w:tcPr>
          <w:p>
            <w:pPr>
              <w:spacing w:after="40" w:line="240" w:lineRule="auto"/>
            </w:pPr>
            <w:r>
              <w:rPr>
                <w:sz w:val="18"/>
              </w:rPr>
              <w:t>实测数据</w:t>
            </w:r>
          </w:p>
        </w:tc>
        <w:tc>
          <w:tcPr>
            <w:tcW w:type="dxa" w:w="2466"/>
          </w:tcPr>
          <w:p>
            <w:pPr>
              <w:spacing w:after="40" w:line="240" w:lineRule="auto"/>
            </w:pPr>
            <w:r>
              <w:rPr>
                <w:sz w:val="18"/>
              </w:rPr>
              <w:t>桥长×净宽；只用于资源</w:t>
            </w:r>
          </w:p>
        </w:tc>
      </w:tr>
      <w:tr>
        <w:trPr>
          <w:cantSplit/>
        </w:trPr>
        <w:tc>
          <w:tcPr>
            <w:tcW w:type="dxa" w:w="2466"/>
          </w:tcPr>
          <w:p>
            <w:pPr>
              <w:spacing w:after="40" w:line="240" w:lineRule="auto"/>
            </w:pPr>
            <w:r>
              <w:rPr>
                <w:sz w:val="18"/>
              </w:rPr>
              <w:t>等级区间阈值/分</w:t>
            </w:r>
          </w:p>
        </w:tc>
        <w:tc>
          <w:tcPr>
            <w:tcW w:type="dxa" w:w="2466"/>
          </w:tcPr>
          <w:p>
            <w:pPr>
              <w:spacing w:after="40" w:line="240" w:lineRule="auto"/>
            </w:pPr>
            <w:r>
              <w:rPr>
                <w:sz w:val="18"/>
              </w:rPr>
              <w:t>90、75、60、40</w:t>
            </w:r>
          </w:p>
        </w:tc>
        <w:tc>
          <w:tcPr>
            <w:tcW w:type="dxa" w:w="2466"/>
          </w:tcPr>
          <w:p>
            <w:pPr>
              <w:spacing w:after="40" w:line="240" w:lineRule="auto"/>
            </w:pPr>
            <w:r>
              <w:rPr>
                <w:sz w:val="18"/>
              </w:rPr>
              <w:t>规范区间</w:t>
            </w:r>
          </w:p>
        </w:tc>
        <w:tc>
          <w:tcPr>
            <w:tcW w:type="dxa" w:w="2466"/>
          </w:tcPr>
          <w:p>
            <w:pPr>
              <w:spacing w:after="40" w:line="240" w:lineRule="auto"/>
            </w:pPr>
            <w:r>
              <w:rPr>
                <w:sz w:val="18"/>
              </w:rPr>
              <w:t>仅作评分区间映射</w:t>
            </w:r>
          </w:p>
        </w:tc>
      </w:tr>
      <w:tr>
        <w:trPr>
          <w:cantSplit/>
        </w:trPr>
        <w:tc>
          <w:tcPr>
            <w:tcW w:type="dxa" w:w="2466"/>
          </w:tcPr>
          <w:p>
            <w:pPr>
              <w:spacing w:after="40" w:line="240" w:lineRule="auto"/>
            </w:pPr>
            <w:r>
              <w:rPr>
                <w:sz w:val="18"/>
              </w:rPr>
              <w:t>规划期</w:t>
            </w:r>
          </w:p>
        </w:tc>
        <w:tc>
          <w:tcPr>
            <w:tcW w:type="dxa" w:w="2466"/>
          </w:tcPr>
          <w:p>
            <w:pPr>
              <w:spacing w:after="40" w:line="240" w:lineRule="auto"/>
            </w:pPr>
            <w:r>
              <w:rPr>
                <w:sz w:val="18"/>
              </w:rPr>
              <w:t>2025—2044</w:t>
            </w:r>
          </w:p>
        </w:tc>
        <w:tc>
          <w:tcPr>
            <w:tcW w:type="dxa" w:w="2466"/>
          </w:tcPr>
          <w:p>
            <w:pPr>
              <w:spacing w:after="40" w:line="240" w:lineRule="auto"/>
            </w:pPr>
            <w:r>
              <w:rPr>
                <w:sz w:val="18"/>
              </w:rPr>
              <w:t>规划设置</w:t>
            </w:r>
          </w:p>
        </w:tc>
        <w:tc>
          <w:tcPr>
            <w:tcW w:type="dxa" w:w="2466"/>
          </w:tcPr>
          <w:p>
            <w:pPr>
              <w:spacing w:after="40" w:line="240" w:lineRule="auto"/>
            </w:pPr>
            <w:r>
              <w:rPr>
                <w:sz w:val="18"/>
              </w:rPr>
              <w:t>20年</w:t>
            </w:r>
          </w:p>
        </w:tc>
      </w:tr>
      <w:tr>
        <w:trPr>
          <w:cantSplit/>
        </w:trPr>
        <w:tc>
          <w:tcPr>
            <w:tcW w:type="dxa" w:w="2466"/>
          </w:tcPr>
          <w:p>
            <w:pPr>
              <w:spacing w:after="40" w:line="240" w:lineRule="auto"/>
            </w:pPr>
            <w:r>
              <w:rPr>
                <w:sz w:val="18"/>
              </w:rPr>
              <w:t>年退化量d/(分/年)</w:t>
            </w:r>
          </w:p>
        </w:tc>
        <w:tc>
          <w:tcPr>
            <w:tcW w:type="dxa" w:w="2466"/>
          </w:tcPr>
          <w:p>
            <w:pPr>
              <w:spacing w:after="40" w:line="240" w:lineRule="auto"/>
            </w:pPr>
            <w:r>
              <w:rPr>
                <w:sz w:val="18"/>
              </w:rPr>
              <w:t>0.65；敏感性0.45/0.85</w:t>
            </w:r>
          </w:p>
        </w:tc>
        <w:tc>
          <w:tcPr>
            <w:tcW w:type="dxa" w:w="2466"/>
          </w:tcPr>
          <w:p>
            <w:pPr>
              <w:spacing w:after="40" w:line="240" w:lineRule="auto"/>
            </w:pPr>
            <w:r>
              <w:rPr>
                <w:sz w:val="18"/>
              </w:rPr>
              <w:t>规划设置</w:t>
            </w:r>
          </w:p>
        </w:tc>
        <w:tc>
          <w:tcPr>
            <w:tcW w:type="dxa" w:w="2466"/>
          </w:tcPr>
          <w:p>
            <w:pPr>
              <w:spacing w:after="40" w:line="240" w:lineRule="auto"/>
            </w:pPr>
            <w:r>
              <w:rPr>
                <w:sz w:val="18"/>
              </w:rPr>
              <w:t>未作实测校准</w:t>
            </w:r>
          </w:p>
        </w:tc>
      </w:tr>
      <w:tr>
        <w:trPr>
          <w:cantSplit/>
        </w:trPr>
        <w:tc>
          <w:tcPr>
            <w:tcW w:type="dxa" w:w="2466"/>
          </w:tcPr>
          <w:p>
            <w:pPr>
              <w:spacing w:after="40" w:line="240" w:lineRule="auto"/>
            </w:pPr>
            <w:r>
              <w:rPr>
                <w:sz w:val="18"/>
              </w:rPr>
              <w:t>养护恢复量R/分</w:t>
            </w:r>
          </w:p>
        </w:tc>
        <w:tc>
          <w:tcPr>
            <w:tcW w:type="dxa" w:w="2466"/>
          </w:tcPr>
          <w:p>
            <w:pPr>
              <w:spacing w:after="40" w:line="240" w:lineRule="auto"/>
            </w:pPr>
            <w:r>
              <w:rPr>
                <w:sz w:val="18"/>
              </w:rPr>
              <w:t>6</w:t>
            </w:r>
          </w:p>
        </w:tc>
        <w:tc>
          <w:tcPr>
            <w:tcW w:type="dxa" w:w="2466"/>
          </w:tcPr>
          <w:p>
            <w:pPr>
              <w:spacing w:after="40" w:line="240" w:lineRule="auto"/>
            </w:pPr>
            <w:r>
              <w:rPr>
                <w:sz w:val="18"/>
              </w:rPr>
              <w:t>规划设置</w:t>
            </w:r>
          </w:p>
        </w:tc>
        <w:tc>
          <w:tcPr>
            <w:tcW w:type="dxa" w:w="2466"/>
          </w:tcPr>
          <w:p>
            <w:pPr>
              <w:spacing w:after="40" w:line="240" w:lineRule="auto"/>
            </w:pPr>
            <w:r>
              <w:rPr>
                <w:sz w:val="18"/>
              </w:rPr>
              <w:t>未作实测校准</w:t>
            </w:r>
          </w:p>
        </w:tc>
      </w:tr>
      <w:tr>
        <w:trPr>
          <w:cantSplit/>
        </w:trPr>
        <w:tc>
          <w:tcPr>
            <w:tcW w:type="dxa" w:w="2466"/>
          </w:tcPr>
          <w:p>
            <w:pPr>
              <w:spacing w:after="40" w:line="240" w:lineRule="auto"/>
            </w:pPr>
            <w:r>
              <w:rPr>
                <w:sz w:val="18"/>
              </w:rPr>
              <w:t>资源形状参数α、β</w:t>
            </w:r>
          </w:p>
        </w:tc>
        <w:tc>
          <w:tcPr>
            <w:tcW w:type="dxa" w:w="2466"/>
          </w:tcPr>
          <w:p>
            <w:pPr>
              <w:spacing w:after="40" w:line="240" w:lineRule="auto"/>
            </w:pPr>
            <w:r>
              <w:rPr>
                <w:sz w:val="18"/>
              </w:rPr>
              <w:t>1.5、2</w:t>
            </w:r>
          </w:p>
        </w:tc>
        <w:tc>
          <w:tcPr>
            <w:tcW w:type="dxa" w:w="2466"/>
          </w:tcPr>
          <w:p>
            <w:pPr>
              <w:spacing w:after="40" w:line="240" w:lineRule="auto"/>
            </w:pPr>
            <w:r>
              <w:rPr>
                <w:sz w:val="18"/>
              </w:rPr>
              <w:t>模型参数</w:t>
            </w:r>
          </w:p>
        </w:tc>
        <w:tc>
          <w:tcPr>
            <w:tcW w:type="dxa" w:w="2466"/>
          </w:tcPr>
          <w:p>
            <w:pPr>
              <w:spacing w:after="40" w:line="240" w:lineRule="auto"/>
            </w:pPr>
            <w:r>
              <w:rPr>
                <w:sz w:val="18"/>
              </w:rPr>
              <w:t>资源函数形状；非造价参数</w:t>
            </w:r>
          </w:p>
        </w:tc>
      </w:tr>
      <w:tr>
        <w:trPr>
          <w:cantSplit/>
        </w:trPr>
        <w:tc>
          <w:tcPr>
            <w:tcW w:type="dxa" w:w="2466"/>
          </w:tcPr>
          <w:p>
            <w:pPr>
              <w:spacing w:after="40" w:line="240" w:lineRule="auto"/>
            </w:pPr>
            <w:r>
              <w:rPr>
                <w:sz w:val="18"/>
              </w:rPr>
              <w:t>年度养护能力/个</w:t>
            </w:r>
          </w:p>
        </w:tc>
        <w:tc>
          <w:tcPr>
            <w:tcW w:type="dxa" w:w="2466"/>
          </w:tcPr>
          <w:p>
            <w:pPr>
              <w:spacing w:after="40" w:line="240" w:lineRule="auto"/>
            </w:pPr>
            <w:r>
              <w:rPr>
                <w:sz w:val="18"/>
              </w:rPr>
              <w:t>≤8</w:t>
            </w:r>
          </w:p>
        </w:tc>
        <w:tc>
          <w:tcPr>
            <w:tcW w:type="dxa" w:w="2466"/>
          </w:tcPr>
          <w:p>
            <w:pPr>
              <w:spacing w:after="40" w:line="240" w:lineRule="auto"/>
            </w:pPr>
            <w:r>
              <w:rPr>
                <w:sz w:val="18"/>
              </w:rPr>
              <w:t>规划设置</w:t>
            </w:r>
          </w:p>
        </w:tc>
        <w:tc>
          <w:tcPr>
            <w:tcW w:type="dxa" w:w="2466"/>
          </w:tcPr>
          <w:p>
            <w:pPr>
              <w:spacing w:after="40" w:line="240" w:lineRule="auto"/>
            </w:pPr>
            <w:r>
              <w:rPr>
                <w:sz w:val="18"/>
              </w:rPr>
              <w:t>各年分别检查</w:t>
            </w:r>
          </w:p>
        </w:tc>
      </w:tr>
      <w:tr>
        <w:trPr>
          <w:cantSplit/>
        </w:trPr>
        <w:tc>
          <w:tcPr>
            <w:tcW w:type="dxa" w:w="2466"/>
          </w:tcPr>
          <w:p>
            <w:pPr>
              <w:spacing w:after="40" w:line="240" w:lineRule="auto"/>
            </w:pPr>
            <w:r>
              <w:rPr>
                <w:sz w:val="18"/>
              </w:rPr>
              <w:t>同单元养护间隔/年</w:t>
            </w:r>
          </w:p>
        </w:tc>
        <w:tc>
          <w:tcPr>
            <w:tcW w:type="dxa" w:w="2466"/>
          </w:tcPr>
          <w:p>
            <w:pPr>
              <w:spacing w:after="40" w:line="240" w:lineRule="auto"/>
            </w:pPr>
            <w:r>
              <w:rPr>
                <w:sz w:val="18"/>
              </w:rPr>
              <w:t>≥3</w:t>
            </w:r>
          </w:p>
        </w:tc>
        <w:tc>
          <w:tcPr>
            <w:tcW w:type="dxa" w:w="2466"/>
          </w:tcPr>
          <w:p>
            <w:pPr>
              <w:spacing w:after="40" w:line="240" w:lineRule="auto"/>
            </w:pPr>
            <w:r>
              <w:rPr>
                <w:sz w:val="18"/>
              </w:rPr>
              <w:t>规划设置</w:t>
            </w:r>
          </w:p>
        </w:tc>
        <w:tc>
          <w:tcPr>
            <w:tcW w:type="dxa" w:w="2466"/>
          </w:tcPr>
          <w:p>
            <w:pPr>
              <w:spacing w:after="40" w:line="240" w:lineRule="auto"/>
            </w:pPr>
            <w:r>
              <w:rPr>
                <w:sz w:val="18"/>
              </w:rPr>
              <w:t>相邻行动年份差</w:t>
            </w:r>
          </w:p>
        </w:tc>
      </w:tr>
      <w:tr>
        <w:trPr>
          <w:cantSplit/>
        </w:trPr>
        <w:tc>
          <w:tcPr>
            <w:tcW w:type="dxa" w:w="2466"/>
          </w:tcPr>
          <w:p>
            <w:pPr>
              <w:spacing w:after="40" w:line="240" w:lineRule="auto"/>
            </w:pPr>
            <w:r>
              <w:rPr>
                <w:sz w:val="18"/>
              </w:rPr>
              <w:t>单元最多养护次数</w:t>
            </w:r>
          </w:p>
        </w:tc>
        <w:tc>
          <w:tcPr>
            <w:tcW w:type="dxa" w:w="2466"/>
          </w:tcPr>
          <w:p>
            <w:pPr>
              <w:spacing w:after="40" w:line="240" w:lineRule="auto"/>
            </w:pPr>
            <w:r>
              <w:rPr>
                <w:sz w:val="18"/>
              </w:rPr>
              <w:t>≤3</w:t>
            </w:r>
          </w:p>
        </w:tc>
        <w:tc>
          <w:tcPr>
            <w:tcW w:type="dxa" w:w="2466"/>
          </w:tcPr>
          <w:p>
            <w:pPr>
              <w:spacing w:after="40" w:line="240" w:lineRule="auto"/>
            </w:pPr>
            <w:r>
              <w:rPr>
                <w:sz w:val="18"/>
              </w:rPr>
              <w:t>规划设置</w:t>
            </w:r>
          </w:p>
        </w:tc>
        <w:tc>
          <w:tcPr>
            <w:tcW w:type="dxa" w:w="2466"/>
          </w:tcPr>
          <w:p>
            <w:pPr>
              <w:spacing w:after="40" w:line="240" w:lineRule="auto"/>
            </w:pPr>
            <w:r>
              <w:rPr>
                <w:sz w:val="18"/>
              </w:rPr>
              <w:t>20年累计</w:t>
            </w:r>
          </w:p>
        </w:tc>
      </w:tr>
      <w:tr>
        <w:trPr>
          <w:cantSplit/>
        </w:trPr>
        <w:tc>
          <w:tcPr>
            <w:tcW w:type="dxa" w:w="2466"/>
          </w:tcPr>
          <w:p>
            <w:pPr>
              <w:spacing w:after="40" w:line="240" w:lineRule="auto"/>
            </w:pPr>
            <w:r>
              <w:rPr>
                <w:sz w:val="18"/>
              </w:rPr>
              <w:t>最低评分/分</w:t>
            </w:r>
          </w:p>
        </w:tc>
        <w:tc>
          <w:tcPr>
            <w:tcW w:type="dxa" w:w="2466"/>
          </w:tcPr>
          <w:p>
            <w:pPr>
              <w:spacing w:after="40" w:line="240" w:lineRule="auto"/>
            </w:pPr>
            <w:r>
              <w:rPr>
                <w:sz w:val="18"/>
              </w:rPr>
              <w:t>&gt;60</w:t>
            </w:r>
          </w:p>
        </w:tc>
        <w:tc>
          <w:tcPr>
            <w:tcW w:type="dxa" w:w="2466"/>
          </w:tcPr>
          <w:p>
            <w:pPr>
              <w:spacing w:after="40" w:line="240" w:lineRule="auto"/>
            </w:pPr>
            <w:r>
              <w:rPr>
                <w:sz w:val="18"/>
              </w:rPr>
              <w:t>规划设置</w:t>
            </w:r>
          </w:p>
        </w:tc>
        <w:tc>
          <w:tcPr>
            <w:tcW w:type="dxa" w:w="2466"/>
          </w:tcPr>
          <w:p>
            <w:pPr>
              <w:spacing w:after="40" w:line="240" w:lineRule="auto"/>
            </w:pPr>
            <w:r>
              <w:rPr>
                <w:sz w:val="18"/>
              </w:rPr>
              <w:t>各单元、各年</w:t>
            </w:r>
          </w:p>
        </w:tc>
      </w:tr>
      <w:tr>
        <w:trPr>
          <w:cantSplit/>
        </w:trPr>
        <w:tc>
          <w:tcPr>
            <w:tcW w:type="dxa" w:w="2466"/>
          </w:tcPr>
          <w:p>
            <w:pPr>
              <w:spacing w:after="40" w:line="240" w:lineRule="auto"/>
            </w:pPr>
            <w:r>
              <w:rPr>
                <w:sz w:val="18"/>
              </w:rPr>
              <w:t>每年评分&gt;75人数</w:t>
            </w:r>
          </w:p>
        </w:tc>
        <w:tc>
          <w:tcPr>
            <w:tcW w:type="dxa" w:w="2466"/>
          </w:tcPr>
          <w:p>
            <w:pPr>
              <w:spacing w:after="40" w:line="240" w:lineRule="auto"/>
            </w:pPr>
            <w:r>
              <w:rPr>
                <w:sz w:val="18"/>
              </w:rPr>
              <w:t>≥57/59</w:t>
            </w:r>
          </w:p>
        </w:tc>
        <w:tc>
          <w:tcPr>
            <w:tcW w:type="dxa" w:w="2466"/>
          </w:tcPr>
          <w:p>
            <w:pPr>
              <w:spacing w:after="40" w:line="240" w:lineRule="auto"/>
            </w:pPr>
            <w:r>
              <w:rPr>
                <w:sz w:val="18"/>
              </w:rPr>
              <w:t>规划设置</w:t>
            </w:r>
          </w:p>
        </w:tc>
        <w:tc>
          <w:tcPr>
            <w:tcW w:type="dxa" w:w="2466"/>
          </w:tcPr>
          <w:p>
            <w:pPr>
              <w:spacing w:after="40" w:line="240" w:lineRule="auto"/>
            </w:pPr>
            <w:r>
              <w:rPr>
                <w:sz w:val="18"/>
              </w:rPr>
              <w:t>不是规范比例要求</w:t>
            </w:r>
          </w:p>
        </w:tc>
      </w:tr>
      <w:tr>
        <w:trPr>
          <w:cantSplit/>
        </w:trPr>
        <w:tc>
          <w:tcPr>
            <w:tcW w:type="dxa" w:w="2466"/>
          </w:tcPr>
          <w:p>
            <w:pPr>
              <w:spacing w:after="40" w:line="240" w:lineRule="auto"/>
            </w:pPr>
            <w:r>
              <w:rPr>
                <w:sz w:val="18"/>
              </w:rPr>
              <w:t>资源与折现</w:t>
            </w:r>
          </w:p>
        </w:tc>
        <w:tc>
          <w:tcPr>
            <w:tcW w:type="dxa" w:w="2466"/>
          </w:tcPr>
          <w:p>
            <w:pPr>
              <w:spacing w:after="40" w:line="240" w:lineRule="auto"/>
            </w:pPr>
            <w:r>
              <w:rPr>
                <w:sz w:val="18"/>
              </w:rPr>
              <w:t>累计归一化资源；不折现</w:t>
            </w:r>
          </w:p>
        </w:tc>
        <w:tc>
          <w:tcPr>
            <w:tcW w:type="dxa" w:w="2466"/>
          </w:tcPr>
          <w:p>
            <w:pPr>
              <w:spacing w:after="40" w:line="240" w:lineRule="auto"/>
            </w:pPr>
            <w:r>
              <w:rPr>
                <w:sz w:val="18"/>
              </w:rPr>
              <w:t>模型参数</w:t>
            </w:r>
          </w:p>
        </w:tc>
        <w:tc>
          <w:tcPr>
            <w:tcW w:type="dxa" w:w="2466"/>
          </w:tcPr>
          <w:p>
            <w:pPr>
              <w:spacing w:after="40" w:line="240" w:lineRule="auto"/>
            </w:pPr>
            <w:r>
              <w:rPr>
                <w:sz w:val="18"/>
              </w:rPr>
              <w:t>无量纲</w:t>
            </w:r>
          </w:p>
        </w:tc>
      </w:tr>
      <w:tr>
        <w:trPr>
          <w:cantSplit/>
        </w:trPr>
        <w:tc>
          <w:tcPr>
            <w:tcW w:type="dxa" w:w="2466"/>
          </w:tcPr>
          <w:p>
            <w:pPr>
              <w:spacing w:after="40" w:line="240" w:lineRule="auto"/>
            </w:pPr>
            <w:r>
              <w:rPr>
                <w:sz w:val="18"/>
              </w:rPr>
              <w:t>种群/每次评价/重复</w:t>
            </w:r>
          </w:p>
        </w:tc>
        <w:tc>
          <w:tcPr>
            <w:tcW w:type="dxa" w:w="2466"/>
          </w:tcPr>
          <w:p>
            <w:pPr>
              <w:spacing w:after="40" w:line="240" w:lineRule="auto"/>
            </w:pPr>
            <w:r>
              <w:rPr>
                <w:sz w:val="18"/>
              </w:rPr>
              <w:t>30/10000/30</w:t>
            </w:r>
          </w:p>
        </w:tc>
        <w:tc>
          <w:tcPr>
            <w:tcW w:type="dxa" w:w="2466"/>
          </w:tcPr>
          <w:p>
            <w:pPr>
              <w:spacing w:after="40" w:line="240" w:lineRule="auto"/>
            </w:pPr>
            <w:r>
              <w:rPr>
                <w:sz w:val="18"/>
              </w:rPr>
              <w:t>模型参数</w:t>
            </w:r>
          </w:p>
        </w:tc>
        <w:tc>
          <w:tcPr>
            <w:tcW w:type="dxa" w:w="2466"/>
          </w:tcPr>
          <w:p>
            <w:pPr>
              <w:spacing w:after="40" w:line="240" w:lineRule="auto"/>
            </w:pPr>
            <w:r>
              <w:rPr>
                <w:sz w:val="18"/>
              </w:rPr>
              <w:t>主资源及退化情景</w:t>
            </w:r>
          </w:p>
        </w:tc>
      </w:tr>
    </w:tbl>
    <w:p>
      <w:r>
        <w:rPr>
          <w:sz w:val="18"/>
        </w:rPr>
        <w:t>注：57/59为本文设置的管理目标；年退化量、养护恢复量和资源形状参数尚未由工程记录校准。</w:t>
      </w:r>
    </w:p>
    <w:p>
      <w:pPr>
        <w:jc w:val="center"/>
      </w:pPr>
      <m:oMath>
        <m:r>
          <m:t>Sᵖʳᵉᵢ,ₜ = max(0, Sᵢ,ₜ₋₁−d)； Sᵢ,ₜ = min(100, Sᵖʳᵉᵢ,ₜ + Rxᵢ,ₜ)</m:t>
        </m:r>
      </m:oMath>
      <w:r>
        <w:t xml:space="preserve">    （2）</w:t>
      </w:r>
    </w:p>
    <w:p>
      <w:pPr>
        <w:jc w:val="center"/>
      </w:pPr>
      <m:oMath>
        <m:r>
          <m:t>rᵢ,ₜ = (Aᵢ/A总)[1 + α((100−Sᵖʳᵉᵢ,ₜ)/40)ᵝ]； C = ∑ₜ∑ᵢ xᵢ,ₜrᵢ,ₜ</m:t>
        </m:r>
      </m:oMath>
      <w:r>
        <w:t xml:space="preserve">    （3）</w:t>
      </w:r>
    </w:p>
    <w:p>
      <w:pPr>
        <w:pStyle w:val="Heading2"/>
      </w:pPr>
      <w:r>
        <w:t>2.5 归一化养护资源水平</w:t>
      </w:r>
    </w:p>
    <w:p>
      <w:r>
        <w:t>为减少直接人为指定资源上限的影响，首先在LOCF初值和参考退化情景下计算两个资源端点。辅助搜索在满足全部状态及施工约束的前提下，最小化累计归一化资源，将所得最低可行值记为B_min_known，称为最好已知最低可行资源需求。另一组搜索取消总资源上限，以长期平均评分最大为目标，将最好已知高状态方案的实际资源记为B_ref，称为高资源参考水平。两者来自有限计算预算，分别不能解释为理论最小资源和最大预算。端点还随数据、初值和管理设置改变。</w:t>
      </w:r>
    </w:p>
    <w:p>
      <w:r>
        <w:t>在两个端点之间等距构造七档资源水平ρ，取值为0、1/6、2/6、3/6、4/6、5/6和1。对应绝对资源上限B(ρ)由线性插值计算。两套初值均使用由LOCF参考情景确定的同一组B，不为Ridge重新拉伸横轴。于是相同ρ代表相同资源上限，便于解释初值比较。本文同时保存ρ和B，正文主要使用ρ作横轴。在ρ=0处，端点已知存在可行排程，并不意味着每一次有限随机搜索都能找到可行解；可行率描述求解表现，不是桥梁在现实中的安全概率。</w:t>
      </w:r>
    </w:p>
    <w:p>
      <w:pPr>
        <w:jc w:val="center"/>
      </w:pPr>
      <m:oMath>
        <m:r>
          <m:t>B(ρ) = B_min_known + ρ(B_ref−B_min_known)</m:t>
        </m:r>
      </m:oMath>
      <w:r>
        <w:t xml:space="preserve">    （4）</w:t>
      </w:r>
    </w:p>
    <w:p>
      <w:pPr>
        <w:pStyle w:val="Heading2"/>
      </w:pPr>
      <w:r>
        <w:t>2.6 养护时机优化与评价方法</w:t>
      </w:r>
    </w:p>
    <w:p>
      <w:r>
        <w:t>主目标J为59个检测单元20年年末评分的算术平均。全部年末评分必须严格高于60分，每年还要求至少57个单元严格高于75分。57/59是本文设置的管理目标，不是评分标准规定的比例。施工约束为每年最多养护8个单元，同一单元两次养护至少相隔3年，每个单元20年内最多养护3次。可行性检查采用独立程序重新计算状态、资源和行动数量，并在严格大于的阈值处使用统一数值容差，避免把恰好等于阈值的评分判为达标。</w:t>
      </w:r>
    </w:p>
    <w:p>
      <w:r>
        <w:t>本文以标准GJO作为主求解器[6]。连续候选编码经统一离散解码生成养护年份，再按相同状态递推和资源函数评价。比较候选方案时先判断约束是否满足，再比较目标值，避免用不同罚系数改变资源与状态要求[7]。种群规模固定为30，每次搜索的目标评价预算固定为10000，初始化、修复和评价均受记录规则约束。资源水平比较采用相同随机种子集合；同一编号的种子为比较提供配对条件，但不能保证不同初值或退化情景搜索到相同行动。</w:t>
      </w:r>
    </w:p>
    <w:p>
      <w:r>
        <w:t>结果同时报告可行率、可行运行的J均值和标准差、最好已知J、末年平均评分、最低评分、最低1、2类比例、资源及养护次数。均值和标准差不混入不可行方案，最好值也只在可行方案中选择。代表方案固定为LOCF初值、ρ=1/2、d=0.65情景中J最大的可行排程；如J相同，再按资源较少、种子较小确定。两套初值的行动集合由“单元—年份”对组成，以交集数除以并集数计算Jaccard指数。同时比较首次养护年份；未养护项单独标记，不随意赋予一个实际年份。</w:t>
      </w:r>
    </w:p>
    <w:p>
      <w:r>
        <w:t>退化敏感性只设置d=0.45、0.65和0.85分/年，固定LOCF初值、ρ=1/2对应的绝对资源上限、施工约束、算法和种子集合，分别重新优化。另在相同新资源模型下进行GJO与I-GJO的简短求解器对照，用于检查主结论是否依赖求解器选择，不开展新的算法优越性研究。所有新优化输出均保存种子、情景、评价次数和约束检查。完整逐次运行、逐年状态与59单元排程放入补充材料，正文只保留回答三个研究问题所需的结果。</w:t>
      </w:r>
    </w:p>
    <w:p>
      <w:pPr>
        <w:jc w:val="center"/>
      </w:pPr>
      <m:oMath>
        <m:r>
          <m:t>max J = (1/(59×20))∑ₜ₌₂₀₂₅²⁰⁴⁴∑ᵢ₌₁⁵⁹ Sᵢ,ₜ； C ≤ B(ρ)</m:t>
        </m:r>
      </m:oMath>
      <w:r>
        <w:t xml:space="preserve">    （5）</w:t>
      </w:r>
    </w:p>
    <w:p>
      <w:pPr>
        <w:jc w:val="center"/>
      </w:pPr>
      <m:oMath>
        <m:r>
          <m:t>Sᵢ,ₜ &gt; 60； ∑ᵢ 𝟙(Sᵢ,ₜ&gt;75) ≥ 57； ∑ᵢ xᵢ,ₜ ≤ 8</m:t>
        </m:r>
      </m:oMath>
      <w:r>
        <w:t xml:space="preserve">    （6）</w:t>
      </w:r>
    </w:p>
    <w:p>
      <w:pPr>
        <w:jc w:val="center"/>
      </w:pPr>
      <m:oMath>
        <m:r>
          <m:t>∑ₜ xᵢ,ₜ ≤ 3； 相邻行动年份差 ≥ 3； Jaccard = |𝒜ᴸ∩𝒜ᴿ|/|𝒜ᴸ∪𝒜ᴿ|</m:t>
        </m:r>
      </m:oMath>
      <w:r>
        <w:t xml:space="preserve">    （7）</w:t>
      </w:r>
    </w:p>
    <w:p>
      <w:r>
        <w:t>本次共完成550次新优化：资源端点60次，七档资源与两套初值的主分析420次，参考退化量以外的两档敏感性60次，I-GJO对照10次；对照中的10次GJO复用主分析对应种子。每次10000次评价，合计550万次。各主要情景使用20261015至20261044共30个种子，I-GJO对照使用前10个。18个独立情景各预评估8个评分阈值规则候选，共144次预处理评价，单列于搜索预算之外并在同情景中共享。</w:t>
      </w:r>
    </w:p>
    <w:p>
      <w:r>
        <w:t>每个单元使用3个连续坐标，离散为不行动或20个规划年份，再排序并剔除违反最小间隔的请求。若同年请求超过8个，优先实施养护前评分较低的单元，同分按固定单元序号处理；拒绝的请求不自动顺延。总资源不通过悄然删除行动修复，而由完整状态递推后统一检查。共享规则候选仅作为一个初始种群成员，仍计入该次10000次评价。全部550个保存行动由另一实现独立复算，其中520个满足全部约束。</w:t>
      </w:r>
    </w:p>
    <w:p>
      <w:pPr>
        <w:pStyle w:val="Heading1"/>
      </w:pPr>
      <w:r>
        <w:t>3 结果</w:t>
      </w:r>
    </w:p>
    <w:p>
      <w:pPr>
        <w:pStyle w:val="Heading2"/>
      </w:pPr>
      <w:r>
        <w:t>3.1 检测数据与状态预测结果</w:t>
      </w:r>
    </w:p>
    <w:p>
      <w:r>
        <w:t>59个检测单元在13年中共有387条真实全桥评分和380条真实上部结构评分。全桥与上部结构同期均有记录的位置为380个，仅全桥有记录的位置为7个，两者均缺测的位置为380个。全桥评分覆盖率为50.46%，上部结构为49.54%。图1显示观测分布并不均匀，缺测位置不能视为检测评分为零。该资料更接近间歇检测台账，而非逐年连续监测序列，因此后续验证直接使用真实后续观测，不先补满所有年度再评价模型。</w:t>
      </w:r>
    </w:p>
    <w:p>
      <w:r>
        <w:t>按评分区间映射，387条全桥记录中1、2、3类分别为94、273和20条，没有4、5类记录。上部结构1至5类分别为63、213、90、14和0条。全桥连续观测构成328条下一次真实检测转移，间隔1、2、3、4年的数量分别为123、144、55和6条。两年间隔最多，说明在本资料中将所有转移统一解释为一年变化并不合适。低评分记录较少，也限制了对状态较差单元预测误差的单独判断。表1列出观测和评分统计。</w:t>
      </w:r>
    </w:p>
    <w:p>
      <w:r>
        <w:t>216条时间外测试中，LOCF的RMSE和MAE分别为4.9971分和3.7128分，Ridge分别为4.0771分和3.0332分，XGBoost分别为4.6146分和3.6122分。Ridge两项误差最低，其RMSE较LOCF降低约18.41%。图2与表2表明，在当前任务及固定参数下，使用历史特征的简单回归模型比直接延续末次评分取得较低总体误差。这个比较针对同一批真实后续检测，不涉及重新调参后的模型，也不把较高规划评分用作预测准确性的替代指标。</w:t>
      </w:r>
    </w:p>
    <w:p>
      <w:r>
        <w:t>总体误差并不表示每年或每项预测都接近真实值。年度测试量从6条至59条不等，记录较多年份对汇总指标影响较大。Ridge的总体决定系数约为0.327，仍存在较明显的未解释变化。本文因此把它用于构造候选初值，并保留LOCF作参考；没有用点预测消除全部状态不确定性。原始预测值、真实目标和年度分割记录均保存，便于后续新增资料后重新评价模型，而不需要从图中反推逐条结果。</w:t>
      </w:r>
    </w:p>
    <w:p>
      <w:pPr>
        <w:keepNext/>
        <w:jc w:val="center"/>
      </w:pPr>
      <w:r>
        <w:drawing>
          <wp:inline xmlns:a="http://schemas.openxmlformats.org/drawingml/2006/main" xmlns:pic="http://schemas.openxmlformats.org/drawingml/2006/picture">
            <wp:extent cx="5976000" cy="3760217"/>
            <wp:docPr id="1" name="Picture 1"/>
            <wp:cNvGraphicFramePr>
              <a:graphicFrameLocks noChangeAspect="1"/>
            </wp:cNvGraphicFramePr>
            <a:graphic>
              <a:graphicData uri="http://schemas.openxmlformats.org/drawingml/2006/picture">
                <pic:pic>
                  <pic:nvPicPr>
                    <pic:cNvPr id="0" name="Figure_01_observation_coverage.png"/>
                    <pic:cNvPicPr/>
                  </pic:nvPicPr>
                  <pic:blipFill>
                    <a:blip r:embed="rId10"/>
                    <a:stretch>
                      <a:fillRect/>
                    </a:stretch>
                  </pic:blipFill>
                  <pic:spPr>
                    <a:xfrm>
                      <a:off x="0" y="0"/>
                      <a:ext cx="5976000" cy="3760217"/>
                    </a:xfrm>
                    <a:prstGeom prst="rect"/>
                  </pic:spPr>
                </pic:pic>
              </a:graphicData>
            </a:graphic>
          </wp:inline>
        </w:drawing>
      </w:r>
    </w:p>
    <w:p>
      <w:pPr>
        <w:spacing w:after="100"/>
        <w:jc w:val="center"/>
      </w:pPr>
      <w:r>
        <w:t>图1 检测记录覆盖与缺失分布</w:t>
      </w:r>
    </w:p>
    <w:p>
      <w:r>
        <w:rPr>
          <w:sz w:val="18"/>
        </w:rPr>
        <w:t>注：灰色位置表示缺测，不表示评分为零。</w:t>
      </w:r>
    </w:p>
    <w:p>
      <w:pPr>
        <w:keepNext/>
        <w:jc w:val="center"/>
      </w:pPr>
      <w:r>
        <w:drawing>
          <wp:inline xmlns:a="http://schemas.openxmlformats.org/drawingml/2006/main" xmlns:pic="http://schemas.openxmlformats.org/drawingml/2006/picture">
            <wp:extent cx="5976000" cy="5277841"/>
            <wp:docPr id="2" name="Picture 2"/>
            <wp:cNvGraphicFramePr>
              <a:graphicFrameLocks noChangeAspect="1"/>
            </wp:cNvGraphicFramePr>
            <a:graphic>
              <a:graphicData uri="http://schemas.openxmlformats.org/drawingml/2006/picture">
                <pic:pic>
                  <pic:nvPicPr>
                    <pic:cNvPr id="0" name="Figure_02_continuous_prediction.png"/>
                    <pic:cNvPicPr/>
                  </pic:nvPicPr>
                  <pic:blipFill>
                    <a:blip r:embed="rId11"/>
                    <a:stretch>
                      <a:fillRect/>
                    </a:stretch>
                  </pic:blipFill>
                  <pic:spPr>
                    <a:xfrm>
                      <a:off x="0" y="0"/>
                      <a:ext cx="5976000" cy="5277841"/>
                    </a:xfrm>
                    <a:prstGeom prst="rect"/>
                  </pic:spPr>
                </pic:pic>
              </a:graphicData>
            </a:graphic>
          </wp:inline>
        </w:drawing>
      </w:r>
    </w:p>
    <w:p>
      <w:pPr>
        <w:spacing w:after="100"/>
        <w:jc w:val="center"/>
      </w:pPr>
      <w:r>
        <w:t>图2 连续评分时间外预测结果</w:t>
      </w:r>
    </w:p>
    <w:p>
      <w:r>
        <w:rPr>
          <w:sz w:val="18"/>
        </w:rPr>
        <w:t>注：仅使用下一次真实检测任务的216条时间外测试记录；误差单位为分。</w:t>
      </w:r>
    </w:p>
    <w:p>
      <w:pPr>
        <w:pStyle w:val="Heading2"/>
      </w:pPr>
      <w:r>
        <w:t>3.2 规划初始状态对养护方案的影响</w:t>
      </w:r>
    </w:p>
    <w:p>
      <w:r>
        <w:t>LOCF与Ridge规划初值均保留6个2024年实测项，其余53项分别来自末次观测和历史模型预测。两套初值均值分别为90.6417分和92.2957分，标准差为3.8398分和3.0024分。Ridge−LOCF平均差为1.6540分，平均绝对差为1.7409分；53个估计项中46项Ridge较高、7项较低。图3分别标识实测项和估计项。这些差异说明两种处理给规划程序提供了不同起点，不能说明53个预测值已经得到2024年真值验证。</w:t>
      </w:r>
    </w:p>
    <w:p>
      <w:r>
        <w:t>在共同ρ=1/2、B=1.720268下，LOCF与Ridge各30次运行均得到可行解。J均值分别为90.6820分和92.5619分，标准差分别为0.3523分和0.1375分。两套各自最好GJO排程的J为91.2853分和92.7991分，资源为1.633589与1.719199，养护次数为111与109。图5显示其状态轨迹，表4将初值及规划指标并列。</w:t>
      </w:r>
    </w:p>
    <w:p>
      <w:r>
        <w:t>30对运行的Ridge−LOCF平均J差为1.8799分。两套零养护递推的J相差1.6540分，扣除各自零养护基线后，养护增量的配对均值差仅为0.2259分。这种对照表明，绝对J差中相当一部分来自起点，而非行动选择本身。扣除基线仍不是纯因果分解，因为初值还会改变资源消耗、评分上限截断和搜索路径；因此本文同时保留原始J与相对各自基线的增量。</w:t>
      </w:r>
    </w:p>
    <w:p>
      <w:r>
        <w:t>两套代表排程的行动交集为15个，并集为205个，Jaccard为0.0732。两者都有养护的55个单元中，首次养护年份相同的有6个，首次年份平均绝对差为2.6727年。另有3个单元仅LOCF排程养护、1个仅Ridge养护，未将这些项赋予虚构年份计算差值。30对相同种子排程的Jaccard均值为0.0666，范围为0.0245至0.1117。图6说明具体年份安排对初值处理较敏感。</w:t>
      </w:r>
    </w:p>
    <w:p>
      <w:r>
        <w:t>为区分起点和行动变化，固定两套已实现行动作交叉评价，不重新解码。LOCF行动在Ridge初值下的J为92.7946分、资源为1.592941，仍可行。Ridge行动移至LOCF初值后，J为91.1722分，资源增至1.758053，于2040年首次超过资源上限；其状态要求仍满足。交叉评价共3种组合可行。该结果说明状态估计会同时改变评分起点和状态相关资源，不能直接把一套排程搬到另一初值后仍视为可实施方案。</w:t>
      </w:r>
    </w:p>
    <w:p>
      <w:pPr>
        <w:keepNext/>
        <w:jc w:val="center"/>
      </w:pPr>
      <w:r>
        <w:t>表4 两套规划初值及共同中档资源结果</w:t>
      </w:r>
    </w:p>
    <w:tbl>
      <w:tblPr>
        <w:tblStyle w:val="TableGrid"/>
        <w:tblW w:type="auto" w:w="0"/>
        <w:tblLook w:firstColumn="1" w:firstRow="1" w:lastColumn="0" w:lastRow="0" w:noHBand="0" w:noVBand="1" w:val="04A0"/>
      </w:tblPr>
      <w:tblGrid>
        <w:gridCol w:w="3289"/>
        <w:gridCol w:w="3289"/>
        <w:gridCol w:w="3289"/>
      </w:tblGrid>
      <w:tr>
        <w:trPr>
          <w:tblHeader/>
          <w:cantSplit/>
        </w:trPr>
        <w:tc>
          <w:tcPr>
            <w:tcW w:type="dxa" w:w="3289"/>
          </w:tcPr>
          <w:p>
            <w:pPr>
              <w:spacing w:after="40" w:line="240" w:lineRule="auto"/>
            </w:pPr>
            <w:r>
              <w:rPr>
                <w:sz w:val="18"/>
              </w:rPr>
              <w:t>项目</w:t>
            </w:r>
          </w:p>
        </w:tc>
        <w:tc>
          <w:tcPr>
            <w:tcW w:type="dxa" w:w="3289"/>
          </w:tcPr>
          <w:p>
            <w:pPr>
              <w:spacing w:after="40" w:line="240" w:lineRule="auto"/>
            </w:pPr>
            <w:r>
              <w:rPr>
                <w:sz w:val="18"/>
              </w:rPr>
              <w:t>LOCF</w:t>
            </w:r>
          </w:p>
        </w:tc>
        <w:tc>
          <w:tcPr>
            <w:tcW w:type="dxa" w:w="3289"/>
          </w:tcPr>
          <w:p>
            <w:pPr>
              <w:spacing w:after="40" w:line="240" w:lineRule="auto"/>
            </w:pPr>
            <w:r>
              <w:rPr>
                <w:sz w:val="18"/>
              </w:rPr>
              <w:t>Ridge</w:t>
            </w:r>
          </w:p>
        </w:tc>
      </w:tr>
      <w:tr>
        <w:trPr>
          <w:cantSplit/>
        </w:trPr>
        <w:tc>
          <w:tcPr>
            <w:tcW w:type="dxa" w:w="3289"/>
          </w:tcPr>
          <w:p>
            <w:pPr>
              <w:spacing w:after="40" w:line="240" w:lineRule="auto"/>
            </w:pPr>
            <w:r>
              <w:rPr>
                <w:sz w:val="18"/>
              </w:rPr>
              <w:t>初值均值±SD/分</w:t>
            </w:r>
          </w:p>
        </w:tc>
        <w:tc>
          <w:tcPr>
            <w:tcW w:type="dxa" w:w="3289"/>
          </w:tcPr>
          <w:p>
            <w:pPr>
              <w:spacing w:after="40" w:line="240" w:lineRule="auto"/>
            </w:pPr>
            <w:r>
              <w:rPr>
                <w:sz w:val="18"/>
              </w:rPr>
              <w:t>90.6417±3.8398</w:t>
            </w:r>
          </w:p>
        </w:tc>
        <w:tc>
          <w:tcPr>
            <w:tcW w:type="dxa" w:w="3289"/>
          </w:tcPr>
          <w:p>
            <w:pPr>
              <w:spacing w:after="40" w:line="240" w:lineRule="auto"/>
            </w:pPr>
            <w:r>
              <w:rPr>
                <w:sz w:val="18"/>
              </w:rPr>
              <w:t>92.2957±3.0024</w:t>
            </w:r>
          </w:p>
        </w:tc>
      </w:tr>
      <w:tr>
        <w:trPr>
          <w:cantSplit/>
        </w:trPr>
        <w:tc>
          <w:tcPr>
            <w:tcW w:type="dxa" w:w="3289"/>
          </w:tcPr>
          <w:p>
            <w:pPr>
              <w:spacing w:after="40" w:line="240" w:lineRule="auto"/>
            </w:pPr>
            <w:r>
              <w:rPr>
                <w:sz w:val="18"/>
              </w:rPr>
              <w:t>初值范围/分</w:t>
            </w:r>
          </w:p>
        </w:tc>
        <w:tc>
          <w:tcPr>
            <w:tcW w:type="dxa" w:w="3289"/>
          </w:tcPr>
          <w:p>
            <w:pPr>
              <w:spacing w:after="40" w:line="240" w:lineRule="auto"/>
            </w:pPr>
            <w:r>
              <w:rPr>
                <w:sz w:val="18"/>
              </w:rPr>
              <w:t>81.18—98.51</w:t>
            </w:r>
          </w:p>
        </w:tc>
        <w:tc>
          <w:tcPr>
            <w:tcW w:type="dxa" w:w="3289"/>
          </w:tcPr>
          <w:p>
            <w:pPr>
              <w:spacing w:after="40" w:line="240" w:lineRule="auto"/>
            </w:pPr>
            <w:r>
              <w:rPr>
                <w:sz w:val="18"/>
              </w:rPr>
              <w:t>84.64—98.41</w:t>
            </w:r>
          </w:p>
        </w:tc>
      </w:tr>
      <w:tr>
        <w:trPr>
          <w:cantSplit/>
        </w:trPr>
        <w:tc>
          <w:tcPr>
            <w:tcW w:type="dxa" w:w="3289"/>
          </w:tcPr>
          <w:p>
            <w:pPr>
              <w:spacing w:after="40" w:line="240" w:lineRule="auto"/>
            </w:pPr>
            <w:r>
              <w:rPr>
                <w:sz w:val="18"/>
              </w:rPr>
              <w:t>实测/估计项</w:t>
            </w:r>
          </w:p>
        </w:tc>
        <w:tc>
          <w:tcPr>
            <w:tcW w:type="dxa" w:w="3289"/>
          </w:tcPr>
          <w:p>
            <w:pPr>
              <w:spacing w:after="40" w:line="240" w:lineRule="auto"/>
            </w:pPr>
            <w:r>
              <w:rPr>
                <w:sz w:val="18"/>
              </w:rPr>
              <w:t>6/53</w:t>
            </w:r>
          </w:p>
        </w:tc>
        <w:tc>
          <w:tcPr>
            <w:tcW w:type="dxa" w:w="3289"/>
          </w:tcPr>
          <w:p>
            <w:pPr>
              <w:spacing w:after="40" w:line="240" w:lineRule="auto"/>
            </w:pPr>
            <w:r>
              <w:rPr>
                <w:sz w:val="18"/>
              </w:rPr>
              <w:t>6/53</w:t>
            </w:r>
          </w:p>
        </w:tc>
      </w:tr>
      <w:tr>
        <w:trPr>
          <w:cantSplit/>
        </w:trPr>
        <w:tc>
          <w:tcPr>
            <w:tcW w:type="dxa" w:w="3289"/>
          </w:tcPr>
          <w:p>
            <w:pPr>
              <w:spacing w:after="40" w:line="240" w:lineRule="auto"/>
            </w:pPr>
            <w:r>
              <w:rPr>
                <w:sz w:val="18"/>
              </w:rPr>
              <w:t>可行运行数</w:t>
            </w:r>
          </w:p>
        </w:tc>
        <w:tc>
          <w:tcPr>
            <w:tcW w:type="dxa" w:w="3289"/>
          </w:tcPr>
          <w:p>
            <w:pPr>
              <w:spacing w:after="40" w:line="240" w:lineRule="auto"/>
            </w:pPr>
            <w:r>
              <w:rPr>
                <w:sz w:val="18"/>
              </w:rPr>
              <w:t>30/30</w:t>
            </w:r>
          </w:p>
        </w:tc>
        <w:tc>
          <w:tcPr>
            <w:tcW w:type="dxa" w:w="3289"/>
          </w:tcPr>
          <w:p>
            <w:pPr>
              <w:spacing w:after="40" w:line="240" w:lineRule="auto"/>
            </w:pPr>
            <w:r>
              <w:rPr>
                <w:sz w:val="18"/>
              </w:rPr>
              <w:t>30/30</w:t>
            </w:r>
          </w:p>
        </w:tc>
      </w:tr>
      <w:tr>
        <w:trPr>
          <w:cantSplit/>
        </w:trPr>
        <w:tc>
          <w:tcPr>
            <w:tcW w:type="dxa" w:w="3289"/>
          </w:tcPr>
          <w:p>
            <w:pPr>
              <w:spacing w:after="40" w:line="240" w:lineRule="auto"/>
            </w:pPr>
            <w:r>
              <w:rPr>
                <w:sz w:val="18"/>
              </w:rPr>
              <w:t>J均值±SD/分</w:t>
            </w:r>
          </w:p>
        </w:tc>
        <w:tc>
          <w:tcPr>
            <w:tcW w:type="dxa" w:w="3289"/>
          </w:tcPr>
          <w:p>
            <w:pPr>
              <w:spacing w:after="40" w:line="240" w:lineRule="auto"/>
            </w:pPr>
            <w:r>
              <w:rPr>
                <w:sz w:val="18"/>
              </w:rPr>
              <w:t>90.6820±0.3523</w:t>
            </w:r>
          </w:p>
        </w:tc>
        <w:tc>
          <w:tcPr>
            <w:tcW w:type="dxa" w:w="3289"/>
          </w:tcPr>
          <w:p>
            <w:pPr>
              <w:spacing w:after="40" w:line="240" w:lineRule="auto"/>
            </w:pPr>
            <w:r>
              <w:rPr>
                <w:sz w:val="18"/>
              </w:rPr>
              <w:t>92.5619±0.1375</w:t>
            </w:r>
          </w:p>
        </w:tc>
      </w:tr>
      <w:tr>
        <w:trPr>
          <w:cantSplit/>
        </w:trPr>
        <w:tc>
          <w:tcPr>
            <w:tcW w:type="dxa" w:w="3289"/>
          </w:tcPr>
          <w:p>
            <w:pPr>
              <w:spacing w:after="40" w:line="240" w:lineRule="auto"/>
            </w:pPr>
            <w:r>
              <w:rPr>
                <w:sz w:val="18"/>
              </w:rPr>
              <w:t>代表J/分</w:t>
            </w:r>
          </w:p>
        </w:tc>
        <w:tc>
          <w:tcPr>
            <w:tcW w:type="dxa" w:w="3289"/>
          </w:tcPr>
          <w:p>
            <w:pPr>
              <w:spacing w:after="40" w:line="240" w:lineRule="auto"/>
            </w:pPr>
            <w:r>
              <w:rPr>
                <w:sz w:val="18"/>
              </w:rPr>
              <w:t>91.2853</w:t>
            </w:r>
          </w:p>
        </w:tc>
        <w:tc>
          <w:tcPr>
            <w:tcW w:type="dxa" w:w="3289"/>
          </w:tcPr>
          <w:p>
            <w:pPr>
              <w:spacing w:after="40" w:line="240" w:lineRule="auto"/>
            </w:pPr>
            <w:r>
              <w:rPr>
                <w:sz w:val="18"/>
              </w:rPr>
              <w:t>92.7991</w:t>
            </w:r>
          </w:p>
        </w:tc>
      </w:tr>
      <w:tr>
        <w:trPr>
          <w:cantSplit/>
        </w:trPr>
        <w:tc>
          <w:tcPr>
            <w:tcW w:type="dxa" w:w="3289"/>
          </w:tcPr>
          <w:p>
            <w:pPr>
              <w:spacing w:after="40" w:line="240" w:lineRule="auto"/>
            </w:pPr>
            <w:r>
              <w:rPr>
                <w:sz w:val="18"/>
              </w:rPr>
              <w:t>零养护J/分</w:t>
            </w:r>
          </w:p>
        </w:tc>
        <w:tc>
          <w:tcPr>
            <w:tcW w:type="dxa" w:w="3289"/>
          </w:tcPr>
          <w:p>
            <w:pPr>
              <w:spacing w:after="40" w:line="240" w:lineRule="auto"/>
            </w:pPr>
            <w:r>
              <w:rPr>
                <w:sz w:val="18"/>
              </w:rPr>
              <w:t>83.8167</w:t>
            </w:r>
          </w:p>
        </w:tc>
        <w:tc>
          <w:tcPr>
            <w:tcW w:type="dxa" w:w="3289"/>
          </w:tcPr>
          <w:p>
            <w:pPr>
              <w:spacing w:after="40" w:line="240" w:lineRule="auto"/>
            </w:pPr>
            <w:r>
              <w:rPr>
                <w:sz w:val="18"/>
              </w:rPr>
              <w:t>85.4707</w:t>
            </w:r>
          </w:p>
        </w:tc>
      </w:tr>
      <w:tr>
        <w:trPr>
          <w:cantSplit/>
        </w:trPr>
        <w:tc>
          <w:tcPr>
            <w:tcW w:type="dxa" w:w="3289"/>
          </w:tcPr>
          <w:p>
            <w:pPr>
              <w:spacing w:after="40" w:line="240" w:lineRule="auto"/>
            </w:pPr>
            <w:r>
              <w:rPr>
                <w:sz w:val="18"/>
              </w:rPr>
              <w:t>代表J−零养护J/分</w:t>
            </w:r>
          </w:p>
        </w:tc>
        <w:tc>
          <w:tcPr>
            <w:tcW w:type="dxa" w:w="3289"/>
          </w:tcPr>
          <w:p>
            <w:pPr>
              <w:spacing w:after="40" w:line="240" w:lineRule="auto"/>
            </w:pPr>
            <w:r>
              <w:rPr>
                <w:sz w:val="18"/>
              </w:rPr>
              <w:t>7.4687</w:t>
            </w:r>
          </w:p>
        </w:tc>
        <w:tc>
          <w:tcPr>
            <w:tcW w:type="dxa" w:w="3289"/>
          </w:tcPr>
          <w:p>
            <w:pPr>
              <w:spacing w:after="40" w:line="240" w:lineRule="auto"/>
            </w:pPr>
            <w:r>
              <w:rPr>
                <w:sz w:val="18"/>
              </w:rPr>
              <w:t>7.3283</w:t>
            </w:r>
          </w:p>
        </w:tc>
      </w:tr>
      <w:tr>
        <w:trPr>
          <w:cantSplit/>
        </w:trPr>
        <w:tc>
          <w:tcPr>
            <w:tcW w:type="dxa" w:w="3289"/>
          </w:tcPr>
          <w:p>
            <w:pPr>
              <w:spacing w:after="40" w:line="240" w:lineRule="auto"/>
            </w:pPr>
            <w:r>
              <w:rPr>
                <w:sz w:val="18"/>
              </w:rPr>
              <w:t>代表2044平均/分</w:t>
            </w:r>
          </w:p>
        </w:tc>
        <w:tc>
          <w:tcPr>
            <w:tcW w:type="dxa" w:w="3289"/>
          </w:tcPr>
          <w:p>
            <w:pPr>
              <w:spacing w:after="40" w:line="240" w:lineRule="auto"/>
            </w:pPr>
            <w:r>
              <w:rPr>
                <w:sz w:val="18"/>
              </w:rPr>
              <w:t>88.8717</w:t>
            </w:r>
          </w:p>
        </w:tc>
        <w:tc>
          <w:tcPr>
            <w:tcW w:type="dxa" w:w="3289"/>
          </w:tcPr>
          <w:p>
            <w:pPr>
              <w:spacing w:after="40" w:line="240" w:lineRule="auto"/>
            </w:pPr>
            <w:r>
              <w:rPr>
                <w:sz w:val="18"/>
              </w:rPr>
              <w:t>90.2727</w:t>
            </w:r>
          </w:p>
        </w:tc>
      </w:tr>
      <w:tr>
        <w:trPr>
          <w:cantSplit/>
        </w:trPr>
        <w:tc>
          <w:tcPr>
            <w:tcW w:type="dxa" w:w="3289"/>
          </w:tcPr>
          <w:p>
            <w:pPr>
              <w:spacing w:after="40" w:line="240" w:lineRule="auto"/>
            </w:pPr>
            <w:r>
              <w:rPr>
                <w:sz w:val="18"/>
              </w:rPr>
              <w:t>代表累计资源</w:t>
            </w:r>
          </w:p>
        </w:tc>
        <w:tc>
          <w:tcPr>
            <w:tcW w:type="dxa" w:w="3289"/>
          </w:tcPr>
          <w:p>
            <w:pPr>
              <w:spacing w:after="40" w:line="240" w:lineRule="auto"/>
            </w:pPr>
            <w:r>
              <w:rPr>
                <w:sz w:val="18"/>
              </w:rPr>
              <w:t>1.633589</w:t>
            </w:r>
          </w:p>
        </w:tc>
        <w:tc>
          <w:tcPr>
            <w:tcW w:type="dxa" w:w="3289"/>
          </w:tcPr>
          <w:p>
            <w:pPr>
              <w:spacing w:after="40" w:line="240" w:lineRule="auto"/>
            </w:pPr>
            <w:r>
              <w:rPr>
                <w:sz w:val="18"/>
              </w:rPr>
              <w:t>1.719199</w:t>
            </w:r>
          </w:p>
        </w:tc>
      </w:tr>
      <w:tr>
        <w:trPr>
          <w:cantSplit/>
        </w:trPr>
        <w:tc>
          <w:tcPr>
            <w:tcW w:type="dxa" w:w="3289"/>
          </w:tcPr>
          <w:p>
            <w:pPr>
              <w:spacing w:after="40" w:line="240" w:lineRule="auto"/>
            </w:pPr>
            <w:r>
              <w:rPr>
                <w:sz w:val="18"/>
              </w:rPr>
              <w:t>代表养护次数</w:t>
            </w:r>
          </w:p>
        </w:tc>
        <w:tc>
          <w:tcPr>
            <w:tcW w:type="dxa" w:w="3289"/>
          </w:tcPr>
          <w:p>
            <w:pPr>
              <w:spacing w:after="40" w:line="240" w:lineRule="auto"/>
            </w:pPr>
            <w:r>
              <w:rPr>
                <w:sz w:val="18"/>
              </w:rPr>
              <w:t>111</w:t>
            </w:r>
          </w:p>
        </w:tc>
        <w:tc>
          <w:tcPr>
            <w:tcW w:type="dxa" w:w="3289"/>
          </w:tcPr>
          <w:p>
            <w:pPr>
              <w:spacing w:after="40" w:line="240" w:lineRule="auto"/>
            </w:pPr>
            <w:r>
              <w:rPr>
                <w:sz w:val="18"/>
              </w:rPr>
              <w:t>109</w:t>
            </w:r>
          </w:p>
        </w:tc>
      </w:tr>
      <w:tr>
        <w:trPr>
          <w:cantSplit/>
        </w:trPr>
        <w:tc>
          <w:tcPr>
            <w:tcW w:type="dxa" w:w="3289"/>
          </w:tcPr>
          <w:p>
            <w:pPr>
              <w:spacing w:after="40" w:line="240" w:lineRule="auto"/>
            </w:pPr>
            <w:r>
              <w:rPr>
                <w:sz w:val="18"/>
              </w:rPr>
              <w:t>两代表行动Jaccard</w:t>
            </w:r>
          </w:p>
        </w:tc>
        <w:tc>
          <w:tcPr>
            <w:tcW w:type="dxa" w:w="3289"/>
          </w:tcPr>
          <w:p>
            <w:pPr>
              <w:spacing w:after="40" w:line="240" w:lineRule="auto"/>
            </w:pPr>
            <w:r>
              <w:rPr>
                <w:sz w:val="18"/>
              </w:rPr>
              <w:t>0.0732</w:t>
            </w:r>
          </w:p>
        </w:tc>
        <w:tc>
          <w:tcPr>
            <w:tcW w:type="dxa" w:w="3289"/>
          </w:tcPr>
          <w:p>
            <w:pPr>
              <w:spacing w:after="40" w:line="240" w:lineRule="auto"/>
            </w:pPr>
            <w:r>
              <w:rPr>
                <w:sz w:val="18"/>
              </w:rPr>
              <w:t>共同指标</w:t>
            </w:r>
          </w:p>
        </w:tc>
      </w:tr>
      <w:tr>
        <w:trPr>
          <w:cantSplit/>
        </w:trPr>
        <w:tc>
          <w:tcPr>
            <w:tcW w:type="dxa" w:w="3289"/>
          </w:tcPr>
          <w:p>
            <w:pPr>
              <w:spacing w:after="40" w:line="240" w:lineRule="auto"/>
            </w:pPr>
            <w:r>
              <w:rPr>
                <w:sz w:val="18"/>
              </w:rPr>
              <w:t>首次年平均绝对差/年</w:t>
            </w:r>
          </w:p>
        </w:tc>
        <w:tc>
          <w:tcPr>
            <w:tcW w:type="dxa" w:w="3289"/>
          </w:tcPr>
          <w:p>
            <w:pPr>
              <w:spacing w:after="40" w:line="240" w:lineRule="auto"/>
            </w:pPr>
            <w:r>
              <w:rPr>
                <w:sz w:val="18"/>
              </w:rPr>
              <w:t>2.6727</w:t>
            </w:r>
          </w:p>
        </w:tc>
        <w:tc>
          <w:tcPr>
            <w:tcW w:type="dxa" w:w="3289"/>
          </w:tcPr>
          <w:p>
            <w:pPr>
              <w:spacing w:after="40" w:line="240" w:lineRule="auto"/>
            </w:pPr>
            <w:r>
              <w:rPr>
                <w:sz w:val="18"/>
              </w:rPr>
              <w:t>双方均养护n=55</w:t>
            </w:r>
          </w:p>
        </w:tc>
      </w:tr>
    </w:tbl>
    <w:p>
      <w:r>
        <w:rPr>
          <w:sz w:val="18"/>
        </w:rPr>
        <w:t>注：运行均值±SD基于各30次可行GJO结果；其他规划指标取各自代表排程。Jaccard和首次年份差为两代表排程比较结果。</w:t>
      </w:r>
    </w:p>
    <w:p>
      <w:pPr>
        <w:keepNext/>
        <w:jc w:val="center"/>
      </w:pPr>
      <w:r>
        <w:drawing>
          <wp:inline xmlns:a="http://schemas.openxmlformats.org/drawingml/2006/main" xmlns:pic="http://schemas.openxmlformats.org/drawingml/2006/picture">
            <wp:extent cx="5976000" cy="2384245"/>
            <wp:docPr id="3" name="Picture 3"/>
            <wp:cNvGraphicFramePr>
              <a:graphicFrameLocks noChangeAspect="1"/>
            </wp:cNvGraphicFramePr>
            <a:graphic>
              <a:graphicData uri="http://schemas.openxmlformats.org/drawingml/2006/picture">
                <pic:pic>
                  <pic:nvPicPr>
                    <pic:cNvPr id="0" name="Figure_03_initial_conditions.png"/>
                    <pic:cNvPicPr/>
                  </pic:nvPicPr>
                  <pic:blipFill>
                    <a:blip r:embed="rId12"/>
                    <a:stretch>
                      <a:fillRect/>
                    </a:stretch>
                  </pic:blipFill>
                  <pic:spPr>
                    <a:xfrm>
                      <a:off x="0" y="0"/>
                      <a:ext cx="5976000" cy="2384245"/>
                    </a:xfrm>
                    <a:prstGeom prst="rect"/>
                  </pic:spPr>
                </pic:pic>
              </a:graphicData>
            </a:graphic>
          </wp:inline>
        </w:drawing>
      </w:r>
    </w:p>
    <w:p>
      <w:pPr>
        <w:spacing w:after="100"/>
        <w:jc w:val="center"/>
      </w:pPr>
      <w:r>
        <w:t>图3 两套2024年规划初始状态</w:t>
      </w:r>
    </w:p>
    <w:p>
      <w:r>
        <w:rPr>
          <w:sz w:val="18"/>
        </w:rPr>
        <w:t>注：6项保留2024年实测，53项估计；两套初值均不代表全部2024年真值。</w:t>
      </w:r>
    </w:p>
    <w:p>
      <w:pPr>
        <w:pStyle w:val="Heading2"/>
      </w:pPr>
      <w:r>
        <w:t>3.3 养护资源水平对长期状态的影响</w:t>
      </w:r>
    </w:p>
    <w:p>
      <w:r>
        <w:t>LOCF参考情景的端点搜索得到B_min_known=0.257297，对应13次行动、J=85.0879分；B_ref=3.183239，对应148次行动、J=92.1811分。两端点间距为2.925942，具有足够区分度，按预定方式构造七档共同上限。端点来源是两个辅助目标各30次随机搜索。B_min_known是已知可行排程的资源需求，不是全局最小资源的数学证明；B_ref也不是最大可能资源。</w:t>
      </w:r>
    </w:p>
    <w:p>
      <w:r>
        <w:t>七档两初值共420次主运行，其中390次得到可行最终解。LOCF在ρ=0的30次主搜索均未重新找到可行解，故该档J均值和标准差记为缺失；同一资源上限已有端点可行排程，不能将此结果写成该资源水平下问题不可行。其余LOCF六档以及Ridge七档均为30/30可行。图4显示本档独立GJO的均值、标准差和本档最好值，表5另列跨候选已知可行J下界。未用移植端点替代失败运行或抬高可行率，两种统计口径分别保留。</w:t>
      </w:r>
    </w:p>
    <w:p>
      <w:r>
        <w:t>LOCF从ρ=1/6至1时，J均值由89.0090分增加至92.1335分，独立运行最好值由89.5196分变为92.1658分。Ridge在ρ=0和1的J均值分别为87.5846分和93.3026分。两套初值下总体上均表现为资源更多时长期状态较高，但相邻档次的最好独立运行并非严格递增。例如LOCF的ρ=2/3档GJO最好值低于ρ=1/2档，反映固定评价预算下搜索得到的方案差别，而非增加资源导致精确最优状态下降。</w:t>
      </w:r>
    </w:p>
    <w:p>
      <w:r>
        <w:t>将已保存可行行动在同初值、同退化量下检查并移植到较宽资源上限后，可得到随上限不减的已知可行J下界。LOCF在ρ=0已有端点J下界85.0879分，在ρ=1的已知下界为92.1811分；Ridge在ρ=1已有ρ=5/6方案给出的93.5013分下界，高于该档独立GJO最好值。LOCF在ρ=1/2和2/3的已知下界还包含小规模I-GJO对照方案。上述下界只说明已有更好可行候选，不并入GJO均值或标准差，也不是全局最优值。</w:t>
      </w:r>
    </w:p>
    <w:p>
      <w:pPr>
        <w:keepNext/>
        <w:jc w:val="center"/>
      </w:pPr>
      <w:r>
        <w:t>表5 七档共同资源上限下的规划结果</w:t>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spacing w:after="40" w:line="240" w:lineRule="auto"/>
            </w:pPr>
            <w:r>
              <w:rPr>
                <w:sz w:val="17"/>
              </w:rPr>
              <w:t>初值</w:t>
            </w:r>
          </w:p>
        </w:tc>
        <w:tc>
          <w:tcPr>
            <w:tcW w:type="dxa" w:w="1409"/>
          </w:tcPr>
          <w:p>
            <w:pPr>
              <w:spacing w:after="40" w:line="240" w:lineRule="auto"/>
            </w:pPr>
            <w:r>
              <w:rPr>
                <w:sz w:val="17"/>
              </w:rPr>
              <w:t>ρ</w:t>
            </w:r>
          </w:p>
        </w:tc>
        <w:tc>
          <w:tcPr>
            <w:tcW w:type="dxa" w:w="1409"/>
          </w:tcPr>
          <w:p>
            <w:pPr>
              <w:spacing w:after="40" w:line="240" w:lineRule="auto"/>
            </w:pPr>
            <w:r>
              <w:rPr>
                <w:sz w:val="17"/>
              </w:rPr>
              <w:t>B</w:t>
            </w:r>
          </w:p>
        </w:tc>
        <w:tc>
          <w:tcPr>
            <w:tcW w:type="dxa" w:w="1409"/>
          </w:tcPr>
          <w:p>
            <w:pPr>
              <w:spacing w:after="40" w:line="240" w:lineRule="auto"/>
            </w:pPr>
            <w:r>
              <w:rPr>
                <w:sz w:val="17"/>
              </w:rPr>
              <w:t>可行数</w:t>
            </w:r>
          </w:p>
        </w:tc>
        <w:tc>
          <w:tcPr>
            <w:tcW w:type="dxa" w:w="1409"/>
          </w:tcPr>
          <w:p>
            <w:pPr>
              <w:spacing w:after="40" w:line="240" w:lineRule="auto"/>
            </w:pPr>
            <w:r>
              <w:rPr>
                <w:sz w:val="17"/>
              </w:rPr>
              <w:t>J均值±SD/分</w:t>
            </w:r>
          </w:p>
        </w:tc>
        <w:tc>
          <w:tcPr>
            <w:tcW w:type="dxa" w:w="1409"/>
          </w:tcPr>
          <w:p>
            <w:pPr>
              <w:spacing w:after="40" w:line="240" w:lineRule="auto"/>
            </w:pPr>
            <w:r>
              <w:rPr>
                <w:sz w:val="17"/>
              </w:rPr>
              <w:t>本档最好/分</w:t>
            </w:r>
          </w:p>
        </w:tc>
        <w:tc>
          <w:tcPr>
            <w:tcW w:type="dxa" w:w="1409"/>
          </w:tcPr>
          <w:p>
            <w:pPr>
              <w:spacing w:after="40" w:line="240" w:lineRule="auto"/>
            </w:pPr>
            <w:r>
              <w:rPr>
                <w:sz w:val="17"/>
              </w:rPr>
              <w:t>已知下界/分</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0.000</w:t>
            </w:r>
          </w:p>
        </w:tc>
        <w:tc>
          <w:tcPr>
            <w:tcW w:type="dxa" w:w="1409"/>
          </w:tcPr>
          <w:p>
            <w:pPr>
              <w:spacing w:after="40" w:line="240" w:lineRule="auto"/>
            </w:pPr>
            <w:r>
              <w:rPr>
                <w:sz w:val="17"/>
              </w:rPr>
              <w:t>0.257297</w:t>
            </w:r>
          </w:p>
        </w:tc>
        <w:tc>
          <w:tcPr>
            <w:tcW w:type="dxa" w:w="1409"/>
          </w:tcPr>
          <w:p>
            <w:pPr>
              <w:spacing w:after="40" w:line="240" w:lineRule="auto"/>
            </w:pPr>
            <w:r>
              <w:rPr>
                <w:sz w:val="17"/>
              </w:rPr>
              <w:t>0/30</w:t>
            </w:r>
          </w:p>
        </w:tc>
        <w:tc>
          <w:tcPr>
            <w:tcW w:type="dxa" w:w="1409"/>
          </w:tcPr>
          <w:p>
            <w:pPr>
              <w:spacing w:after="40" w:line="240" w:lineRule="auto"/>
            </w:pPr>
            <w:r>
              <w:rPr>
                <w:sz w:val="17"/>
              </w:rPr>
              <w:t>—</w:t>
            </w:r>
          </w:p>
        </w:tc>
        <w:tc>
          <w:tcPr>
            <w:tcW w:type="dxa" w:w="1409"/>
          </w:tcPr>
          <w:p>
            <w:pPr>
              <w:spacing w:after="40" w:line="240" w:lineRule="auto"/>
            </w:pPr>
            <w:r>
              <w:rPr>
                <w:sz w:val="17"/>
              </w:rPr>
              <w:t>—</w:t>
            </w:r>
          </w:p>
        </w:tc>
        <w:tc>
          <w:tcPr>
            <w:tcW w:type="dxa" w:w="1409"/>
          </w:tcPr>
          <w:p>
            <w:pPr>
              <w:spacing w:after="40" w:line="240" w:lineRule="auto"/>
            </w:pPr>
            <w:r>
              <w:rPr>
                <w:sz w:val="17"/>
              </w:rPr>
              <w:t>85.0879</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0.167</w:t>
            </w:r>
          </w:p>
        </w:tc>
        <w:tc>
          <w:tcPr>
            <w:tcW w:type="dxa" w:w="1409"/>
          </w:tcPr>
          <w:p>
            <w:pPr>
              <w:spacing w:after="40" w:line="240" w:lineRule="auto"/>
            </w:pPr>
            <w:r>
              <w:rPr>
                <w:sz w:val="17"/>
              </w:rPr>
              <w:t>0.744954</w:t>
            </w:r>
          </w:p>
        </w:tc>
        <w:tc>
          <w:tcPr>
            <w:tcW w:type="dxa" w:w="1409"/>
          </w:tcPr>
          <w:p>
            <w:pPr>
              <w:spacing w:after="40" w:line="240" w:lineRule="auto"/>
            </w:pPr>
            <w:r>
              <w:rPr>
                <w:sz w:val="17"/>
              </w:rPr>
              <w:t>30/30</w:t>
            </w:r>
          </w:p>
        </w:tc>
        <w:tc>
          <w:tcPr>
            <w:tcW w:type="dxa" w:w="1409"/>
          </w:tcPr>
          <w:p>
            <w:pPr>
              <w:spacing w:after="40" w:line="240" w:lineRule="auto"/>
            </w:pPr>
            <w:r>
              <w:rPr>
                <w:sz w:val="17"/>
              </w:rPr>
              <w:t>89.0090±0.3559</w:t>
            </w:r>
          </w:p>
        </w:tc>
        <w:tc>
          <w:tcPr>
            <w:tcW w:type="dxa" w:w="1409"/>
          </w:tcPr>
          <w:p>
            <w:pPr>
              <w:spacing w:after="40" w:line="240" w:lineRule="auto"/>
            </w:pPr>
            <w:r>
              <w:rPr>
                <w:sz w:val="17"/>
              </w:rPr>
              <w:t>89.5196</w:t>
            </w:r>
          </w:p>
        </w:tc>
        <w:tc>
          <w:tcPr>
            <w:tcW w:type="dxa" w:w="1409"/>
          </w:tcPr>
          <w:p>
            <w:pPr>
              <w:spacing w:after="40" w:line="240" w:lineRule="auto"/>
            </w:pPr>
            <w:r>
              <w:rPr>
                <w:sz w:val="17"/>
              </w:rPr>
              <w:t>89.5196</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0.333</w:t>
            </w:r>
          </w:p>
        </w:tc>
        <w:tc>
          <w:tcPr>
            <w:tcW w:type="dxa" w:w="1409"/>
          </w:tcPr>
          <w:p>
            <w:pPr>
              <w:spacing w:after="40" w:line="240" w:lineRule="auto"/>
            </w:pPr>
            <w:r>
              <w:rPr>
                <w:sz w:val="17"/>
              </w:rPr>
              <w:t>1.232611</w:t>
            </w:r>
          </w:p>
        </w:tc>
        <w:tc>
          <w:tcPr>
            <w:tcW w:type="dxa" w:w="1409"/>
          </w:tcPr>
          <w:p>
            <w:pPr>
              <w:spacing w:after="40" w:line="240" w:lineRule="auto"/>
            </w:pPr>
            <w:r>
              <w:rPr>
                <w:sz w:val="17"/>
              </w:rPr>
              <w:t>30/30</w:t>
            </w:r>
          </w:p>
        </w:tc>
        <w:tc>
          <w:tcPr>
            <w:tcW w:type="dxa" w:w="1409"/>
          </w:tcPr>
          <w:p>
            <w:pPr>
              <w:spacing w:after="40" w:line="240" w:lineRule="auto"/>
            </w:pPr>
            <w:r>
              <w:rPr>
                <w:sz w:val="17"/>
              </w:rPr>
              <w:t>90.3081±0.1984</w:t>
            </w:r>
          </w:p>
        </w:tc>
        <w:tc>
          <w:tcPr>
            <w:tcW w:type="dxa" w:w="1409"/>
          </w:tcPr>
          <w:p>
            <w:pPr>
              <w:spacing w:after="40" w:line="240" w:lineRule="auto"/>
            </w:pPr>
            <w:r>
              <w:rPr>
                <w:sz w:val="17"/>
              </w:rPr>
              <w:t>90.6599</w:t>
            </w:r>
          </w:p>
        </w:tc>
        <w:tc>
          <w:tcPr>
            <w:tcW w:type="dxa" w:w="1409"/>
          </w:tcPr>
          <w:p>
            <w:pPr>
              <w:spacing w:after="40" w:line="240" w:lineRule="auto"/>
            </w:pPr>
            <w:r>
              <w:rPr>
                <w:sz w:val="17"/>
              </w:rPr>
              <w:t>90.6599</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0.500</w:t>
            </w:r>
          </w:p>
        </w:tc>
        <w:tc>
          <w:tcPr>
            <w:tcW w:type="dxa" w:w="1409"/>
          </w:tcPr>
          <w:p>
            <w:pPr>
              <w:spacing w:after="40" w:line="240" w:lineRule="auto"/>
            </w:pPr>
            <w:r>
              <w:rPr>
                <w:sz w:val="17"/>
              </w:rPr>
              <w:t>1.720268</w:t>
            </w:r>
          </w:p>
        </w:tc>
        <w:tc>
          <w:tcPr>
            <w:tcW w:type="dxa" w:w="1409"/>
          </w:tcPr>
          <w:p>
            <w:pPr>
              <w:spacing w:after="40" w:line="240" w:lineRule="auto"/>
            </w:pPr>
            <w:r>
              <w:rPr>
                <w:sz w:val="17"/>
              </w:rPr>
              <w:t>30/30</w:t>
            </w:r>
          </w:p>
        </w:tc>
        <w:tc>
          <w:tcPr>
            <w:tcW w:type="dxa" w:w="1409"/>
          </w:tcPr>
          <w:p>
            <w:pPr>
              <w:spacing w:after="40" w:line="240" w:lineRule="auto"/>
            </w:pPr>
            <w:r>
              <w:rPr>
                <w:sz w:val="17"/>
              </w:rPr>
              <w:t>90.6820±0.3523</w:t>
            </w:r>
          </w:p>
        </w:tc>
        <w:tc>
          <w:tcPr>
            <w:tcW w:type="dxa" w:w="1409"/>
          </w:tcPr>
          <w:p>
            <w:pPr>
              <w:spacing w:after="40" w:line="240" w:lineRule="auto"/>
            </w:pPr>
            <w:r>
              <w:rPr>
                <w:sz w:val="17"/>
              </w:rPr>
              <w:t>91.2853</w:t>
            </w:r>
          </w:p>
        </w:tc>
        <w:tc>
          <w:tcPr>
            <w:tcW w:type="dxa" w:w="1409"/>
          </w:tcPr>
          <w:p>
            <w:pPr>
              <w:spacing w:after="40" w:line="240" w:lineRule="auto"/>
            </w:pPr>
            <w:r>
              <w:rPr>
                <w:sz w:val="17"/>
              </w:rPr>
              <w:t>91.4411</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0.667</w:t>
            </w:r>
          </w:p>
        </w:tc>
        <w:tc>
          <w:tcPr>
            <w:tcW w:type="dxa" w:w="1409"/>
          </w:tcPr>
          <w:p>
            <w:pPr>
              <w:spacing w:after="40" w:line="240" w:lineRule="auto"/>
            </w:pPr>
            <w:r>
              <w:rPr>
                <w:sz w:val="17"/>
              </w:rPr>
              <w:t>2.207925</w:t>
            </w:r>
          </w:p>
        </w:tc>
        <w:tc>
          <w:tcPr>
            <w:tcW w:type="dxa" w:w="1409"/>
          </w:tcPr>
          <w:p>
            <w:pPr>
              <w:spacing w:after="40" w:line="240" w:lineRule="auto"/>
            </w:pPr>
            <w:r>
              <w:rPr>
                <w:sz w:val="17"/>
              </w:rPr>
              <w:t>30/30</w:t>
            </w:r>
          </w:p>
        </w:tc>
        <w:tc>
          <w:tcPr>
            <w:tcW w:type="dxa" w:w="1409"/>
          </w:tcPr>
          <w:p>
            <w:pPr>
              <w:spacing w:after="40" w:line="240" w:lineRule="auto"/>
            </w:pPr>
            <w:r>
              <w:rPr>
                <w:sz w:val="17"/>
              </w:rPr>
              <w:t>90.8564±0.0355</w:t>
            </w:r>
          </w:p>
        </w:tc>
        <w:tc>
          <w:tcPr>
            <w:tcW w:type="dxa" w:w="1409"/>
          </w:tcPr>
          <w:p>
            <w:pPr>
              <w:spacing w:after="40" w:line="240" w:lineRule="auto"/>
            </w:pPr>
            <w:r>
              <w:rPr>
                <w:sz w:val="17"/>
              </w:rPr>
              <w:t>91.0430</w:t>
            </w:r>
          </w:p>
        </w:tc>
        <w:tc>
          <w:tcPr>
            <w:tcW w:type="dxa" w:w="1409"/>
          </w:tcPr>
          <w:p>
            <w:pPr>
              <w:spacing w:after="40" w:line="240" w:lineRule="auto"/>
            </w:pPr>
            <w:r>
              <w:rPr>
                <w:sz w:val="17"/>
              </w:rPr>
              <w:t>91.4411</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0.833</w:t>
            </w:r>
          </w:p>
        </w:tc>
        <w:tc>
          <w:tcPr>
            <w:tcW w:type="dxa" w:w="1409"/>
          </w:tcPr>
          <w:p>
            <w:pPr>
              <w:spacing w:after="40" w:line="240" w:lineRule="auto"/>
            </w:pPr>
            <w:r>
              <w:rPr>
                <w:sz w:val="17"/>
              </w:rPr>
              <w:t>2.695582</w:t>
            </w:r>
          </w:p>
        </w:tc>
        <w:tc>
          <w:tcPr>
            <w:tcW w:type="dxa" w:w="1409"/>
          </w:tcPr>
          <w:p>
            <w:pPr>
              <w:spacing w:after="40" w:line="240" w:lineRule="auto"/>
            </w:pPr>
            <w:r>
              <w:rPr>
                <w:sz w:val="17"/>
              </w:rPr>
              <w:t>30/30</w:t>
            </w:r>
          </w:p>
        </w:tc>
        <w:tc>
          <w:tcPr>
            <w:tcW w:type="dxa" w:w="1409"/>
          </w:tcPr>
          <w:p>
            <w:pPr>
              <w:spacing w:after="40" w:line="240" w:lineRule="auto"/>
            </w:pPr>
            <w:r>
              <w:rPr>
                <w:sz w:val="17"/>
              </w:rPr>
              <w:t>91.7640±0.0110</w:t>
            </w:r>
          </w:p>
        </w:tc>
        <w:tc>
          <w:tcPr>
            <w:tcW w:type="dxa" w:w="1409"/>
          </w:tcPr>
          <w:p>
            <w:pPr>
              <w:spacing w:after="40" w:line="240" w:lineRule="auto"/>
            </w:pPr>
            <w:r>
              <w:rPr>
                <w:sz w:val="17"/>
              </w:rPr>
              <w:t>91.7845</w:t>
            </w:r>
          </w:p>
        </w:tc>
        <w:tc>
          <w:tcPr>
            <w:tcW w:type="dxa" w:w="1409"/>
          </w:tcPr>
          <w:p>
            <w:pPr>
              <w:spacing w:after="40" w:line="240" w:lineRule="auto"/>
            </w:pPr>
            <w:r>
              <w:rPr>
                <w:sz w:val="17"/>
              </w:rPr>
              <w:t>91.7845</w:t>
            </w:r>
          </w:p>
        </w:tc>
      </w:tr>
      <w:tr>
        <w:trPr>
          <w:cantSplit/>
        </w:trPr>
        <w:tc>
          <w:tcPr>
            <w:tcW w:type="dxa" w:w="1409"/>
          </w:tcPr>
          <w:p>
            <w:pPr>
              <w:spacing w:after="40" w:line="240" w:lineRule="auto"/>
            </w:pPr>
            <w:r>
              <w:rPr>
                <w:sz w:val="17"/>
              </w:rPr>
              <w:t>LOCF</w:t>
            </w:r>
          </w:p>
        </w:tc>
        <w:tc>
          <w:tcPr>
            <w:tcW w:type="dxa" w:w="1409"/>
          </w:tcPr>
          <w:p>
            <w:pPr>
              <w:spacing w:after="40" w:line="240" w:lineRule="auto"/>
            </w:pPr>
            <w:r>
              <w:rPr>
                <w:sz w:val="17"/>
              </w:rPr>
              <w:t>1.000</w:t>
            </w:r>
          </w:p>
        </w:tc>
        <w:tc>
          <w:tcPr>
            <w:tcW w:type="dxa" w:w="1409"/>
          </w:tcPr>
          <w:p>
            <w:pPr>
              <w:spacing w:after="40" w:line="240" w:lineRule="auto"/>
            </w:pPr>
            <w:r>
              <w:rPr>
                <w:sz w:val="17"/>
              </w:rPr>
              <w:t>3.183239</w:t>
            </w:r>
          </w:p>
        </w:tc>
        <w:tc>
          <w:tcPr>
            <w:tcW w:type="dxa" w:w="1409"/>
          </w:tcPr>
          <w:p>
            <w:pPr>
              <w:spacing w:after="40" w:line="240" w:lineRule="auto"/>
            </w:pPr>
            <w:r>
              <w:rPr>
                <w:sz w:val="17"/>
              </w:rPr>
              <w:t>30/30</w:t>
            </w:r>
          </w:p>
        </w:tc>
        <w:tc>
          <w:tcPr>
            <w:tcW w:type="dxa" w:w="1409"/>
          </w:tcPr>
          <w:p>
            <w:pPr>
              <w:spacing w:after="40" w:line="240" w:lineRule="auto"/>
            </w:pPr>
            <w:r>
              <w:rPr>
                <w:sz w:val="17"/>
              </w:rPr>
              <w:t>92.1335±0.0192</w:t>
            </w:r>
          </w:p>
        </w:tc>
        <w:tc>
          <w:tcPr>
            <w:tcW w:type="dxa" w:w="1409"/>
          </w:tcPr>
          <w:p>
            <w:pPr>
              <w:spacing w:after="40" w:line="240" w:lineRule="auto"/>
            </w:pPr>
            <w:r>
              <w:rPr>
                <w:sz w:val="17"/>
              </w:rPr>
              <w:t>92.1658</w:t>
            </w:r>
          </w:p>
        </w:tc>
        <w:tc>
          <w:tcPr>
            <w:tcW w:type="dxa" w:w="1409"/>
          </w:tcPr>
          <w:p>
            <w:pPr>
              <w:spacing w:after="40" w:line="240" w:lineRule="auto"/>
            </w:pPr>
            <w:r>
              <w:rPr>
                <w:sz w:val="17"/>
              </w:rPr>
              <w:t>92.1811</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0.000</w:t>
            </w:r>
          </w:p>
        </w:tc>
        <w:tc>
          <w:tcPr>
            <w:tcW w:type="dxa" w:w="1409"/>
          </w:tcPr>
          <w:p>
            <w:pPr>
              <w:spacing w:after="40" w:line="240" w:lineRule="auto"/>
            </w:pPr>
            <w:r>
              <w:rPr>
                <w:sz w:val="17"/>
              </w:rPr>
              <w:t>0.257297</w:t>
            </w:r>
          </w:p>
        </w:tc>
        <w:tc>
          <w:tcPr>
            <w:tcW w:type="dxa" w:w="1409"/>
          </w:tcPr>
          <w:p>
            <w:pPr>
              <w:spacing w:after="40" w:line="240" w:lineRule="auto"/>
            </w:pPr>
            <w:r>
              <w:rPr>
                <w:sz w:val="17"/>
              </w:rPr>
              <w:t>30/30</w:t>
            </w:r>
          </w:p>
        </w:tc>
        <w:tc>
          <w:tcPr>
            <w:tcW w:type="dxa" w:w="1409"/>
          </w:tcPr>
          <w:p>
            <w:pPr>
              <w:spacing w:after="40" w:line="240" w:lineRule="auto"/>
            </w:pPr>
            <w:r>
              <w:rPr>
                <w:sz w:val="17"/>
              </w:rPr>
              <w:t>87.5846±0.6363</w:t>
            </w:r>
          </w:p>
        </w:tc>
        <w:tc>
          <w:tcPr>
            <w:tcW w:type="dxa" w:w="1409"/>
          </w:tcPr>
          <w:p>
            <w:pPr>
              <w:spacing w:after="40" w:line="240" w:lineRule="auto"/>
            </w:pPr>
            <w:r>
              <w:rPr>
                <w:sz w:val="17"/>
              </w:rPr>
              <w:t>88.1164</w:t>
            </w:r>
          </w:p>
        </w:tc>
        <w:tc>
          <w:tcPr>
            <w:tcW w:type="dxa" w:w="1409"/>
          </w:tcPr>
          <w:p>
            <w:pPr>
              <w:spacing w:after="40" w:line="240" w:lineRule="auto"/>
            </w:pPr>
            <w:r>
              <w:rPr>
                <w:sz w:val="17"/>
              </w:rPr>
              <w:t>88.1164</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0.167</w:t>
            </w:r>
          </w:p>
        </w:tc>
        <w:tc>
          <w:tcPr>
            <w:tcW w:type="dxa" w:w="1409"/>
          </w:tcPr>
          <w:p>
            <w:pPr>
              <w:spacing w:after="40" w:line="240" w:lineRule="auto"/>
            </w:pPr>
            <w:r>
              <w:rPr>
                <w:sz w:val="17"/>
              </w:rPr>
              <w:t>0.744954</w:t>
            </w:r>
          </w:p>
        </w:tc>
        <w:tc>
          <w:tcPr>
            <w:tcW w:type="dxa" w:w="1409"/>
          </w:tcPr>
          <w:p>
            <w:pPr>
              <w:spacing w:after="40" w:line="240" w:lineRule="auto"/>
            </w:pPr>
            <w:r>
              <w:rPr>
                <w:sz w:val="17"/>
              </w:rPr>
              <w:t>30/30</w:t>
            </w:r>
          </w:p>
        </w:tc>
        <w:tc>
          <w:tcPr>
            <w:tcW w:type="dxa" w:w="1409"/>
          </w:tcPr>
          <w:p>
            <w:pPr>
              <w:spacing w:after="40" w:line="240" w:lineRule="auto"/>
            </w:pPr>
            <w:r>
              <w:rPr>
                <w:sz w:val="17"/>
              </w:rPr>
              <w:t>90.9815±0.2336</w:t>
            </w:r>
          </w:p>
        </w:tc>
        <w:tc>
          <w:tcPr>
            <w:tcW w:type="dxa" w:w="1409"/>
          </w:tcPr>
          <w:p>
            <w:pPr>
              <w:spacing w:after="40" w:line="240" w:lineRule="auto"/>
            </w:pPr>
            <w:r>
              <w:rPr>
                <w:sz w:val="17"/>
              </w:rPr>
              <w:t>91.4247</w:t>
            </w:r>
          </w:p>
        </w:tc>
        <w:tc>
          <w:tcPr>
            <w:tcW w:type="dxa" w:w="1409"/>
          </w:tcPr>
          <w:p>
            <w:pPr>
              <w:spacing w:after="40" w:line="240" w:lineRule="auto"/>
            </w:pPr>
            <w:r>
              <w:rPr>
                <w:sz w:val="17"/>
              </w:rPr>
              <w:t>91.4247</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0.333</w:t>
            </w:r>
          </w:p>
        </w:tc>
        <w:tc>
          <w:tcPr>
            <w:tcW w:type="dxa" w:w="1409"/>
          </w:tcPr>
          <w:p>
            <w:pPr>
              <w:spacing w:after="40" w:line="240" w:lineRule="auto"/>
            </w:pPr>
            <w:r>
              <w:rPr>
                <w:sz w:val="17"/>
              </w:rPr>
              <w:t>1.232611</w:t>
            </w:r>
          </w:p>
        </w:tc>
        <w:tc>
          <w:tcPr>
            <w:tcW w:type="dxa" w:w="1409"/>
          </w:tcPr>
          <w:p>
            <w:pPr>
              <w:spacing w:after="40" w:line="240" w:lineRule="auto"/>
            </w:pPr>
            <w:r>
              <w:rPr>
                <w:sz w:val="17"/>
              </w:rPr>
              <w:t>30/30</w:t>
            </w:r>
          </w:p>
        </w:tc>
        <w:tc>
          <w:tcPr>
            <w:tcW w:type="dxa" w:w="1409"/>
          </w:tcPr>
          <w:p>
            <w:pPr>
              <w:spacing w:after="40" w:line="240" w:lineRule="auto"/>
            </w:pPr>
            <w:r>
              <w:rPr>
                <w:sz w:val="17"/>
              </w:rPr>
              <w:t>91.9746±0.3392</w:t>
            </w:r>
          </w:p>
        </w:tc>
        <w:tc>
          <w:tcPr>
            <w:tcW w:type="dxa" w:w="1409"/>
          </w:tcPr>
          <w:p>
            <w:pPr>
              <w:spacing w:after="40" w:line="240" w:lineRule="auto"/>
            </w:pPr>
            <w:r>
              <w:rPr>
                <w:sz w:val="17"/>
              </w:rPr>
              <w:t>92.3689</w:t>
            </w:r>
          </w:p>
        </w:tc>
        <w:tc>
          <w:tcPr>
            <w:tcW w:type="dxa" w:w="1409"/>
          </w:tcPr>
          <w:p>
            <w:pPr>
              <w:spacing w:after="40" w:line="240" w:lineRule="auto"/>
            </w:pPr>
            <w:r>
              <w:rPr>
                <w:sz w:val="17"/>
              </w:rPr>
              <w:t>92.3689</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0.500</w:t>
            </w:r>
          </w:p>
        </w:tc>
        <w:tc>
          <w:tcPr>
            <w:tcW w:type="dxa" w:w="1409"/>
          </w:tcPr>
          <w:p>
            <w:pPr>
              <w:spacing w:after="40" w:line="240" w:lineRule="auto"/>
            </w:pPr>
            <w:r>
              <w:rPr>
                <w:sz w:val="17"/>
              </w:rPr>
              <w:t>1.720268</w:t>
            </w:r>
          </w:p>
        </w:tc>
        <w:tc>
          <w:tcPr>
            <w:tcW w:type="dxa" w:w="1409"/>
          </w:tcPr>
          <w:p>
            <w:pPr>
              <w:spacing w:after="40" w:line="240" w:lineRule="auto"/>
            </w:pPr>
            <w:r>
              <w:rPr>
                <w:sz w:val="17"/>
              </w:rPr>
              <w:t>30/30</w:t>
            </w:r>
          </w:p>
        </w:tc>
        <w:tc>
          <w:tcPr>
            <w:tcW w:type="dxa" w:w="1409"/>
          </w:tcPr>
          <w:p>
            <w:pPr>
              <w:spacing w:after="40" w:line="240" w:lineRule="auto"/>
            </w:pPr>
            <w:r>
              <w:rPr>
                <w:sz w:val="17"/>
              </w:rPr>
              <w:t>92.5619±0.1375</w:t>
            </w:r>
          </w:p>
        </w:tc>
        <w:tc>
          <w:tcPr>
            <w:tcW w:type="dxa" w:w="1409"/>
          </w:tcPr>
          <w:p>
            <w:pPr>
              <w:spacing w:after="40" w:line="240" w:lineRule="auto"/>
            </w:pPr>
            <w:r>
              <w:rPr>
                <w:sz w:val="17"/>
              </w:rPr>
              <w:t>92.7991</w:t>
            </w:r>
          </w:p>
        </w:tc>
        <w:tc>
          <w:tcPr>
            <w:tcW w:type="dxa" w:w="1409"/>
          </w:tcPr>
          <w:p>
            <w:pPr>
              <w:spacing w:after="40" w:line="240" w:lineRule="auto"/>
            </w:pPr>
            <w:r>
              <w:rPr>
                <w:sz w:val="17"/>
              </w:rPr>
              <w:t>92.7991</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0.667</w:t>
            </w:r>
          </w:p>
        </w:tc>
        <w:tc>
          <w:tcPr>
            <w:tcW w:type="dxa" w:w="1409"/>
          </w:tcPr>
          <w:p>
            <w:pPr>
              <w:spacing w:after="40" w:line="240" w:lineRule="auto"/>
            </w:pPr>
            <w:r>
              <w:rPr>
                <w:sz w:val="17"/>
              </w:rPr>
              <w:t>2.207925</w:t>
            </w:r>
          </w:p>
        </w:tc>
        <w:tc>
          <w:tcPr>
            <w:tcW w:type="dxa" w:w="1409"/>
          </w:tcPr>
          <w:p>
            <w:pPr>
              <w:spacing w:after="40" w:line="240" w:lineRule="auto"/>
            </w:pPr>
            <w:r>
              <w:rPr>
                <w:sz w:val="17"/>
              </w:rPr>
              <w:t>30/30</w:t>
            </w:r>
          </w:p>
        </w:tc>
        <w:tc>
          <w:tcPr>
            <w:tcW w:type="dxa" w:w="1409"/>
          </w:tcPr>
          <w:p>
            <w:pPr>
              <w:spacing w:after="40" w:line="240" w:lineRule="auto"/>
            </w:pPr>
            <w:r>
              <w:rPr>
                <w:sz w:val="17"/>
              </w:rPr>
              <w:t>93.0217±0.1674</w:t>
            </w:r>
          </w:p>
        </w:tc>
        <w:tc>
          <w:tcPr>
            <w:tcW w:type="dxa" w:w="1409"/>
          </w:tcPr>
          <w:p>
            <w:pPr>
              <w:spacing w:after="40" w:line="240" w:lineRule="auto"/>
            </w:pPr>
            <w:r>
              <w:rPr>
                <w:sz w:val="17"/>
              </w:rPr>
              <w:t>93.3006</w:t>
            </w:r>
          </w:p>
        </w:tc>
        <w:tc>
          <w:tcPr>
            <w:tcW w:type="dxa" w:w="1409"/>
          </w:tcPr>
          <w:p>
            <w:pPr>
              <w:spacing w:after="40" w:line="240" w:lineRule="auto"/>
            </w:pPr>
            <w:r>
              <w:rPr>
                <w:sz w:val="17"/>
              </w:rPr>
              <w:t>93.3006</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0.833</w:t>
            </w:r>
          </w:p>
        </w:tc>
        <w:tc>
          <w:tcPr>
            <w:tcW w:type="dxa" w:w="1409"/>
          </w:tcPr>
          <w:p>
            <w:pPr>
              <w:spacing w:after="40" w:line="240" w:lineRule="auto"/>
            </w:pPr>
            <w:r>
              <w:rPr>
                <w:sz w:val="17"/>
              </w:rPr>
              <w:t>2.695582</w:t>
            </w:r>
          </w:p>
        </w:tc>
        <w:tc>
          <w:tcPr>
            <w:tcW w:type="dxa" w:w="1409"/>
          </w:tcPr>
          <w:p>
            <w:pPr>
              <w:spacing w:after="40" w:line="240" w:lineRule="auto"/>
            </w:pPr>
            <w:r>
              <w:rPr>
                <w:sz w:val="17"/>
              </w:rPr>
              <w:t>30/30</w:t>
            </w:r>
          </w:p>
        </w:tc>
        <w:tc>
          <w:tcPr>
            <w:tcW w:type="dxa" w:w="1409"/>
          </w:tcPr>
          <w:p>
            <w:pPr>
              <w:spacing w:after="40" w:line="240" w:lineRule="auto"/>
            </w:pPr>
            <w:r>
              <w:rPr>
                <w:sz w:val="17"/>
              </w:rPr>
              <w:t>93.2767±0.1196</w:t>
            </w:r>
          </w:p>
        </w:tc>
        <w:tc>
          <w:tcPr>
            <w:tcW w:type="dxa" w:w="1409"/>
          </w:tcPr>
          <w:p>
            <w:pPr>
              <w:spacing w:after="40" w:line="240" w:lineRule="auto"/>
            </w:pPr>
            <w:r>
              <w:rPr>
                <w:sz w:val="17"/>
              </w:rPr>
              <w:t>93.5013</w:t>
            </w:r>
          </w:p>
        </w:tc>
        <w:tc>
          <w:tcPr>
            <w:tcW w:type="dxa" w:w="1409"/>
          </w:tcPr>
          <w:p>
            <w:pPr>
              <w:spacing w:after="40" w:line="240" w:lineRule="auto"/>
            </w:pPr>
            <w:r>
              <w:rPr>
                <w:sz w:val="17"/>
              </w:rPr>
              <w:t>93.5013</w:t>
            </w:r>
          </w:p>
        </w:tc>
      </w:tr>
      <w:tr>
        <w:trPr>
          <w:cantSplit/>
        </w:trPr>
        <w:tc>
          <w:tcPr>
            <w:tcW w:type="dxa" w:w="1409"/>
          </w:tcPr>
          <w:p>
            <w:pPr>
              <w:spacing w:after="40" w:line="240" w:lineRule="auto"/>
            </w:pPr>
            <w:r>
              <w:rPr>
                <w:sz w:val="17"/>
              </w:rPr>
              <w:t>Ridge</w:t>
            </w:r>
          </w:p>
        </w:tc>
        <w:tc>
          <w:tcPr>
            <w:tcW w:type="dxa" w:w="1409"/>
          </w:tcPr>
          <w:p>
            <w:pPr>
              <w:spacing w:after="40" w:line="240" w:lineRule="auto"/>
            </w:pPr>
            <w:r>
              <w:rPr>
                <w:sz w:val="17"/>
              </w:rPr>
              <w:t>1.000</w:t>
            </w:r>
          </w:p>
        </w:tc>
        <w:tc>
          <w:tcPr>
            <w:tcW w:type="dxa" w:w="1409"/>
          </w:tcPr>
          <w:p>
            <w:pPr>
              <w:spacing w:after="40" w:line="240" w:lineRule="auto"/>
            </w:pPr>
            <w:r>
              <w:rPr>
                <w:sz w:val="17"/>
              </w:rPr>
              <w:t>3.183239</w:t>
            </w:r>
          </w:p>
        </w:tc>
        <w:tc>
          <w:tcPr>
            <w:tcW w:type="dxa" w:w="1409"/>
          </w:tcPr>
          <w:p>
            <w:pPr>
              <w:spacing w:after="40" w:line="240" w:lineRule="auto"/>
            </w:pPr>
            <w:r>
              <w:rPr>
                <w:sz w:val="17"/>
              </w:rPr>
              <w:t>30/30</w:t>
            </w:r>
          </w:p>
        </w:tc>
        <w:tc>
          <w:tcPr>
            <w:tcW w:type="dxa" w:w="1409"/>
          </w:tcPr>
          <w:p>
            <w:pPr>
              <w:spacing w:after="40" w:line="240" w:lineRule="auto"/>
            </w:pPr>
            <w:r>
              <w:rPr>
                <w:sz w:val="17"/>
              </w:rPr>
              <w:t>93.3026±0.1264</w:t>
            </w:r>
          </w:p>
        </w:tc>
        <w:tc>
          <w:tcPr>
            <w:tcW w:type="dxa" w:w="1409"/>
          </w:tcPr>
          <w:p>
            <w:pPr>
              <w:spacing w:after="40" w:line="240" w:lineRule="auto"/>
            </w:pPr>
            <w:r>
              <w:rPr>
                <w:sz w:val="17"/>
              </w:rPr>
              <w:t>93.4586</w:t>
            </w:r>
          </w:p>
        </w:tc>
        <w:tc>
          <w:tcPr>
            <w:tcW w:type="dxa" w:w="1409"/>
          </w:tcPr>
          <w:p>
            <w:pPr>
              <w:spacing w:after="40" w:line="240" w:lineRule="auto"/>
            </w:pPr>
            <w:r>
              <w:rPr>
                <w:sz w:val="17"/>
              </w:rPr>
              <w:t>93.5013</w:t>
            </w:r>
          </w:p>
        </w:tc>
      </w:tr>
    </w:tbl>
    <w:p>
      <w:r>
        <w:rPr>
          <w:sz w:val="18"/>
        </w:rPr>
        <w:t>注：资源为无量纲。均值±SD与本档最好值来自该档独立GJO；已知下界可来自其他资源档或求解器的可行排程，不纳入本档统计。“—”表示没有可行最终运行。</w:t>
      </w:r>
    </w:p>
    <w:p>
      <w:pPr>
        <w:keepNext/>
        <w:jc w:val="center"/>
      </w:pPr>
      <w:r>
        <w:drawing>
          <wp:inline xmlns:a="http://schemas.openxmlformats.org/drawingml/2006/main" xmlns:pic="http://schemas.openxmlformats.org/drawingml/2006/picture">
            <wp:extent cx="5976000" cy="2335201"/>
            <wp:docPr id="4" name="Picture 4"/>
            <wp:cNvGraphicFramePr>
              <a:graphicFrameLocks noChangeAspect="1"/>
            </wp:cNvGraphicFramePr>
            <a:graphic>
              <a:graphicData uri="http://schemas.openxmlformats.org/drawingml/2006/picture">
                <pic:pic>
                  <pic:nvPicPr>
                    <pic:cNvPr id="0" name="Figure_04_resource_response.png"/>
                    <pic:cNvPicPr/>
                  </pic:nvPicPr>
                  <pic:blipFill>
                    <a:blip r:embed="rId13"/>
                    <a:stretch>
                      <a:fillRect/>
                    </a:stretch>
                  </pic:blipFill>
                  <pic:spPr>
                    <a:xfrm>
                      <a:off x="0" y="0"/>
                      <a:ext cx="5976000" cy="2335201"/>
                    </a:xfrm>
                    <a:prstGeom prst="rect"/>
                  </pic:spPr>
                </pic:pic>
              </a:graphicData>
            </a:graphic>
          </wp:inline>
        </w:drawing>
      </w:r>
    </w:p>
    <w:p>
      <w:pPr>
        <w:spacing w:after="100"/>
        <w:jc w:val="center"/>
      </w:pPr>
      <w:r>
        <w:t>图4 归一化养护资源水平与长期平均评分</w:t>
      </w:r>
    </w:p>
    <w:p>
      <w:r>
        <w:rPr>
          <w:sz w:val="18"/>
        </w:rPr>
        <w:t>注：仅显示本档独立GJO的可行运行均值±样本标准差和本档独立运行最好值；跨候选已知可行J下界另见表5，不并入运行统计。LOCF最低档主搜索为0/30，但端点已有可行解。</w:t>
      </w:r>
    </w:p>
    <w:p>
      <w:pPr>
        <w:keepNext/>
        <w:jc w:val="center"/>
      </w:pPr>
      <w:r>
        <w:drawing>
          <wp:inline xmlns:a="http://schemas.openxmlformats.org/drawingml/2006/main" xmlns:pic="http://schemas.openxmlformats.org/drawingml/2006/picture">
            <wp:extent cx="5976000" cy="2558039"/>
            <wp:docPr id="5" name="Picture 5"/>
            <wp:cNvGraphicFramePr>
              <a:graphicFrameLocks noChangeAspect="1"/>
            </wp:cNvGraphicFramePr>
            <a:graphic>
              <a:graphicData uri="http://schemas.openxmlformats.org/drawingml/2006/picture">
                <pic:pic>
                  <pic:nvPicPr>
                    <pic:cNvPr id="0" name="Figure_05_initial_trajectories.png"/>
                    <pic:cNvPicPr/>
                  </pic:nvPicPr>
                  <pic:blipFill>
                    <a:blip r:embed="rId14"/>
                    <a:stretch>
                      <a:fillRect/>
                    </a:stretch>
                  </pic:blipFill>
                  <pic:spPr>
                    <a:xfrm>
                      <a:off x="0" y="0"/>
                      <a:ext cx="5976000" cy="2558039"/>
                    </a:xfrm>
                    <a:prstGeom prst="rect"/>
                  </pic:spPr>
                </pic:pic>
              </a:graphicData>
            </a:graphic>
          </wp:inline>
        </w:drawing>
      </w:r>
    </w:p>
    <w:p>
      <w:pPr>
        <w:spacing w:after="100"/>
        <w:jc w:val="center"/>
      </w:pPr>
      <w:r>
        <w:t>图5 两套初值下代表排程的长期状态轨迹</w:t>
      </w:r>
    </w:p>
    <w:p>
      <w:r>
        <w:rPr>
          <w:sz w:val="18"/>
        </w:rPr>
        <w:t>注：共同ρ=1/2、B=1.720268；各自GJO最好可行排程。轨迹同时包含起点和行动差异。</w:t>
      </w:r>
    </w:p>
    <w:p>
      <w:pPr>
        <w:keepNext/>
        <w:jc w:val="center"/>
      </w:pPr>
      <w:r>
        <w:drawing>
          <wp:inline xmlns:a="http://schemas.openxmlformats.org/drawingml/2006/main" xmlns:pic="http://schemas.openxmlformats.org/drawingml/2006/picture">
            <wp:extent cx="5976000" cy="2441899"/>
            <wp:docPr id="6" name="Picture 6"/>
            <wp:cNvGraphicFramePr>
              <a:graphicFrameLocks noChangeAspect="1"/>
            </wp:cNvGraphicFramePr>
            <a:graphic>
              <a:graphicData uri="http://schemas.openxmlformats.org/drawingml/2006/picture">
                <pic:pic>
                  <pic:nvPicPr>
                    <pic:cNvPr id="0" name="Figure_06_schedule_changes.png"/>
                    <pic:cNvPicPr/>
                  </pic:nvPicPr>
                  <pic:blipFill>
                    <a:blip r:embed="rId15"/>
                    <a:stretch>
                      <a:fillRect/>
                    </a:stretch>
                  </pic:blipFill>
                  <pic:spPr>
                    <a:xfrm>
                      <a:off x="0" y="0"/>
                      <a:ext cx="5976000" cy="2441899"/>
                    </a:xfrm>
                    <a:prstGeom prst="rect"/>
                  </pic:spPr>
                </pic:pic>
              </a:graphicData>
            </a:graphic>
          </wp:inline>
        </w:drawing>
      </w:r>
    </w:p>
    <w:p>
      <w:pPr>
        <w:spacing w:after="100"/>
        <w:jc w:val="center"/>
      </w:pPr>
      <w:r>
        <w:t>图6 规划初始状态对养护时机的影响</w:t>
      </w:r>
    </w:p>
    <w:p>
      <w:r>
        <w:rPr>
          <w:sz w:val="18"/>
        </w:rPr>
        <w:t>注：首次养护年差只统计双方均养护的单元；其余状态单独标记。Jaccard按单元—年份行动集合计算。</w:t>
      </w:r>
    </w:p>
    <w:p>
      <w:pPr>
        <w:pStyle w:val="Heading2"/>
      </w:pPr>
      <w:r>
        <w:t>3.4 代表性养护排程</w:t>
      </w:r>
    </w:p>
    <w:p>
      <w:r>
        <w:t>预先指定LOCF、ρ=1/2、d=0.65作为代表情景，取其30次GJO运行中J最高的可行排程。入选种子为20261026，J为91.2853分，2044年平均评分为88.8717分，20年最低评分为75.92分。累计资源为1.633589，低于上限1.720268。该方案共111次行动，年均5.55次，每年1、2类单元均为59个。它是指定主求解器和情景内的代表，不是所有已保存方案中的最高J。</w:t>
      </w:r>
    </w:p>
    <w:p>
      <w:r>
        <w:t>图7显示代表方案的年度变化。施工量在早期较集中，共11年达到8个单元的年度上限，之后随可用次数和状态变化减少。平均评分于2036年达到92.4446分，此后有所下降。相同LOCF初值下，零养护递推的J为83.8167分，代表排程较其增加7.4687分。零养护结果用于描述情景内基线，并不满足全部长期管理要求。</w:t>
      </w:r>
    </w:p>
    <w:p>
      <w:r>
        <w:t>新资源模型中的10对求解器对照均可行，GJO与I-GJO的J均值分别为90.7940分和91.0375分，样本均值差为0.2435分。两者使用相同种群、评价预算和配对种子。这个小规模对照说明具体最好值会受搜索机制影响，不能据此推断I-GJO普遍占优。本文不采用旧费用模型的显著性检验，也不把求解器差别作为初值或资源分析的原因。逐次对照及其可行性记录放入补充材料。</w:t>
      </w:r>
    </w:p>
    <w:p>
      <w:pPr>
        <w:keepNext/>
        <w:jc w:val="center"/>
      </w:pPr>
      <w:r>
        <w:drawing>
          <wp:inline xmlns:a="http://schemas.openxmlformats.org/drawingml/2006/main" xmlns:pic="http://schemas.openxmlformats.org/drawingml/2006/picture">
            <wp:extent cx="5976000" cy="4477919"/>
            <wp:docPr id="7" name="Picture 7"/>
            <wp:cNvGraphicFramePr>
              <a:graphicFrameLocks noChangeAspect="1"/>
            </wp:cNvGraphicFramePr>
            <a:graphic>
              <a:graphicData uri="http://schemas.openxmlformats.org/drawingml/2006/picture">
                <pic:pic>
                  <pic:nvPicPr>
                    <pic:cNvPr id="0" name="Figure_07_representative_schedule.png"/>
                    <pic:cNvPicPr/>
                  </pic:nvPicPr>
                  <pic:blipFill>
                    <a:blip r:embed="rId16"/>
                    <a:stretch>
                      <a:fillRect/>
                    </a:stretch>
                  </pic:blipFill>
                  <pic:spPr>
                    <a:xfrm>
                      <a:off x="0" y="0"/>
                      <a:ext cx="5976000" cy="4477919"/>
                    </a:xfrm>
                    <a:prstGeom prst="rect"/>
                  </pic:spPr>
                </pic:pic>
              </a:graphicData>
            </a:graphic>
          </wp:inline>
        </w:drawing>
      </w:r>
    </w:p>
    <w:p>
      <w:pPr>
        <w:spacing w:after="100"/>
        <w:jc w:val="center"/>
      </w:pPr>
      <w:r>
        <w:t>图7 LOCF中档资源代表排程</w:t>
      </w:r>
    </w:p>
    <w:p>
      <w:r>
        <w:rPr>
          <w:sz w:val="18"/>
        </w:rPr>
        <w:t>注：代表方案固定为LOCF、ρ=1/2、d=0.65下30次GJO中的最好可行解；不称全已知最好方案。</w:t>
      </w:r>
    </w:p>
    <w:p>
      <w:pPr>
        <w:pStyle w:val="Heading2"/>
      </w:pPr>
      <w:r>
        <w:t>3.5 退化情景敏感性</w:t>
      </w:r>
    </w:p>
    <w:p>
      <w:r>
        <w:t>固定LOCF初值与B=1.720268后，三档年退化量各30次运行均可行。d为0.45、0.65和0.85分/年时，J均值依次为92.8300、90.6820和87.9658分。各档最好J依次为93.2294、91.2853和87.9658分，2044年平均评分为92.7207、88.8717和81.6756分。图8和表6展示同一资源上限下的状态与工作量差别。</w:t>
      </w:r>
    </w:p>
    <w:p>
      <w:r>
        <w:t>三套最好方案分别包含112、111和79次行动，最低评分分别为75.64、75.92和77.32分，最低1、2类比例均为100%。较大年退化量下行动次数没有更多，原因不能仅由次数判断：养护前评分较低会使每次资源增加，资源上限会限制行动安排。各情景均重新优化，所以这些数值表示不同条件下的计划选择，而非对同一既定方案的直接退化试验。</w:t>
      </w:r>
    </w:p>
    <w:p>
      <w:r>
        <w:t>d=0.85的30次运行得到相同的79行动方案，J标准差为0。共享规则候选提供了该可行排程，当前搜索预算内未找到更好的方案，不能据此认定真实状态没有不确定性，或求解结果对参数不敏感。三种情景没有被赋予实际发生概率，本文仅比较它们的条件性结果。退化参数变化后，若实际检测资料不能支持某一取值，应优先更新参数和初值，再重新规划，不能把更乐观的情景作为实施承诺。</w:t>
      </w:r>
    </w:p>
    <w:p>
      <w:pPr>
        <w:keepNext/>
        <w:jc w:val="center"/>
      </w:pPr>
      <w:r>
        <w:t>表6 年退化量情景与代表方案指标</w:t>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rPr>
          <w:tblHeader/>
          <w:cantSplit/>
        </w:trPr>
        <w:tc>
          <w:tcPr>
            <w:tcW w:type="dxa" w:w="1409"/>
          </w:tcPr>
          <w:p>
            <w:pPr>
              <w:spacing w:after="40" w:line="240" w:lineRule="auto"/>
            </w:pPr>
            <w:r>
              <w:rPr>
                <w:sz w:val="17"/>
              </w:rPr>
              <w:t>d/(分/年)</w:t>
            </w:r>
          </w:p>
        </w:tc>
        <w:tc>
          <w:tcPr>
            <w:tcW w:type="dxa" w:w="1409"/>
          </w:tcPr>
          <w:p>
            <w:pPr>
              <w:spacing w:after="40" w:line="240" w:lineRule="auto"/>
            </w:pPr>
            <w:r>
              <w:rPr>
                <w:sz w:val="17"/>
              </w:rPr>
              <w:t>J均值±SD/分</w:t>
            </w:r>
          </w:p>
        </w:tc>
        <w:tc>
          <w:tcPr>
            <w:tcW w:type="dxa" w:w="1409"/>
          </w:tcPr>
          <w:p>
            <w:pPr>
              <w:spacing w:after="40" w:line="240" w:lineRule="auto"/>
            </w:pPr>
            <w:r>
              <w:rPr>
                <w:sz w:val="17"/>
              </w:rPr>
              <w:t>最好J/分</w:t>
            </w:r>
          </w:p>
        </w:tc>
        <w:tc>
          <w:tcPr>
            <w:tcW w:type="dxa" w:w="1409"/>
          </w:tcPr>
          <w:p>
            <w:pPr>
              <w:spacing w:after="40" w:line="240" w:lineRule="auto"/>
            </w:pPr>
            <w:r>
              <w:rPr>
                <w:sz w:val="17"/>
              </w:rPr>
              <w:t>2044平均/分</w:t>
            </w:r>
          </w:p>
        </w:tc>
        <w:tc>
          <w:tcPr>
            <w:tcW w:type="dxa" w:w="1409"/>
          </w:tcPr>
          <w:p>
            <w:pPr>
              <w:spacing w:after="40" w:line="240" w:lineRule="auto"/>
            </w:pPr>
            <w:r>
              <w:rPr>
                <w:sz w:val="17"/>
              </w:rPr>
              <w:t>最低/分</w:t>
            </w:r>
          </w:p>
        </w:tc>
        <w:tc>
          <w:tcPr>
            <w:tcW w:type="dxa" w:w="1409"/>
          </w:tcPr>
          <w:p>
            <w:pPr>
              <w:spacing w:after="40" w:line="240" w:lineRule="auto"/>
            </w:pPr>
            <w:r>
              <w:rPr>
                <w:sz w:val="17"/>
              </w:rPr>
              <w:t>行动数</w:t>
            </w:r>
          </w:p>
        </w:tc>
        <w:tc>
          <w:tcPr>
            <w:tcW w:type="dxa" w:w="1409"/>
          </w:tcPr>
          <w:p>
            <w:pPr>
              <w:spacing w:after="40" w:line="240" w:lineRule="auto"/>
            </w:pPr>
            <w:r>
              <w:rPr>
                <w:sz w:val="17"/>
              </w:rPr>
              <w:t>累计资源</w:t>
            </w:r>
          </w:p>
        </w:tc>
      </w:tr>
      <w:tr>
        <w:trPr>
          <w:cantSplit/>
        </w:trPr>
        <w:tc>
          <w:tcPr>
            <w:tcW w:type="dxa" w:w="1409"/>
          </w:tcPr>
          <w:p>
            <w:pPr>
              <w:spacing w:after="40" w:line="240" w:lineRule="auto"/>
            </w:pPr>
            <w:r>
              <w:rPr>
                <w:sz w:val="17"/>
              </w:rPr>
              <w:t>0.45</w:t>
            </w:r>
          </w:p>
        </w:tc>
        <w:tc>
          <w:tcPr>
            <w:tcW w:type="dxa" w:w="1409"/>
          </w:tcPr>
          <w:p>
            <w:pPr>
              <w:spacing w:after="40" w:line="240" w:lineRule="auto"/>
            </w:pPr>
            <w:r>
              <w:rPr>
                <w:sz w:val="17"/>
              </w:rPr>
              <w:t>92.8300±0.2558</w:t>
            </w:r>
          </w:p>
        </w:tc>
        <w:tc>
          <w:tcPr>
            <w:tcW w:type="dxa" w:w="1409"/>
          </w:tcPr>
          <w:p>
            <w:pPr>
              <w:spacing w:after="40" w:line="240" w:lineRule="auto"/>
            </w:pPr>
            <w:r>
              <w:rPr>
                <w:sz w:val="17"/>
              </w:rPr>
              <w:t>93.2294</w:t>
            </w:r>
          </w:p>
        </w:tc>
        <w:tc>
          <w:tcPr>
            <w:tcW w:type="dxa" w:w="1409"/>
          </w:tcPr>
          <w:p>
            <w:pPr>
              <w:spacing w:after="40" w:line="240" w:lineRule="auto"/>
            </w:pPr>
            <w:r>
              <w:rPr>
                <w:sz w:val="17"/>
              </w:rPr>
              <w:t>92.7207</w:t>
            </w:r>
          </w:p>
        </w:tc>
        <w:tc>
          <w:tcPr>
            <w:tcW w:type="dxa" w:w="1409"/>
          </w:tcPr>
          <w:p>
            <w:pPr>
              <w:spacing w:after="40" w:line="240" w:lineRule="auto"/>
            </w:pPr>
            <w:r>
              <w:rPr>
                <w:sz w:val="17"/>
              </w:rPr>
              <w:t>75.64</w:t>
            </w:r>
          </w:p>
        </w:tc>
        <w:tc>
          <w:tcPr>
            <w:tcW w:type="dxa" w:w="1409"/>
          </w:tcPr>
          <w:p>
            <w:pPr>
              <w:spacing w:after="40" w:line="240" w:lineRule="auto"/>
            </w:pPr>
            <w:r>
              <w:rPr>
                <w:sz w:val="17"/>
              </w:rPr>
              <w:t>112</w:t>
            </w:r>
          </w:p>
        </w:tc>
        <w:tc>
          <w:tcPr>
            <w:tcW w:type="dxa" w:w="1409"/>
          </w:tcPr>
          <w:p>
            <w:pPr>
              <w:spacing w:after="40" w:line="240" w:lineRule="auto"/>
            </w:pPr>
            <w:r>
              <w:rPr>
                <w:sz w:val="17"/>
              </w:rPr>
              <w:t>1.708889</w:t>
            </w:r>
          </w:p>
        </w:tc>
      </w:tr>
      <w:tr>
        <w:trPr>
          <w:cantSplit/>
        </w:trPr>
        <w:tc>
          <w:tcPr>
            <w:tcW w:type="dxa" w:w="1409"/>
          </w:tcPr>
          <w:p>
            <w:pPr>
              <w:spacing w:after="40" w:line="240" w:lineRule="auto"/>
            </w:pPr>
            <w:r>
              <w:rPr>
                <w:sz w:val="17"/>
              </w:rPr>
              <w:t>0.65</w:t>
            </w:r>
          </w:p>
        </w:tc>
        <w:tc>
          <w:tcPr>
            <w:tcW w:type="dxa" w:w="1409"/>
          </w:tcPr>
          <w:p>
            <w:pPr>
              <w:spacing w:after="40" w:line="240" w:lineRule="auto"/>
            </w:pPr>
            <w:r>
              <w:rPr>
                <w:sz w:val="17"/>
              </w:rPr>
              <w:t>90.6820±0.3523</w:t>
            </w:r>
          </w:p>
        </w:tc>
        <w:tc>
          <w:tcPr>
            <w:tcW w:type="dxa" w:w="1409"/>
          </w:tcPr>
          <w:p>
            <w:pPr>
              <w:spacing w:after="40" w:line="240" w:lineRule="auto"/>
            </w:pPr>
            <w:r>
              <w:rPr>
                <w:sz w:val="17"/>
              </w:rPr>
              <w:t>91.2853</w:t>
            </w:r>
          </w:p>
        </w:tc>
        <w:tc>
          <w:tcPr>
            <w:tcW w:type="dxa" w:w="1409"/>
          </w:tcPr>
          <w:p>
            <w:pPr>
              <w:spacing w:after="40" w:line="240" w:lineRule="auto"/>
            </w:pPr>
            <w:r>
              <w:rPr>
                <w:sz w:val="17"/>
              </w:rPr>
              <w:t>88.8717</w:t>
            </w:r>
          </w:p>
        </w:tc>
        <w:tc>
          <w:tcPr>
            <w:tcW w:type="dxa" w:w="1409"/>
          </w:tcPr>
          <w:p>
            <w:pPr>
              <w:spacing w:after="40" w:line="240" w:lineRule="auto"/>
            </w:pPr>
            <w:r>
              <w:rPr>
                <w:sz w:val="17"/>
              </w:rPr>
              <w:t>75.92</w:t>
            </w:r>
          </w:p>
        </w:tc>
        <w:tc>
          <w:tcPr>
            <w:tcW w:type="dxa" w:w="1409"/>
          </w:tcPr>
          <w:p>
            <w:pPr>
              <w:spacing w:after="40" w:line="240" w:lineRule="auto"/>
            </w:pPr>
            <w:r>
              <w:rPr>
                <w:sz w:val="17"/>
              </w:rPr>
              <w:t>111</w:t>
            </w:r>
          </w:p>
        </w:tc>
        <w:tc>
          <w:tcPr>
            <w:tcW w:type="dxa" w:w="1409"/>
          </w:tcPr>
          <w:p>
            <w:pPr>
              <w:spacing w:after="40" w:line="240" w:lineRule="auto"/>
            </w:pPr>
            <w:r>
              <w:rPr>
                <w:sz w:val="17"/>
              </w:rPr>
              <w:t>1.633589</w:t>
            </w:r>
          </w:p>
        </w:tc>
      </w:tr>
      <w:tr>
        <w:trPr>
          <w:cantSplit/>
        </w:trPr>
        <w:tc>
          <w:tcPr>
            <w:tcW w:type="dxa" w:w="1409"/>
          </w:tcPr>
          <w:p>
            <w:pPr>
              <w:spacing w:after="40" w:line="240" w:lineRule="auto"/>
            </w:pPr>
            <w:r>
              <w:rPr>
                <w:sz w:val="17"/>
              </w:rPr>
              <w:t>0.85</w:t>
            </w:r>
          </w:p>
        </w:tc>
        <w:tc>
          <w:tcPr>
            <w:tcW w:type="dxa" w:w="1409"/>
          </w:tcPr>
          <w:p>
            <w:pPr>
              <w:spacing w:after="40" w:line="240" w:lineRule="auto"/>
            </w:pPr>
            <w:r>
              <w:rPr>
                <w:sz w:val="17"/>
              </w:rPr>
              <w:t>87.9658±0.0000</w:t>
            </w:r>
          </w:p>
        </w:tc>
        <w:tc>
          <w:tcPr>
            <w:tcW w:type="dxa" w:w="1409"/>
          </w:tcPr>
          <w:p>
            <w:pPr>
              <w:spacing w:after="40" w:line="240" w:lineRule="auto"/>
            </w:pPr>
            <w:r>
              <w:rPr>
                <w:sz w:val="17"/>
              </w:rPr>
              <w:t>87.9658</w:t>
            </w:r>
          </w:p>
        </w:tc>
        <w:tc>
          <w:tcPr>
            <w:tcW w:type="dxa" w:w="1409"/>
          </w:tcPr>
          <w:p>
            <w:pPr>
              <w:spacing w:after="40" w:line="240" w:lineRule="auto"/>
            </w:pPr>
            <w:r>
              <w:rPr>
                <w:sz w:val="17"/>
              </w:rPr>
              <w:t>81.6756</w:t>
            </w:r>
          </w:p>
        </w:tc>
        <w:tc>
          <w:tcPr>
            <w:tcW w:type="dxa" w:w="1409"/>
          </w:tcPr>
          <w:p>
            <w:pPr>
              <w:spacing w:after="40" w:line="240" w:lineRule="auto"/>
            </w:pPr>
            <w:r>
              <w:rPr>
                <w:sz w:val="17"/>
              </w:rPr>
              <w:t>77.32</w:t>
            </w:r>
          </w:p>
        </w:tc>
        <w:tc>
          <w:tcPr>
            <w:tcW w:type="dxa" w:w="1409"/>
          </w:tcPr>
          <w:p>
            <w:pPr>
              <w:spacing w:after="40" w:line="240" w:lineRule="auto"/>
            </w:pPr>
            <w:r>
              <w:rPr>
                <w:sz w:val="17"/>
              </w:rPr>
              <w:t>79</w:t>
            </w:r>
          </w:p>
        </w:tc>
        <w:tc>
          <w:tcPr>
            <w:tcW w:type="dxa" w:w="1409"/>
          </w:tcPr>
          <w:p>
            <w:pPr>
              <w:spacing w:after="40" w:line="240" w:lineRule="auto"/>
            </w:pPr>
            <w:r>
              <w:rPr>
                <w:sz w:val="17"/>
              </w:rPr>
              <w:t>1.719993</w:t>
            </w:r>
          </w:p>
        </w:tc>
      </w:tr>
    </w:tbl>
    <w:p>
      <w:r>
        <w:rPr>
          <w:sz w:val="18"/>
        </w:rPr>
        <w:t>注：各档30次均可行；均值±SD统计重复运行，其他指标取各档最好可行GJO排程。最低1、2类比例均为100%；逐次和逐年指标见补充材料。</w:t>
      </w:r>
    </w:p>
    <w:p>
      <w:pPr>
        <w:keepNext/>
        <w:jc w:val="center"/>
      </w:pPr>
      <w:r>
        <w:drawing>
          <wp:inline xmlns:a="http://schemas.openxmlformats.org/drawingml/2006/main" xmlns:pic="http://schemas.openxmlformats.org/drawingml/2006/picture">
            <wp:extent cx="5976000" cy="1965141"/>
            <wp:docPr id="8" name="Picture 8"/>
            <wp:cNvGraphicFramePr>
              <a:graphicFrameLocks noChangeAspect="1"/>
            </wp:cNvGraphicFramePr>
            <a:graphic>
              <a:graphicData uri="http://schemas.openxmlformats.org/drawingml/2006/picture">
                <pic:pic>
                  <pic:nvPicPr>
                    <pic:cNvPr id="0" name="Figure_08_deterioration.png"/>
                    <pic:cNvPicPr/>
                  </pic:nvPicPr>
                  <pic:blipFill>
                    <a:blip r:embed="rId17"/>
                    <a:stretch>
                      <a:fillRect/>
                    </a:stretch>
                  </pic:blipFill>
                  <pic:spPr>
                    <a:xfrm>
                      <a:off x="0" y="0"/>
                      <a:ext cx="5976000" cy="1965141"/>
                    </a:xfrm>
                    <a:prstGeom prst="rect"/>
                  </pic:spPr>
                </pic:pic>
              </a:graphicData>
            </a:graphic>
          </wp:inline>
        </w:drawing>
      </w:r>
    </w:p>
    <w:p>
      <w:pPr>
        <w:spacing w:after="100"/>
        <w:jc w:val="center"/>
      </w:pPr>
      <w:r>
        <w:t>图8 年退化量情景敏感性</w:t>
      </w:r>
    </w:p>
    <w:p>
      <w:r>
        <w:rPr>
          <w:sz w:val="18"/>
        </w:rPr>
        <w:t>注：固定LOCF初值和同一绝对资源上限，分别重新优化。首次养护年份分布仅含已养护单元，三情景数量分别为58、58和57。</w:t>
      </w:r>
    </w:p>
    <w:p>
      <w:pPr>
        <w:pStyle w:val="Heading1"/>
      </w:pPr>
      <w:r>
        <w:t>4 讨论</w:t>
      </w:r>
    </w:p>
    <w:p>
      <w:pPr>
        <w:pStyle w:val="Heading2"/>
      </w:pPr>
      <w:r>
        <w:t>4.1 低频检测数据对状态预测的影响</w:t>
      </w:r>
    </w:p>
    <w:p>
      <w:r>
        <w:t>本案例中Ridge的总体预测误差低于LOCF和XGBoost，说明在当前特征与样本规模下，简单线性模型能够提供有用的候选评分。但这一结果只支持在相同验证任务中选择Ridge，不能推广为复杂模型通常不适合桥梁数据。台账未包含完整病害、荷载、环境及历次养护，非线性模型可学习的信息有限。LOCF仍有实际价值：每项预测直接对应一条历史真实记录，适合作为初值构建与误差比较的参考。将其保留为基准，有助于判断模型预测是否比简单沿用观测提供了额外信息。</w:t>
      </w:r>
    </w:p>
    <w:p>
      <w:r>
        <w:t>时间外验证减少了未来评分进入训练的可能，但没有把资料变成相互独立的大样本。相同检测单元可以在训练和较晚测试中出现，这符合利用本桥历史信息预测下一次检测的用途，不能代表对全新桥梁的迁移能力。各年度样本数差别也很大，2018年、2020年和2022年的记录对总体误差影响较大，2023年和2024年各6条不足以稳定判断某一年的模型优劣。此外，下一次真实检测间隔在回顾评价中可知，实际使用时仍需事先确定预测年限。今后应在新增真实检测到来后继续检验误差，而不是仅依赖当前一次汇总指标。</w:t>
      </w:r>
    </w:p>
    <w:p>
      <w:pPr>
        <w:pStyle w:val="Heading2"/>
      </w:pPr>
      <w:r>
        <w:t>4.2 规划初始状态对养护时机的影响</w:t>
      </w:r>
    </w:p>
    <w:p>
      <w:r>
        <w:t>2024年仅6个单元具有当年全桥实测评分，规划输入的大部分来自估计。Ridge与LOCF均值相差约1.65分，这一差异在递推开始时就已存在。Ridge情景若得到较高J，首先包含初始状态较高的影响，不能将全部增量归于养护行动更有效。相同资源上限下的排程比较回答的是“采用另一种合理初值后，计划怎样改变”，而不是“哪种初值已经被证明是真实状态”。因此，均值、末年状态、行动重合和首次养护年份应结合阅读，不能只挑选其中一个指标评价方案。</w:t>
      </w:r>
    </w:p>
    <w:p>
      <w:r>
        <w:t>行动Jaccard对准确的养护年份较敏感。同一单元只推迟一年，即被视为两个不同的单元—年份行动；两套方案的Jaccard较低，并不一定意味着所选养护对象完全不同。首次养护年差可以补充说明近期安排是否一致，行动总次数则反映工作量差异。有限随机搜索也会产生多个目标接近而年份不同的排程。本文采用配对种子并保存重复运行分布，但不能把两套最好排程的全部差异解释为初值的纯因果效应。对于需要确定具体施工年份的管理任务，应结合近期复检和现场判断，再在相近可行方案中选择。</w:t>
      </w:r>
    </w:p>
    <w:p>
      <w:pPr>
        <w:pStyle w:val="Heading2"/>
      </w:pPr>
      <w:r>
        <w:t>4.3 资源约束对长期养护结果的影响</w:t>
      </w:r>
    </w:p>
    <w:p>
      <w:r>
        <w:t>归一化资源把面积与养护前状态放入同一明确公式，便于在缺少实际费用资料时比较排程。它避免了将未经校准的费用系数解释为工程结算金额，但仍是一项模型设定。面积较大的单元占用更多资源，而目标函数对单元等权，这意味着单位资源带来的目标变化可能随面积而异。这种目标与资源口径应在其他案例使用前重新评估。若管理目的更关注交通量、桥梁重要性或面积覆盖，应通过公开权重改变目标，而不应把面积资源权重误称为状态评价权重。</w:t>
      </w:r>
    </w:p>
    <w:p>
      <w:r>
        <w:t>资源上限增加时，精确最优值不会因可行域扩大而下降；有限随机求解的样本均值则可能出现小幅波动。因此，本文把七档均值、标准差和最好已知值同时展示，不对每一个相邻差值作机制解释。B_ref是当前搜索得到的高状态方案使用量，不是所有可能排程的最大需求。B_min_known同样只反映已经找到的最低可行值。若今后获得更好的端点，ρ与绝对B的对应关系应同步更新。本文保留两者及所有种子，便于检查结果变化来自资源定义还是求解过程。</w:t>
      </w:r>
    </w:p>
    <w:p>
      <w:pPr>
        <w:pStyle w:val="Heading2"/>
      </w:pPr>
      <w:r>
        <w:t>4.4 方法适用范围与局限</w:t>
      </w:r>
    </w:p>
    <w:p>
      <w:r>
        <w:t>本文适用于具有若干历史检测评分、最新规划年份部分缺测，并需要比较长期养护安排的案例。结果不直接给出处治工法或工程实施清单。检测评分本身存在记录差异，资料也不能区分自然退化、既往维修和评定变化的作用。固定年退化量及固定恢复量忽略了状态相关退化、不同构件和不同处治类型，长期预测误差可能随规划期累积。三档退化情景显示的是参数改变后的条件性规划结果，没有为情景赋予概率，不能据可行情景数量估计实际失效概率或可靠度。</w:t>
      </w:r>
    </w:p>
    <w:p>
      <w:r>
        <w:t>状态等级只由全桥评分区间映射，未纳入构件控制指标、承载能力或专项检查结论。本文要求全部评分高于60分及至少57个高于75分，是研究中公开设置的管理要求，不能替代规范程序或安全鉴定。年度8个单元的施工能力、3年间隔和最多3次的限制也没有依据项目施工记录校准。归一化资源暂不考虑通行损失、处治类别及设备进场等费用，不能用于解释真实经济收益。若用于实际项目，应先获取工程资料，再检查这些约束是否反映当地管理条件。</w:t>
      </w:r>
    </w:p>
    <w:p>
      <w:r>
        <w:t>本研究还受有限求解预算限制。标准GJO返回最好已知可行排程，不提供全局最优证明。多次运行和独立复算提高了结果可检查程度，却不能排除更优排程。下一步应优先补充最新检测及养护前后记录，检验53个缺测单元的初值，并校准退化、恢复及资源函数。随后可采用年度滚动更新，在新评分出现时修订未来计划。概率状态预测和检测选择也值得研究，但在低状态样本不足的资料条件下，本文不将其纳入养护主模型。</w:t>
      </w:r>
    </w:p>
    <w:p>
      <w:pPr>
        <w:pStyle w:val="Heading1"/>
      </w:pPr>
      <w:r>
        <w:t>5 结论</w:t>
      </w:r>
    </w:p>
    <w:p>
      <w:r>
        <w:t>（1）在216条真实时间外测试记录上，Ridge的RMSE为4.0771分、MAE为3.0332分，低于LOCF和XGBoost。该结果支持在本案例采用Ridge构造缺测项候选初值，不代表53个2024年缺测项已经得到同期真值验证。</w:t>
      </w:r>
    </w:p>
    <w:p>
      <w:r>
        <w:t>（2）两套规划初值均保留6个实测项，均值相差1.6540分。共同ρ=1/2下，代表排程Jaccard为0.0732，55个共同养护单元的首次年份平均绝对差为2.6727年。初值处理会影响具体养护年份，且行动移至另一初值后需要重新核查资源。</w:t>
      </w:r>
    </w:p>
    <w:p>
      <w:r>
        <w:t>（3）归一化资源端点为0.257297和3.183239。LOCF从ρ=1/6至1的J均值由89.0090分增至92.1335分。LOCF最低档30次未得到可行最终解，但端点排程证明该上限已有可行方案；有限搜索结果不等于可行域或全局最优证明。</w:t>
      </w:r>
    </w:p>
    <w:p>
      <w:r>
        <w:t>（4）同一中档资源下，d从0.45增至0.85分/年时，J均值由92.8300分降至87.9658分。归一化资源、退化量和恢复量均未由工程资料校准，本文结果适合作为条件性规划比较，实际使用前仍需补充检测和养护记录。</w:t>
      </w:r>
    </w:p>
    <w:p>
      <w:pPr>
        <w:pStyle w:val="Heading1"/>
      </w:pPr>
      <w:r>
        <w:t>参考文献</w:t>
      </w:r>
    </w:p>
    <w:p>
      <w:r>
        <w:t>[1] Frangopol D M, Bocchini P. Bridge network performance, maintenance and optimisation under uncertainty: Accomplishments and challenges. Structure and Infrastructure Engineering, 2012, 8(4): 341–356. DOI:10.1080/15732479.2011.563089.</w:t>
      </w:r>
    </w:p>
    <w:p>
      <w:r>
        <w:t>[2] Roberts D R, Bahn V, Ciuti S, et al. Cross-validation strategies for data with temporal, spatial, hierarchical, or phylogenetic structure. Ecography, 2017, 40(8): 913–929. DOI:10.1111/ecog.02881.</w:t>
      </w:r>
    </w:p>
    <w:p>
      <w:r>
        <w:t>[3] Chen T, Guestrin C. XGBoost: A scalable tree boosting system. Proceedings of the 22nd ACM SIGKDD International Conference on Knowledge Discovery and Data Mining. New York: ACM, 2016: 785–794. DOI:10.1145/2939672.2939785.</w:t>
      </w:r>
    </w:p>
    <w:p>
      <w:r>
        <w:t>[4] Ghafoori M, Abdallah M, Ozbek M E. Machine learning-based bridge maintenance optimization model for maximizing performance within available annual budgets. Journal of Bridge Engineering, 2024, 29(4): 04024011. DOI:10.1061/JBENF2.BEENG-6436.</w:t>
      </w:r>
    </w:p>
    <w:p>
      <w:r>
        <w:t>[5] Wei J, Chen G, Huang J, Shou W, Wang J. Resource-constrained bridge maintenance optimization by harmonizing structural safety and maintenance duration. Engineering Structures, 2024, 308: 118024. DOI:10.1016/j.engstruct.2024.118024.</w:t>
      </w:r>
    </w:p>
    <w:p>
      <w:r>
        <w:t>[6] Chopra N, Ansari M M. Golden jackal optimization: A novel nature-inspired optimizer for engineering applications. Expert Systems with Applications, 2022, 198: 116924. DOI:10.1016/j.eswa.2022.116924.</w:t>
      </w:r>
    </w:p>
    <w:p>
      <w:r>
        <w:t>[7] Deb K. An efficient constraint handling method for genetic algorithms. Computer Methods in Applied Mechanics and Engineering, 2000, 186(2–4): 311–338. DOI:10.1016/S0045-7825(99)00389-8.</w:t>
      </w:r>
    </w:p>
    <w:p>
      <w:r>
        <w:t>[8] 中华人民共和国交通运输部. 公路桥梁技术状况评定标准: JTG/T 5230—2026[S]. 2026.（依据用户提供文本，2026年11月1日起施行）</w:t>
      </w:r>
    </w:p>
    <w:p>
      <w:pPr>
        <w:pStyle w:val="Heading1"/>
      </w:pPr>
      <w:r>
        <w:t>补充材料</w:t>
      </w:r>
    </w:p>
    <w:p>
      <w:r>
        <w:t>补充材料包含归一化资源诊断、资源端点与逐次运行、两套初值来源、逐年状态、完整养护排程、行动集合比较、首次养护年份以及独立复算记录。正文图表均由冻结预测和本篇新资源模型结果生成。预测阶段不重新调参，旧金额费用情景的优化结果不进入本文主结果。</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8"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