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小论文_写稿前最终结果说明</w:t>
      </w:r>
    </w:p>
    <w:p>
      <w:r>
        <w:t>依据《修改指令8》；2026年10月16日（北京时间）。只整理既有420次主实验、60次额外d情景及10次I-GJO对照；本阶段新增随机优化0次。面积资源模型、连续预测模型及全部原始结果保持冻结。</w:t>
      </w:r>
    </w:p>
    <w:p>
      <w:pPr>
        <w:pStyle w:val="Heading1"/>
      </w:pPr>
      <w:r>
        <w:t>1 RQ1：最终预测证据</w:t>
      </w:r>
    </w:p>
    <w:p>
      <w:r>
        <w:t>2012—2024年59个单元的全桥评分有效387条；2018—2024年扩展窗口下一次真实观测测试共216条。在这一冻结任务上，Ridge的RMSE=4.0771、MAE=3.0332、R²=0.3274；LOCF与XGBoost的RMSE分别为4.9971、4.6146。支持Ridge在本数据、本验证任务中的整体误差较低，不外推为所有年度、其他桥梁或未观测的2024真实评分均更准确。</w:t>
      </w:r>
    </w:p>
    <w:p>
      <w:r>
        <w:t>2024规划初值两套均含6条实测和53条估计。预测的下一次检测间隔使用历史真实间隔，实际部署需预先指定目标年份；不是新桥梁外部验证。</w:t>
      </w:r>
    </w:p>
    <w:p>
      <w:pPr>
        <w:pStyle w:val="Heading1"/>
      </w:pPr>
      <w:r>
        <w:t>2 RQ2：30组同seed配对排程为主证据</w:t>
      </w:r>
    </w:p>
    <w:p>
      <w:r>
        <w:t>每档把LOCF与Ridge的相同seed实际排程配成30对，七档共210对；精确比较单元—年份行动集合及双方均养护单元的首次养护年份。在相同资源、模型参数和随机seed下，两套规划初值对应的养护排程仍存在差异：七档Jaccard均值范围为0.0647—0.8613，运行级首次养护年份平均绝对差的组均值范围为0.00—2.92年。完整七档配对统计见表6C及两个paired_schedule_comparison CSV。</w:t>
      </w:r>
    </w:p>
    <w:p>
      <w:r>
        <w:t>代表资源B=1.513358下，30对Jaccard为0.0687±0.0228，中位数0.0700，Q25—Q75为0.0534—0.0794；运行级首次年MAE的均值2.92年、中位数2.86年、Q25—Q75为2.59—3.18年。同首次养护年份单元数平均7.43个；行动数差（Ridge−LOCF）平均10.30次。首次年统计只覆盖双方均养护单元，未养护不填0年。</w:t>
      </w:r>
    </w:p>
    <w:p>
      <w:r>
        <w:t>排程差异随资源水平变化：最高B下Jaccard均值升至0.8613，首次年MAE组均值仅0.0011年，两边行动数均为148。该档重合程度明显较高，亦需结合共同高状态端点候选初始化及有限搜索解释，不能笼统概括所有资源档都大幅分歧。</w:t>
      </w:r>
    </w:p>
    <w:p>
      <w:r>
        <w:t>在代表B=1.513358下，LOCF和Ridge的30次J分别为90.6162±0.5326与92.5847±0.1579，绝对J平均差为1.9684分；ΔJ分别为6.7995和7.1139，差缩小至0.3144分。Ridge初值下的绝对长期评分较高，但在扣除各自无养护基线后，两套初值的平均养护增益差异明显缩小；高资源档ΔJ差方向反转，不存在固定优劣排序。</w:t>
      </w:r>
    </w:p>
    <w:p>
      <w:r>
        <w:t>仅作实例：两组各自最好代表排程的Jaccard=0.0619、首次年MAE=2.37年，其seed可以不同，不能替代上述30对证据。问题非凸、离散且存在有限搜索波动，不能将全部差异归因为初值。</w:t>
      </w:r>
    </w:p>
    <w:p>
      <w:pPr>
        <w:pStyle w:val="Heading1"/>
      </w:pPr>
      <w:r>
        <w:t>3 RQ3：共同B轴上的资源响应</w:t>
      </w:r>
    </w:p>
    <w:p>
      <w:r>
        <w:t>单次资源rᵢ=Aᵢ/A_total，累计B_used=Σxᵢₜrᵢ；B为全网络面积当量，无量纲。ρ∈{0,1/6,…,1}只用于生成七档B，两套初值使用相同绝对上限；ρ=0对应最好已知最低可行参考B=0.2151498644，不代表零资源。J为59×20个年末评分的单元等权均值。</w:t>
      </w:r>
    </w:p>
    <w:p>
      <w:r>
        <w:t>LOCF：B由0.215150增至2.811565，平均J由85.0848增至92.2101，增加7.1253分。</w:t>
      </w:r>
    </w:p>
    <w:p>
      <w:r>
        <w:t>Ridge：B由0.215150增至2.811565，平均J由87.7321增至93.8523，增加6.1202分。</w:t>
      </w:r>
    </w:p>
    <w:p>
      <w:r>
        <w:t>在本情景下，增加资源上限能够提高长期平均状态；最低资源向上增加的首个档位带来的评分改善最大，后续单位资源改善总体较小但并非严格单调。没有识别现实最优资源水平，也不把描述性资源效率解释为经济边际收益。</w:t>
      </w:r>
    </w:p>
    <w:p>
      <w:r>
        <w:t>部分资源档存在由其他已核验排程得到的更高可行目标值，表明有限随机搜索仍存在求解波动；相关结果见补充材料。</w:t>
      </w:r>
    </w:p>
    <w:p>
      <w:r>
        <w:t>该现象不解释为增加资源降低状态。420次主实验的最终方案均可行，但初始化含按当前条件复算的公共已知可行候选；30/30不能解释为独立发现可行域的概率，也不能解释为管理风险为零。</w:t>
      </w:r>
    </w:p>
    <w:p>
      <w:pPr>
        <w:pStyle w:val="Heading1"/>
      </w:pPr>
      <w:r>
        <w:t>4 年评分下降量d敏感性</w:t>
      </w:r>
    </w:p>
    <w:p>
      <w:r>
        <w:t>LOCF、固定B=1.513358下，d由0.45增至0.85分/年时，长期平均J由92.8642降至88.2388，平均2044年评分由91.8170降至82.7458。d=0.65复用主实验，各d的ΔJ分别减去同d无养护基线。</w:t>
      </w:r>
    </w:p>
    <w:p>
      <w:r>
        <w:t>在固定面积资源上限下，不同d改变了优化器对养护对象和年份的配置，因此行动次数不能单独作为养护需求大小的指标。d、恢复量R=6及能力约束属于情景假设，不作为实测退化规律或养护效果校准结果。</w:t>
      </w:r>
    </w:p>
    <w:p>
      <w:pPr>
        <w:pStyle w:val="Heading1"/>
        <w:pageBreakBefore/>
      </w:pPr>
      <w:r>
        <w:t>5 最终8幅中文正文图</w:t>
      </w:r>
    </w:p>
    <w:p>
      <w:r>
        <w:t>全部提供≥300 dpi PNG及SVG；图4、图6以B为主横轴。图4只画30次GJO统计，图6使用30组同seed配对；图7中间面板为年度最低评分。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372000" cy="40093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_observation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4009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19"/>
        </w:rPr>
        <w:t>图1 检测覆盖与缺失</w:t>
      </w:r>
    </w:p>
    <w:p>
      <w:pPr>
        <w:spacing w:after="100"/>
      </w:pPr>
      <w:r>
        <w:rPr>
          <w:sz w:val="17"/>
        </w:rPr>
        <w:t>冻结的2012—2024年59个检测单元；缺失不按零分处理。</w:t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831639" cy="338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2_continuous_predi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1639" cy="33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19"/>
        </w:rPr>
        <w:t>图2 LOCF、Ridge与XGBoost连续评分预测</w:t>
      </w:r>
    </w:p>
    <w:p>
      <w:pPr>
        <w:spacing w:after="100"/>
      </w:pPr>
      <w:r>
        <w:rPr>
          <w:sz w:val="17"/>
        </w:rPr>
        <w:t>2018—2024年扩展时间窗口的下一次真实观测测试，共216条，不重新训练模型。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372000" cy="25422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3_initial_condi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2542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19"/>
        </w:rPr>
        <w:t>图3 LOCF与Ridge的2024规划初值</w:t>
      </w:r>
    </w:p>
    <w:p>
      <w:pPr>
        <w:spacing w:after="100"/>
      </w:pPr>
      <w:r>
        <w:rPr>
          <w:sz w:val="17"/>
        </w:rPr>
        <w:t>两套初值均由6条2024实测和53条估计组成，不能视为59条真实2024状态。</w:t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372000" cy="25872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4_resource_respon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258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19"/>
        </w:rPr>
        <w:t>图4 共同资源上限下的长期评分与相对养护增益</w:t>
      </w:r>
    </w:p>
    <w:p>
      <w:pPr>
        <w:spacing w:after="100"/>
      </w:pPr>
      <w:r>
        <w:rPr>
          <w:sz w:val="17"/>
        </w:rPr>
        <w:t>横轴为累计归一化养护资源上限B（全网络面积当量）；均值及样本标准差、最好值均仅来自每档30次GJO。ρ=0对应B=0.215150，不是零资源；其他已核验可行值放补充材料。</w:t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372000" cy="27275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5_initial_trajector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2727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19"/>
        </w:rPr>
        <w:t>图5 代表资源档的规划初值与长期评分轨迹</w:t>
      </w:r>
    </w:p>
    <w:p>
      <w:pPr>
        <w:spacing w:after="100"/>
      </w:pPr>
      <w:r>
        <w:rPr>
          <w:sz w:val="17"/>
        </w:rPr>
        <w:t>B=1.513358（ρ=1/2）、d=0.65；两套初值各选本组30次中的最好可行排程，仅作实例。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372000" cy="26911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6_schedule_chang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2691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19"/>
        </w:rPr>
        <w:t>图6 同seed配对排程的行动与首次养护时机差异</w:t>
      </w:r>
    </w:p>
    <w:p>
      <w:pPr>
        <w:spacing w:after="100"/>
      </w:pPr>
      <w:r>
        <w:rPr>
          <w:sz w:val="17"/>
        </w:rPr>
        <w:t>每个B含30对同seed排程。(a)精确单元—年份行动集合的Jaccard；(b)每对先在双方均养护单元内求首次养护年份的平均绝对差，再呈现30个运行级MAE的分布。箱体为Q25—Q75，中线为中位数；未养护不编码为0。ρ=0不是零资源。</w:t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804374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7_representative_schedu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4374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19"/>
        </w:rPr>
        <w:t>图7 代表性养护方案的年度状态与养护安排</w:t>
      </w:r>
    </w:p>
    <w:p>
      <w:pPr>
        <w:spacing w:after="100"/>
      </w:pPr>
      <w:r>
        <w:rPr>
          <w:sz w:val="17"/>
        </w:rPr>
        <w:t>LOCF、B=1.513358；年度均分、年度最低评分与养护单元数。75和60为评分边界，8为年度行动上限；管理条件仍是全部&gt;60、至少57/59个&gt;75。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11691" cy="316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8_deterior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1691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sz w:val="19"/>
        </w:rPr>
        <w:t>图8 年评分下降量敏感性</w:t>
      </w:r>
    </w:p>
    <w:p>
      <w:pPr>
        <w:spacing w:after="100"/>
      </w:pPr>
      <w:r>
        <w:rPr>
          <w:sz w:val="17"/>
        </w:rPr>
        <w:t>LOCF、同一B=1.513358；d=0.45/0.65/0.85，每组30次。(a)(b)为30次统计及最好值，(c)(d)为各d最好可行代表方案；ΔJ分别减去同d的无养护基线，行动次数不能单独代表养护需求。</w:t>
      </w:r>
    </w:p>
    <w:p>
      <w:pPr>
        <w:pStyle w:val="Heading1"/>
        <w:pageBreakBefore/>
      </w:pPr>
      <w:r>
        <w:t>6 最终6张中文正文表</w:t>
      </w:r>
    </w:p>
    <w:p>
      <w:pPr>
        <w:pStyle w:val="Heading2"/>
      </w:pPr>
      <w:r>
        <w:t>表1 数据与缺失情况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3061"/>
        <w:gridCol w:w="4139"/>
      </w:tblGrid>
      <w:tr>
        <w:trPr>
          <w:tblHeader/>
          <w:cantSplit/>
        </w:trPr>
        <w:tc>
          <w:tcPr>
            <w:tcW w:type="dxa" w:w="2835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项目</w:t>
            </w:r>
          </w:p>
        </w:tc>
        <w:tc>
          <w:tcPr>
            <w:tcW w:type="dxa" w:w="3061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数量/范围</w:t>
            </w:r>
          </w:p>
        </w:tc>
        <w:tc>
          <w:tcPr>
            <w:tcW w:type="dxa" w:w="4139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单元/推断桥梁组</w:t>
            </w:r>
          </w:p>
        </w:tc>
        <w:tc>
          <w:tcPr>
            <w:tcW w:type="dxa" w:w="3061"/>
          </w:tcPr>
          <w:p>
            <w:pPr>
              <w:spacing w:after="36" w:line="242" w:lineRule="auto"/>
            </w:pPr>
            <w:r>
              <w:rPr>
                <w:sz w:val="16"/>
              </w:rPr>
              <w:t>59 / 34</w:t>
            </w:r>
          </w:p>
        </w:tc>
        <w:tc>
          <w:tcPr>
            <w:tcW w:type="dxa" w:w="4139"/>
          </w:tcPr>
          <w:p>
            <w:pPr>
              <w:spacing w:after="36" w:line="242" w:lineRule="auto"/>
            </w:pPr>
            <w:r>
              <w:rPr>
                <w:sz w:val="16"/>
              </w:rPr>
              <w:t>桥梁组为历史命名映射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年份/潜在单元—年</w:t>
            </w:r>
          </w:p>
        </w:tc>
        <w:tc>
          <w:tcPr>
            <w:tcW w:type="dxa" w:w="3061"/>
          </w:tcPr>
          <w:p>
            <w:pPr>
              <w:spacing w:after="36" w:line="242" w:lineRule="auto"/>
            </w:pPr>
            <w:r>
              <w:rPr>
                <w:sz w:val="16"/>
              </w:rPr>
              <w:t>2012—2024 / 767</w:t>
            </w:r>
          </w:p>
        </w:tc>
        <w:tc>
          <w:tcPr>
            <w:tcW w:type="dxa" w:w="4139"/>
          </w:tcPr>
          <w:p>
            <w:pPr>
              <w:spacing w:after="36" w:line="242" w:lineRule="auto"/>
            </w:pPr>
            <w:r>
              <w:rPr>
                <w:sz w:val="16"/>
              </w:rPr>
              <w:t>13年×59单元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全桥评分有效/缺失</w:t>
            </w:r>
          </w:p>
        </w:tc>
        <w:tc>
          <w:tcPr>
            <w:tcW w:type="dxa" w:w="3061"/>
          </w:tcPr>
          <w:p>
            <w:pPr>
              <w:spacing w:after="36" w:line="242" w:lineRule="auto"/>
            </w:pPr>
            <w:r>
              <w:rPr>
                <w:sz w:val="16"/>
              </w:rPr>
              <w:t>387 / 380（49.54%）</w:t>
            </w:r>
          </w:p>
        </w:tc>
        <w:tc>
          <w:tcPr>
            <w:tcW w:type="dxa" w:w="4139"/>
          </w:tcPr>
          <w:p>
            <w:pPr>
              <w:spacing w:after="36" w:line="242" w:lineRule="auto"/>
            </w:pPr>
            <w:r>
              <w:rPr>
                <w:sz w:val="16"/>
              </w:rPr>
              <w:t>缺失不作为零分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上部结构有效/缺失</w:t>
            </w:r>
          </w:p>
        </w:tc>
        <w:tc>
          <w:tcPr>
            <w:tcW w:type="dxa" w:w="3061"/>
          </w:tcPr>
          <w:p>
            <w:pPr>
              <w:spacing w:after="36" w:line="242" w:lineRule="auto"/>
            </w:pPr>
            <w:r>
              <w:rPr>
                <w:sz w:val="16"/>
              </w:rPr>
              <w:t>380 / 387（50.46%）</w:t>
            </w:r>
          </w:p>
        </w:tc>
        <w:tc>
          <w:tcPr>
            <w:tcW w:type="dxa" w:w="4139"/>
          </w:tcPr>
          <w:p>
            <w:pPr>
              <w:spacing w:after="36" w:line="242" w:lineRule="auto"/>
            </w:pPr>
            <w:r>
              <w:rPr>
                <w:sz w:val="16"/>
              </w:rPr>
              <w:t>与全桥配对380条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2024规划初值</w:t>
            </w:r>
          </w:p>
        </w:tc>
        <w:tc>
          <w:tcPr>
            <w:tcW w:type="dxa" w:w="3061"/>
          </w:tcPr>
          <w:p>
            <w:pPr>
              <w:spacing w:after="36" w:line="242" w:lineRule="auto"/>
            </w:pPr>
            <w:r>
              <w:rPr>
                <w:sz w:val="16"/>
              </w:rPr>
              <w:t>6实测 + 53估计</w:t>
            </w:r>
          </w:p>
        </w:tc>
        <w:tc>
          <w:tcPr>
            <w:tcW w:type="dxa" w:w="4139"/>
          </w:tcPr>
          <w:p>
            <w:pPr>
              <w:spacing w:after="36" w:line="242" w:lineRule="auto"/>
            </w:pPr>
            <w:r>
              <w:rPr>
                <w:sz w:val="16"/>
              </w:rPr>
              <w:t>两套共享6条真实评分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主要连续预测测试</w:t>
            </w:r>
          </w:p>
        </w:tc>
        <w:tc>
          <w:tcPr>
            <w:tcW w:type="dxa" w:w="3061"/>
          </w:tcPr>
          <w:p>
            <w:pPr>
              <w:spacing w:after="36" w:line="242" w:lineRule="auto"/>
            </w:pPr>
            <w:r>
              <w:rPr>
                <w:sz w:val="16"/>
              </w:rPr>
              <w:t>216条，2018—2024</w:t>
            </w:r>
          </w:p>
        </w:tc>
        <w:tc>
          <w:tcPr>
            <w:tcW w:type="dxa" w:w="4139"/>
          </w:tcPr>
          <w:p>
            <w:pPr>
              <w:spacing w:after="36" w:line="242" w:lineRule="auto"/>
            </w:pPr>
            <w:r>
              <w:rPr>
                <w:sz w:val="16"/>
              </w:rPr>
              <w:t>扩展窗口下一次真实观测</w:t>
            </w:r>
          </w:p>
        </w:tc>
      </w:tr>
    </w:tbl>
    <w:p>
      <w:pPr>
        <w:spacing w:after="0"/>
      </w:pPr>
    </w:p>
    <w:p>
      <w:pPr>
        <w:pStyle w:val="Heading2"/>
      </w:pPr>
      <w:r>
        <w:t>表2 连续评分预测结果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680"/>
        <w:gridCol w:w="1871"/>
        <w:gridCol w:w="1871"/>
        <w:gridCol w:w="1928"/>
        <w:gridCol w:w="1984"/>
      </w:tblGrid>
      <w:tr>
        <w:trPr>
          <w:tblHeader/>
          <w:cantSplit/>
        </w:trPr>
        <w:tc>
          <w:tcPr>
            <w:tcW w:type="dxa" w:w="1701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模型</w:t>
            </w:r>
          </w:p>
        </w:tc>
        <w:tc>
          <w:tcPr>
            <w:tcW w:type="dxa" w:w="680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n</w:t>
            </w:r>
          </w:p>
        </w:tc>
        <w:tc>
          <w:tcPr>
            <w:tcW w:type="dxa" w:w="1871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RMSE</w:t>
            </w:r>
          </w:p>
        </w:tc>
        <w:tc>
          <w:tcPr>
            <w:tcW w:type="dxa" w:w="1871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MAE</w:t>
            </w:r>
          </w:p>
        </w:tc>
        <w:tc>
          <w:tcPr>
            <w:tcW w:type="dxa" w:w="1928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R²</w:t>
            </w:r>
          </w:p>
        </w:tc>
        <w:tc>
          <w:tcPr>
            <w:tcW w:type="dxa" w:w="1984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Pearson r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36" w:line="242" w:lineRule="auto"/>
            </w:pPr>
            <w:r>
              <w:rPr>
                <w:sz w:val="16"/>
              </w:rPr>
              <w:t>LOCF</w:t>
            </w:r>
          </w:p>
        </w:tc>
        <w:tc>
          <w:tcPr>
            <w:tcW w:type="dxa" w:w="680"/>
          </w:tcPr>
          <w:p>
            <w:pPr>
              <w:spacing w:after="36" w:line="242" w:lineRule="auto"/>
            </w:pPr>
            <w:r>
              <w:rPr>
                <w:sz w:val="16"/>
              </w:rPr>
              <w:t>216</w:t>
            </w:r>
          </w:p>
        </w:tc>
        <w:tc>
          <w:tcPr>
            <w:tcW w:type="dxa" w:w="1871"/>
          </w:tcPr>
          <w:p>
            <w:pPr>
              <w:spacing w:after="36" w:line="242" w:lineRule="auto"/>
            </w:pPr>
            <w:r>
              <w:rPr>
                <w:sz w:val="16"/>
              </w:rPr>
              <w:t>4.9971</w:t>
            </w:r>
          </w:p>
        </w:tc>
        <w:tc>
          <w:tcPr>
            <w:tcW w:type="dxa" w:w="1871"/>
          </w:tcPr>
          <w:p>
            <w:pPr>
              <w:spacing w:after="36" w:line="242" w:lineRule="auto"/>
            </w:pPr>
            <w:r>
              <w:rPr>
                <w:sz w:val="16"/>
              </w:rPr>
              <w:t>3.7128</w:t>
            </w:r>
          </w:p>
        </w:tc>
        <w:tc>
          <w:tcPr>
            <w:tcW w:type="dxa" w:w="1928"/>
          </w:tcPr>
          <w:p>
            <w:pPr>
              <w:spacing w:after="36" w:line="242" w:lineRule="auto"/>
            </w:pPr>
            <w:r>
              <w:rPr>
                <w:sz w:val="16"/>
              </w:rPr>
              <w:t>-0.0104</w:t>
            </w:r>
          </w:p>
        </w:tc>
        <w:tc>
          <w:tcPr>
            <w:tcW w:type="dxa" w:w="1984"/>
          </w:tcPr>
          <w:p>
            <w:pPr>
              <w:spacing w:after="36" w:line="242" w:lineRule="auto"/>
            </w:pPr>
            <w:r>
              <w:rPr>
                <w:sz w:val="16"/>
              </w:rPr>
              <w:t>0.5862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36" w:line="242" w:lineRule="auto"/>
            </w:pPr>
            <w:r>
              <w:rPr>
                <w:sz w:val="16"/>
              </w:rPr>
              <w:t>Ridge</w:t>
            </w:r>
          </w:p>
        </w:tc>
        <w:tc>
          <w:tcPr>
            <w:tcW w:type="dxa" w:w="680"/>
          </w:tcPr>
          <w:p>
            <w:pPr>
              <w:spacing w:after="36" w:line="242" w:lineRule="auto"/>
            </w:pPr>
            <w:r>
              <w:rPr>
                <w:sz w:val="16"/>
              </w:rPr>
              <w:t>216</w:t>
            </w:r>
          </w:p>
        </w:tc>
        <w:tc>
          <w:tcPr>
            <w:tcW w:type="dxa" w:w="1871"/>
          </w:tcPr>
          <w:p>
            <w:pPr>
              <w:spacing w:after="36" w:line="242" w:lineRule="auto"/>
            </w:pPr>
            <w:r>
              <w:rPr>
                <w:sz w:val="16"/>
              </w:rPr>
              <w:t>4.0771</w:t>
            </w:r>
          </w:p>
        </w:tc>
        <w:tc>
          <w:tcPr>
            <w:tcW w:type="dxa" w:w="1871"/>
          </w:tcPr>
          <w:p>
            <w:pPr>
              <w:spacing w:after="36" w:line="242" w:lineRule="auto"/>
            </w:pPr>
            <w:r>
              <w:rPr>
                <w:sz w:val="16"/>
              </w:rPr>
              <w:t>3.0332</w:t>
            </w:r>
          </w:p>
        </w:tc>
        <w:tc>
          <w:tcPr>
            <w:tcW w:type="dxa" w:w="1928"/>
          </w:tcPr>
          <w:p>
            <w:pPr>
              <w:spacing w:after="36" w:line="242" w:lineRule="auto"/>
            </w:pPr>
            <w:r>
              <w:rPr>
                <w:sz w:val="16"/>
              </w:rPr>
              <w:t>0.3274</w:t>
            </w:r>
          </w:p>
        </w:tc>
        <w:tc>
          <w:tcPr>
            <w:tcW w:type="dxa" w:w="1984"/>
          </w:tcPr>
          <w:p>
            <w:pPr>
              <w:spacing w:after="36" w:line="242" w:lineRule="auto"/>
            </w:pPr>
            <w:r>
              <w:rPr>
                <w:sz w:val="16"/>
              </w:rPr>
              <w:t>0.5820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36" w:line="242" w:lineRule="auto"/>
            </w:pPr>
            <w:r>
              <w:rPr>
                <w:sz w:val="16"/>
              </w:rPr>
              <w:t>XGBoost</w:t>
            </w:r>
          </w:p>
        </w:tc>
        <w:tc>
          <w:tcPr>
            <w:tcW w:type="dxa" w:w="680"/>
          </w:tcPr>
          <w:p>
            <w:pPr>
              <w:spacing w:after="36" w:line="242" w:lineRule="auto"/>
            </w:pPr>
            <w:r>
              <w:rPr>
                <w:sz w:val="16"/>
              </w:rPr>
              <w:t>216</w:t>
            </w:r>
          </w:p>
        </w:tc>
        <w:tc>
          <w:tcPr>
            <w:tcW w:type="dxa" w:w="1871"/>
          </w:tcPr>
          <w:p>
            <w:pPr>
              <w:spacing w:after="36" w:line="242" w:lineRule="auto"/>
            </w:pPr>
            <w:r>
              <w:rPr>
                <w:sz w:val="16"/>
              </w:rPr>
              <w:t>4.6146</w:t>
            </w:r>
          </w:p>
        </w:tc>
        <w:tc>
          <w:tcPr>
            <w:tcW w:type="dxa" w:w="1871"/>
          </w:tcPr>
          <w:p>
            <w:pPr>
              <w:spacing w:after="36" w:line="242" w:lineRule="auto"/>
            </w:pPr>
            <w:r>
              <w:rPr>
                <w:sz w:val="16"/>
              </w:rPr>
              <w:t>3.6122</w:t>
            </w:r>
          </w:p>
        </w:tc>
        <w:tc>
          <w:tcPr>
            <w:tcW w:type="dxa" w:w="1928"/>
          </w:tcPr>
          <w:p>
            <w:pPr>
              <w:spacing w:after="36" w:line="242" w:lineRule="auto"/>
            </w:pPr>
            <w:r>
              <w:rPr>
                <w:sz w:val="16"/>
              </w:rPr>
              <w:t>0.1384</w:t>
            </w:r>
          </w:p>
        </w:tc>
        <w:tc>
          <w:tcPr>
            <w:tcW w:type="dxa" w:w="1984"/>
          </w:tcPr>
          <w:p>
            <w:pPr>
              <w:spacing w:after="36" w:line="242" w:lineRule="auto"/>
            </w:pPr>
            <w:r>
              <w:rPr>
                <w:sz w:val="16"/>
              </w:rPr>
              <w:t>0.5486</w:t>
            </w:r>
          </w:p>
        </w:tc>
      </w:tr>
    </w:tbl>
    <w:p>
      <w:pPr>
        <w:spacing w:after="0"/>
      </w:pPr>
    </w:p>
    <w:p>
      <w:r>
        <w:t>表2复用冻结结果，不重新调整Ridge或XGBoost；不把历史误差表现直接解释为2024估计初值的真值误差。</w:t>
      </w:r>
    </w:p>
    <w:p>
      <w:pPr>
        <w:pStyle w:val="Heading2"/>
      </w:pPr>
      <w:r>
        <w:t>表3 规划参数与性质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4819"/>
        <w:gridCol w:w="2835"/>
      </w:tblGrid>
      <w:tr>
        <w:trPr>
          <w:tblHeader/>
          <w:cantSplit/>
        </w:trPr>
        <w:tc>
          <w:tcPr>
            <w:tcW w:type="dxa" w:w="2381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参数/条件</w:t>
            </w:r>
          </w:p>
        </w:tc>
        <w:tc>
          <w:tcPr>
            <w:tcW w:type="dxa" w:w="4819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固定值</w:t>
            </w:r>
          </w:p>
        </w:tc>
        <w:tc>
          <w:tcPr>
            <w:tcW w:type="dxa" w:w="2835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性质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36" w:line="242" w:lineRule="auto"/>
            </w:pPr>
            <w:r>
              <w:rPr>
                <w:sz w:val="16"/>
              </w:rPr>
              <w:t>资源</w:t>
            </w:r>
          </w:p>
        </w:tc>
        <w:tc>
          <w:tcPr>
            <w:tcW w:type="dxa" w:w="4819"/>
          </w:tcPr>
          <w:p>
            <w:pPr>
              <w:spacing w:after="36" w:line="242" w:lineRule="auto"/>
            </w:pPr>
            <w:r>
              <w:rPr>
                <w:sz w:val="16"/>
              </w:rPr>
              <w:t>rᵢ=Aᵢ/A_total；B_used=Σxᵢₜrᵢ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面积占比；无量纲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36" w:line="242" w:lineRule="auto"/>
            </w:pPr>
            <w:r>
              <w:rPr>
                <w:sz w:val="16"/>
              </w:rPr>
              <w:t>目标/范围</w:t>
            </w:r>
          </w:p>
        </w:tc>
        <w:tc>
          <w:tcPr>
            <w:tcW w:type="dxa" w:w="4819"/>
          </w:tcPr>
          <w:p>
            <w:pPr>
              <w:spacing w:after="36" w:line="242" w:lineRule="auto"/>
            </w:pPr>
            <w:r>
              <w:rPr>
                <w:sz w:val="16"/>
              </w:rPr>
              <w:t>单元等权J；2025—2044，59单元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20年情景规划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36" w:line="242" w:lineRule="auto"/>
            </w:pPr>
            <w:r>
              <w:rPr>
                <w:sz w:val="16"/>
              </w:rPr>
              <w:t>年评分下降量/养护后恢复量</w:t>
            </w:r>
          </w:p>
        </w:tc>
        <w:tc>
          <w:tcPr>
            <w:tcW w:type="dxa" w:w="4819"/>
          </w:tcPr>
          <w:p>
            <w:pPr>
              <w:spacing w:after="36" w:line="242" w:lineRule="auto"/>
            </w:pPr>
            <w:r>
              <w:rPr>
                <w:sz w:val="16"/>
              </w:rPr>
              <w:t>d=0.65，敏感性0.45/0.85；R=6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情景假设，未校准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36" w:line="242" w:lineRule="auto"/>
            </w:pPr>
            <w:r>
              <w:rPr>
                <w:sz w:val="16"/>
              </w:rPr>
              <w:t>年末管理条件</w:t>
            </w:r>
          </w:p>
        </w:tc>
        <w:tc>
          <w:tcPr>
            <w:tcW w:type="dxa" w:w="4819"/>
          </w:tcPr>
          <w:p>
            <w:pPr>
              <w:spacing w:after="36" w:line="242" w:lineRule="auto"/>
            </w:pPr>
            <w:r>
              <w:rPr>
                <w:sz w:val="16"/>
              </w:rPr>
              <w:t>全部&gt;60；至少57/59个&gt;75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研究条件；非标准强制比例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36" w:line="242" w:lineRule="auto"/>
            </w:pPr>
            <w:r>
              <w:rPr>
                <w:sz w:val="16"/>
              </w:rPr>
              <w:t>行动约束</w:t>
            </w:r>
          </w:p>
        </w:tc>
        <w:tc>
          <w:tcPr>
            <w:tcW w:type="dxa" w:w="4819"/>
          </w:tcPr>
          <w:p>
            <w:pPr>
              <w:spacing w:after="36" w:line="242" w:lineRule="auto"/>
            </w:pPr>
            <w:r>
              <w:rPr>
                <w:sz w:val="16"/>
              </w:rPr>
              <w:t>年≤8；间隔≥3年；单元≤3次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固定规划约束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36" w:line="242" w:lineRule="auto"/>
            </w:pPr>
            <w:r>
              <w:rPr>
                <w:sz w:val="16"/>
              </w:rPr>
              <w:t>GJO设置</w:t>
            </w:r>
          </w:p>
        </w:tc>
        <w:tc>
          <w:tcPr>
            <w:tcW w:type="dxa" w:w="4819"/>
          </w:tcPr>
          <w:p>
            <w:pPr>
              <w:spacing w:after="36" w:line="242" w:lineRule="auto"/>
            </w:pPr>
            <w:r>
              <w:rPr>
                <w:sz w:val="16"/>
              </w:rPr>
              <w:t>种群30；10000 FE；每档30 seed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既有计算；本阶段0次优化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36" w:line="242" w:lineRule="auto"/>
            </w:pPr>
            <w:r>
              <w:rPr>
                <w:sz w:val="16"/>
              </w:rPr>
              <w:t>公共先验</w:t>
            </w:r>
          </w:p>
        </w:tc>
        <w:tc>
          <w:tcPr>
            <w:tcW w:type="dxa" w:w="4819"/>
          </w:tcPr>
          <w:p>
            <w:pPr>
              <w:spacing w:after="36" w:line="242" w:lineRule="auto"/>
            </w:pPr>
            <w:r>
              <w:rPr>
                <w:sz w:val="16"/>
              </w:rPr>
              <w:t>3固定端点+8统一规则候选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逐当前问题复算；不自动移年</w:t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表4 两套规划初值及无养护基线（d=0.65）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4"/>
        <w:gridCol w:w="2665"/>
        <w:gridCol w:w="2098"/>
        <w:gridCol w:w="2211"/>
        <w:gridCol w:w="2098"/>
      </w:tblGrid>
      <w:tr>
        <w:trPr>
          <w:tblHeader/>
          <w:cantSplit/>
        </w:trPr>
        <w:tc>
          <w:tcPr>
            <w:tcW w:type="dxa" w:w="964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初值</w:t>
            </w:r>
          </w:p>
        </w:tc>
        <w:tc>
          <w:tcPr>
            <w:tcW w:type="dxa" w:w="2665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初值均分±SD</w:t>
            </w:r>
          </w:p>
        </w:tc>
        <w:tc>
          <w:tcPr>
            <w:tcW w:type="dxa" w:w="2098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初值范围</w:t>
            </w:r>
          </w:p>
        </w:tc>
        <w:tc>
          <w:tcPr>
            <w:tcW w:type="dxa" w:w="2211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无养护J</w:t>
            </w:r>
          </w:p>
        </w:tc>
        <w:tc>
          <w:tcPr>
            <w:tcW w:type="dxa" w:w="2098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2024观测构成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36" w:line="242" w:lineRule="auto"/>
            </w:pPr>
            <w:r>
              <w:rPr>
                <w:sz w:val="16"/>
              </w:rPr>
              <w:t>LOCF</w:t>
            </w:r>
          </w:p>
        </w:tc>
        <w:tc>
          <w:tcPr>
            <w:tcW w:type="dxa" w:w="2665"/>
          </w:tcPr>
          <w:p>
            <w:pPr>
              <w:spacing w:after="36" w:line="242" w:lineRule="auto"/>
            </w:pPr>
            <w:r>
              <w:rPr>
                <w:sz w:val="16"/>
              </w:rPr>
              <w:t>90.6417±3.8398</w:t>
            </w:r>
          </w:p>
        </w:tc>
        <w:tc>
          <w:tcPr>
            <w:tcW w:type="dxa" w:w="2098"/>
          </w:tcPr>
          <w:p>
            <w:pPr>
              <w:spacing w:after="36" w:line="242" w:lineRule="auto"/>
            </w:pPr>
            <w:r>
              <w:rPr>
                <w:sz w:val="16"/>
              </w:rPr>
              <w:t>81.18—98.51</w:t>
            </w:r>
          </w:p>
        </w:tc>
        <w:tc>
          <w:tcPr>
            <w:tcW w:type="dxa" w:w="2211"/>
          </w:tcPr>
          <w:p>
            <w:pPr>
              <w:spacing w:after="36" w:line="242" w:lineRule="auto"/>
            </w:pPr>
            <w:r>
              <w:rPr>
                <w:sz w:val="16"/>
              </w:rPr>
              <w:t>83.816695</w:t>
            </w:r>
          </w:p>
        </w:tc>
        <w:tc>
          <w:tcPr>
            <w:tcW w:type="dxa" w:w="2098"/>
          </w:tcPr>
          <w:p>
            <w:pPr>
              <w:spacing w:after="36" w:line="242" w:lineRule="auto"/>
            </w:pPr>
            <w:r>
              <w:rPr>
                <w:sz w:val="16"/>
              </w:rPr>
              <w:t>6实测+53估计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36" w:line="242" w:lineRule="auto"/>
            </w:pPr>
            <w:r>
              <w:rPr>
                <w:sz w:val="16"/>
              </w:rPr>
              <w:t>Ridge</w:t>
            </w:r>
          </w:p>
        </w:tc>
        <w:tc>
          <w:tcPr>
            <w:tcW w:type="dxa" w:w="2665"/>
          </w:tcPr>
          <w:p>
            <w:pPr>
              <w:spacing w:after="36" w:line="242" w:lineRule="auto"/>
            </w:pPr>
            <w:r>
              <w:rPr>
                <w:sz w:val="16"/>
              </w:rPr>
              <w:t>92.2957±3.0024</w:t>
            </w:r>
          </w:p>
        </w:tc>
        <w:tc>
          <w:tcPr>
            <w:tcW w:type="dxa" w:w="2098"/>
          </w:tcPr>
          <w:p>
            <w:pPr>
              <w:spacing w:after="36" w:line="242" w:lineRule="auto"/>
            </w:pPr>
            <w:r>
              <w:rPr>
                <w:sz w:val="16"/>
              </w:rPr>
              <w:t>84.64—98.41</w:t>
            </w:r>
          </w:p>
        </w:tc>
        <w:tc>
          <w:tcPr>
            <w:tcW w:type="dxa" w:w="2211"/>
          </w:tcPr>
          <w:p>
            <w:pPr>
              <w:spacing w:after="36" w:line="242" w:lineRule="auto"/>
            </w:pPr>
            <w:r>
              <w:rPr>
                <w:sz w:val="16"/>
              </w:rPr>
              <w:t>85.470737</w:t>
            </w:r>
          </w:p>
        </w:tc>
        <w:tc>
          <w:tcPr>
            <w:tcW w:type="dxa" w:w="2098"/>
          </w:tcPr>
          <w:p>
            <w:pPr>
              <w:spacing w:after="36" w:line="242" w:lineRule="auto"/>
            </w:pPr>
            <w:r>
              <w:rPr>
                <w:sz w:val="16"/>
              </w:rPr>
              <w:t>6实测+53估计</w:t>
            </w:r>
          </w:p>
        </w:tc>
      </w:tr>
    </w:tbl>
    <w:p>
      <w:pPr>
        <w:spacing w:after="0"/>
      </w:pPr>
    </w:p>
    <w:p>
      <w:r>
        <w:t>ΔJ=J−同初值、同d无养护J；两套初值不使用同一基线。评分区间映射不替代完整桥梁技术状况评定。</w:t>
      </w:r>
    </w:p>
    <w:p>
      <w:pPr>
        <w:pStyle w:val="Heading2"/>
      </w:pPr>
      <w:r>
        <w:t>表5 七档共同资源上限下的主结果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850"/>
        <w:gridCol w:w="907"/>
        <w:gridCol w:w="2835"/>
        <w:gridCol w:w="2098"/>
        <w:gridCol w:w="1928"/>
      </w:tblGrid>
      <w:tr>
        <w:trPr>
          <w:tblHeader/>
          <w:cantSplit/>
        </w:trPr>
        <w:tc>
          <w:tcPr>
            <w:tcW w:type="dxa" w:w="1417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共同B</w:t>
            </w:r>
          </w:p>
        </w:tc>
        <w:tc>
          <w:tcPr>
            <w:tcW w:type="dxa" w:w="850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初值</w:t>
            </w:r>
          </w:p>
        </w:tc>
        <w:tc>
          <w:tcPr>
            <w:tcW w:type="dxa" w:w="907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n/N</w:t>
            </w:r>
          </w:p>
        </w:tc>
        <w:tc>
          <w:tcPr>
            <w:tcW w:type="dxa" w:w="2835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J均值±样本SD</w:t>
            </w:r>
          </w:p>
        </w:tc>
        <w:tc>
          <w:tcPr>
            <w:tcW w:type="dxa" w:w="2098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GJO最好J</w:t>
            </w:r>
          </w:p>
        </w:tc>
        <w:tc>
          <w:tcPr>
            <w:tcW w:type="dxa" w:w="1928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平均ΔJ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36" w:line="242" w:lineRule="auto"/>
            </w:pPr>
            <w:r>
              <w:rPr>
                <w:sz w:val="16"/>
              </w:rPr>
              <w:t>0.215150</w:t>
            </w:r>
          </w:p>
        </w:tc>
        <w:tc>
          <w:tcPr>
            <w:tcW w:type="dxa" w:w="850"/>
          </w:tcPr>
          <w:p>
            <w:pPr>
              <w:spacing w:after="36" w:line="242" w:lineRule="auto"/>
            </w:pPr>
            <w:r>
              <w:rPr>
                <w:sz w:val="16"/>
              </w:rPr>
              <w:t>LOCF</w:t>
            </w:r>
          </w:p>
        </w:tc>
        <w:tc>
          <w:tcPr>
            <w:tcW w:type="dxa" w:w="907"/>
          </w:tcPr>
          <w:p>
            <w:pPr>
              <w:spacing w:after="36" w:line="242" w:lineRule="auto"/>
            </w:pPr>
            <w:r>
              <w:rPr>
                <w:sz w:val="16"/>
              </w:rPr>
              <w:t>30/30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85.0848±0.0101</w:t>
            </w:r>
          </w:p>
        </w:tc>
        <w:tc>
          <w:tcPr>
            <w:tcW w:type="dxa" w:w="2098"/>
          </w:tcPr>
          <w:p>
            <w:pPr>
              <w:spacing w:after="36" w:line="242" w:lineRule="auto"/>
            </w:pPr>
            <w:r>
              <w:rPr>
                <w:sz w:val="16"/>
              </w:rPr>
              <w:t>85.0930</w:t>
            </w:r>
          </w:p>
        </w:tc>
        <w:tc>
          <w:tcPr>
            <w:tcW w:type="dxa" w:w="1928"/>
          </w:tcPr>
          <w:p>
            <w:pPr>
              <w:spacing w:after="36" w:line="242" w:lineRule="auto"/>
            </w:pPr>
            <w:r>
              <w:rPr>
                <w:sz w:val="16"/>
              </w:rPr>
              <w:t>1.2681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36" w:line="242" w:lineRule="auto"/>
            </w:pPr>
            <w:r>
              <w:rPr>
                <w:sz w:val="16"/>
              </w:rPr>
              <w:t>0.215150</w:t>
            </w:r>
          </w:p>
        </w:tc>
        <w:tc>
          <w:tcPr>
            <w:tcW w:type="dxa" w:w="850"/>
          </w:tcPr>
          <w:p>
            <w:pPr>
              <w:spacing w:after="36" w:line="242" w:lineRule="auto"/>
            </w:pPr>
            <w:r>
              <w:rPr>
                <w:sz w:val="16"/>
              </w:rPr>
              <w:t>Ridge</w:t>
            </w:r>
          </w:p>
        </w:tc>
        <w:tc>
          <w:tcPr>
            <w:tcW w:type="dxa" w:w="907"/>
          </w:tcPr>
          <w:p>
            <w:pPr>
              <w:spacing w:after="36" w:line="242" w:lineRule="auto"/>
            </w:pPr>
            <w:r>
              <w:rPr>
                <w:sz w:val="16"/>
              </w:rPr>
              <w:t>30/30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87.7321±0.1093</w:t>
            </w:r>
          </w:p>
        </w:tc>
        <w:tc>
          <w:tcPr>
            <w:tcW w:type="dxa" w:w="2098"/>
          </w:tcPr>
          <w:p>
            <w:pPr>
              <w:spacing w:after="36" w:line="242" w:lineRule="auto"/>
            </w:pPr>
            <w:r>
              <w:rPr>
                <w:sz w:val="16"/>
              </w:rPr>
              <w:t>87.9623</w:t>
            </w:r>
          </w:p>
        </w:tc>
        <w:tc>
          <w:tcPr>
            <w:tcW w:type="dxa" w:w="1928"/>
          </w:tcPr>
          <w:p>
            <w:pPr>
              <w:spacing w:after="36" w:line="242" w:lineRule="auto"/>
            </w:pPr>
            <w:r>
              <w:rPr>
                <w:sz w:val="16"/>
              </w:rPr>
              <w:t>2.2614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36" w:line="242" w:lineRule="auto"/>
            </w:pPr>
            <w:r>
              <w:rPr>
                <w:sz w:val="16"/>
              </w:rPr>
              <w:t>0.647886</w:t>
            </w:r>
          </w:p>
        </w:tc>
        <w:tc>
          <w:tcPr>
            <w:tcW w:type="dxa" w:w="850"/>
          </w:tcPr>
          <w:p>
            <w:pPr>
              <w:spacing w:after="36" w:line="242" w:lineRule="auto"/>
            </w:pPr>
            <w:r>
              <w:rPr>
                <w:sz w:val="16"/>
              </w:rPr>
              <w:t>LOCF</w:t>
            </w:r>
          </w:p>
        </w:tc>
        <w:tc>
          <w:tcPr>
            <w:tcW w:type="dxa" w:w="907"/>
          </w:tcPr>
          <w:p>
            <w:pPr>
              <w:spacing w:after="36" w:line="242" w:lineRule="auto"/>
            </w:pPr>
            <w:r>
              <w:rPr>
                <w:sz w:val="16"/>
              </w:rPr>
              <w:t>30/30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89.1967±0.2703</w:t>
            </w:r>
          </w:p>
        </w:tc>
        <w:tc>
          <w:tcPr>
            <w:tcW w:type="dxa" w:w="2098"/>
          </w:tcPr>
          <w:p>
            <w:pPr>
              <w:spacing w:after="36" w:line="242" w:lineRule="auto"/>
            </w:pPr>
            <w:r>
              <w:rPr>
                <w:sz w:val="16"/>
              </w:rPr>
              <w:t>89.6738</w:t>
            </w:r>
          </w:p>
        </w:tc>
        <w:tc>
          <w:tcPr>
            <w:tcW w:type="dxa" w:w="1928"/>
          </w:tcPr>
          <w:p>
            <w:pPr>
              <w:spacing w:after="36" w:line="242" w:lineRule="auto"/>
            </w:pPr>
            <w:r>
              <w:rPr>
                <w:sz w:val="16"/>
              </w:rPr>
              <w:t>5.3800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36" w:line="242" w:lineRule="auto"/>
            </w:pPr>
            <w:r>
              <w:rPr>
                <w:sz w:val="16"/>
              </w:rPr>
              <w:t>0.647886</w:t>
            </w:r>
          </w:p>
        </w:tc>
        <w:tc>
          <w:tcPr>
            <w:tcW w:type="dxa" w:w="850"/>
          </w:tcPr>
          <w:p>
            <w:pPr>
              <w:spacing w:after="36" w:line="242" w:lineRule="auto"/>
            </w:pPr>
            <w:r>
              <w:rPr>
                <w:sz w:val="16"/>
              </w:rPr>
              <w:t>Ridge</w:t>
            </w:r>
          </w:p>
        </w:tc>
        <w:tc>
          <w:tcPr>
            <w:tcW w:type="dxa" w:w="907"/>
          </w:tcPr>
          <w:p>
            <w:pPr>
              <w:spacing w:after="36" w:line="242" w:lineRule="auto"/>
            </w:pPr>
            <w:r>
              <w:rPr>
                <w:sz w:val="16"/>
              </w:rPr>
              <w:t>30/30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90.9199±0.1805</w:t>
            </w:r>
          </w:p>
        </w:tc>
        <w:tc>
          <w:tcPr>
            <w:tcW w:type="dxa" w:w="2098"/>
          </w:tcPr>
          <w:p>
            <w:pPr>
              <w:spacing w:after="36" w:line="242" w:lineRule="auto"/>
            </w:pPr>
            <w:r>
              <w:rPr>
                <w:sz w:val="16"/>
              </w:rPr>
              <w:t>91.2090</w:t>
            </w:r>
          </w:p>
        </w:tc>
        <w:tc>
          <w:tcPr>
            <w:tcW w:type="dxa" w:w="1928"/>
          </w:tcPr>
          <w:p>
            <w:pPr>
              <w:spacing w:after="36" w:line="242" w:lineRule="auto"/>
            </w:pPr>
            <w:r>
              <w:rPr>
                <w:sz w:val="16"/>
              </w:rPr>
              <w:t>5.4491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36" w:line="242" w:lineRule="auto"/>
            </w:pPr>
            <w:r>
              <w:rPr>
                <w:sz w:val="16"/>
              </w:rPr>
              <w:t>1.080622</w:t>
            </w:r>
          </w:p>
        </w:tc>
        <w:tc>
          <w:tcPr>
            <w:tcW w:type="dxa" w:w="850"/>
          </w:tcPr>
          <w:p>
            <w:pPr>
              <w:spacing w:after="36" w:line="242" w:lineRule="auto"/>
            </w:pPr>
            <w:r>
              <w:rPr>
                <w:sz w:val="16"/>
              </w:rPr>
              <w:t>LOCF</w:t>
            </w:r>
          </w:p>
        </w:tc>
        <w:tc>
          <w:tcPr>
            <w:tcW w:type="dxa" w:w="907"/>
          </w:tcPr>
          <w:p>
            <w:pPr>
              <w:spacing w:after="36" w:line="242" w:lineRule="auto"/>
            </w:pPr>
            <w:r>
              <w:rPr>
                <w:sz w:val="16"/>
              </w:rPr>
              <w:t>30/30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90.2545±0.3831</w:t>
            </w:r>
          </w:p>
        </w:tc>
        <w:tc>
          <w:tcPr>
            <w:tcW w:type="dxa" w:w="2098"/>
          </w:tcPr>
          <w:p>
            <w:pPr>
              <w:spacing w:after="36" w:line="242" w:lineRule="auto"/>
            </w:pPr>
            <w:r>
              <w:rPr>
                <w:sz w:val="16"/>
              </w:rPr>
              <w:t>90.7629</w:t>
            </w:r>
          </w:p>
        </w:tc>
        <w:tc>
          <w:tcPr>
            <w:tcW w:type="dxa" w:w="1928"/>
          </w:tcPr>
          <w:p>
            <w:pPr>
              <w:spacing w:after="36" w:line="242" w:lineRule="auto"/>
            </w:pPr>
            <w:r>
              <w:rPr>
                <w:sz w:val="16"/>
              </w:rPr>
              <w:t>6.4378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36" w:line="242" w:lineRule="auto"/>
            </w:pPr>
            <w:r>
              <w:rPr>
                <w:sz w:val="16"/>
              </w:rPr>
              <w:t>1.080622</w:t>
            </w:r>
          </w:p>
        </w:tc>
        <w:tc>
          <w:tcPr>
            <w:tcW w:type="dxa" w:w="850"/>
          </w:tcPr>
          <w:p>
            <w:pPr>
              <w:spacing w:after="36" w:line="242" w:lineRule="auto"/>
            </w:pPr>
            <w:r>
              <w:rPr>
                <w:sz w:val="16"/>
              </w:rPr>
              <w:t>Ridge</w:t>
            </w:r>
          </w:p>
        </w:tc>
        <w:tc>
          <w:tcPr>
            <w:tcW w:type="dxa" w:w="907"/>
          </w:tcPr>
          <w:p>
            <w:pPr>
              <w:spacing w:after="36" w:line="242" w:lineRule="auto"/>
            </w:pPr>
            <w:r>
              <w:rPr>
                <w:sz w:val="16"/>
              </w:rPr>
              <w:t>30/30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91.9869±0.2238</w:t>
            </w:r>
          </w:p>
        </w:tc>
        <w:tc>
          <w:tcPr>
            <w:tcW w:type="dxa" w:w="2098"/>
          </w:tcPr>
          <w:p>
            <w:pPr>
              <w:spacing w:after="36" w:line="242" w:lineRule="auto"/>
            </w:pPr>
            <w:r>
              <w:rPr>
                <w:sz w:val="16"/>
              </w:rPr>
              <w:t>92.5082</w:t>
            </w:r>
          </w:p>
        </w:tc>
        <w:tc>
          <w:tcPr>
            <w:tcW w:type="dxa" w:w="1928"/>
          </w:tcPr>
          <w:p>
            <w:pPr>
              <w:spacing w:after="36" w:line="242" w:lineRule="auto"/>
            </w:pPr>
            <w:r>
              <w:rPr>
                <w:sz w:val="16"/>
              </w:rPr>
              <w:t>6.5161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36" w:line="242" w:lineRule="auto"/>
            </w:pPr>
            <w:r>
              <w:rPr>
                <w:sz w:val="16"/>
              </w:rPr>
              <w:t>1.513358</w:t>
            </w:r>
          </w:p>
        </w:tc>
        <w:tc>
          <w:tcPr>
            <w:tcW w:type="dxa" w:w="850"/>
          </w:tcPr>
          <w:p>
            <w:pPr>
              <w:spacing w:after="36" w:line="242" w:lineRule="auto"/>
            </w:pPr>
            <w:r>
              <w:rPr>
                <w:sz w:val="16"/>
              </w:rPr>
              <w:t>LOCF</w:t>
            </w:r>
          </w:p>
        </w:tc>
        <w:tc>
          <w:tcPr>
            <w:tcW w:type="dxa" w:w="907"/>
          </w:tcPr>
          <w:p>
            <w:pPr>
              <w:spacing w:after="36" w:line="242" w:lineRule="auto"/>
            </w:pPr>
            <w:r>
              <w:rPr>
                <w:sz w:val="16"/>
              </w:rPr>
              <w:t>30/30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90.6162±0.5326</w:t>
            </w:r>
          </w:p>
        </w:tc>
        <w:tc>
          <w:tcPr>
            <w:tcW w:type="dxa" w:w="2098"/>
          </w:tcPr>
          <w:p>
            <w:pPr>
              <w:spacing w:after="36" w:line="242" w:lineRule="auto"/>
            </w:pPr>
            <w:r>
              <w:rPr>
                <w:sz w:val="16"/>
              </w:rPr>
              <w:t>91.2365</w:t>
            </w:r>
          </w:p>
        </w:tc>
        <w:tc>
          <w:tcPr>
            <w:tcW w:type="dxa" w:w="1928"/>
          </w:tcPr>
          <w:p>
            <w:pPr>
              <w:spacing w:after="36" w:line="242" w:lineRule="auto"/>
            </w:pPr>
            <w:r>
              <w:rPr>
                <w:sz w:val="16"/>
              </w:rPr>
              <w:t>6.7995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36" w:line="242" w:lineRule="auto"/>
            </w:pPr>
            <w:r>
              <w:rPr>
                <w:sz w:val="16"/>
              </w:rPr>
              <w:t>1.513358</w:t>
            </w:r>
          </w:p>
        </w:tc>
        <w:tc>
          <w:tcPr>
            <w:tcW w:type="dxa" w:w="850"/>
          </w:tcPr>
          <w:p>
            <w:pPr>
              <w:spacing w:after="36" w:line="242" w:lineRule="auto"/>
            </w:pPr>
            <w:r>
              <w:rPr>
                <w:sz w:val="16"/>
              </w:rPr>
              <w:t>Ridge</w:t>
            </w:r>
          </w:p>
        </w:tc>
        <w:tc>
          <w:tcPr>
            <w:tcW w:type="dxa" w:w="907"/>
          </w:tcPr>
          <w:p>
            <w:pPr>
              <w:spacing w:after="36" w:line="242" w:lineRule="auto"/>
            </w:pPr>
            <w:r>
              <w:rPr>
                <w:sz w:val="16"/>
              </w:rPr>
              <w:t>30/30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92.5847±0.1579</w:t>
            </w:r>
          </w:p>
        </w:tc>
        <w:tc>
          <w:tcPr>
            <w:tcW w:type="dxa" w:w="2098"/>
          </w:tcPr>
          <w:p>
            <w:pPr>
              <w:spacing w:after="36" w:line="242" w:lineRule="auto"/>
            </w:pPr>
            <w:r>
              <w:rPr>
                <w:sz w:val="16"/>
              </w:rPr>
              <w:t>92.8094</w:t>
            </w:r>
          </w:p>
        </w:tc>
        <w:tc>
          <w:tcPr>
            <w:tcW w:type="dxa" w:w="1928"/>
          </w:tcPr>
          <w:p>
            <w:pPr>
              <w:spacing w:after="36" w:line="242" w:lineRule="auto"/>
            </w:pPr>
            <w:r>
              <w:rPr>
                <w:sz w:val="16"/>
              </w:rPr>
              <w:t>7.1139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36" w:line="242" w:lineRule="auto"/>
            </w:pPr>
            <w:r>
              <w:rPr>
                <w:sz w:val="16"/>
              </w:rPr>
              <w:t>1.946093</w:t>
            </w:r>
          </w:p>
        </w:tc>
        <w:tc>
          <w:tcPr>
            <w:tcW w:type="dxa" w:w="850"/>
          </w:tcPr>
          <w:p>
            <w:pPr>
              <w:spacing w:after="36" w:line="242" w:lineRule="auto"/>
            </w:pPr>
            <w:r>
              <w:rPr>
                <w:sz w:val="16"/>
              </w:rPr>
              <w:t>LOCF</w:t>
            </w:r>
          </w:p>
        </w:tc>
        <w:tc>
          <w:tcPr>
            <w:tcW w:type="dxa" w:w="907"/>
          </w:tcPr>
          <w:p>
            <w:pPr>
              <w:spacing w:after="36" w:line="242" w:lineRule="auto"/>
            </w:pPr>
            <w:r>
              <w:rPr>
                <w:sz w:val="16"/>
              </w:rPr>
              <w:t>30/30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91.0286±0.0049</w:t>
            </w:r>
          </w:p>
        </w:tc>
        <w:tc>
          <w:tcPr>
            <w:tcW w:type="dxa" w:w="2098"/>
          </w:tcPr>
          <w:p>
            <w:pPr>
              <w:spacing w:after="36" w:line="242" w:lineRule="auto"/>
            </w:pPr>
            <w:r>
              <w:rPr>
                <w:sz w:val="16"/>
              </w:rPr>
              <w:t>91.0513</w:t>
            </w:r>
          </w:p>
        </w:tc>
        <w:tc>
          <w:tcPr>
            <w:tcW w:type="dxa" w:w="1928"/>
          </w:tcPr>
          <w:p>
            <w:pPr>
              <w:spacing w:after="36" w:line="242" w:lineRule="auto"/>
            </w:pPr>
            <w:r>
              <w:rPr>
                <w:sz w:val="16"/>
              </w:rPr>
              <w:t>7.2119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36" w:line="242" w:lineRule="auto"/>
            </w:pPr>
            <w:r>
              <w:rPr>
                <w:sz w:val="16"/>
              </w:rPr>
              <w:t>1.946093</w:t>
            </w:r>
          </w:p>
        </w:tc>
        <w:tc>
          <w:tcPr>
            <w:tcW w:type="dxa" w:w="850"/>
          </w:tcPr>
          <w:p>
            <w:pPr>
              <w:spacing w:after="36" w:line="242" w:lineRule="auto"/>
            </w:pPr>
            <w:r>
              <w:rPr>
                <w:sz w:val="16"/>
              </w:rPr>
              <w:t>Ridge</w:t>
            </w:r>
          </w:p>
        </w:tc>
        <w:tc>
          <w:tcPr>
            <w:tcW w:type="dxa" w:w="907"/>
          </w:tcPr>
          <w:p>
            <w:pPr>
              <w:spacing w:after="36" w:line="242" w:lineRule="auto"/>
            </w:pPr>
            <w:r>
              <w:rPr>
                <w:sz w:val="16"/>
              </w:rPr>
              <w:t>30/30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93.0424±0.1653</w:t>
            </w:r>
          </w:p>
        </w:tc>
        <w:tc>
          <w:tcPr>
            <w:tcW w:type="dxa" w:w="2098"/>
          </w:tcPr>
          <w:p>
            <w:pPr>
              <w:spacing w:after="36" w:line="242" w:lineRule="auto"/>
            </w:pPr>
            <w:r>
              <w:rPr>
                <w:sz w:val="16"/>
              </w:rPr>
              <w:t>93.3342</w:t>
            </w:r>
          </w:p>
        </w:tc>
        <w:tc>
          <w:tcPr>
            <w:tcW w:type="dxa" w:w="1928"/>
          </w:tcPr>
          <w:p>
            <w:pPr>
              <w:spacing w:after="36" w:line="242" w:lineRule="auto"/>
            </w:pPr>
            <w:r>
              <w:rPr>
                <w:sz w:val="16"/>
              </w:rPr>
              <w:t>7.5717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36" w:line="242" w:lineRule="auto"/>
            </w:pPr>
            <w:r>
              <w:rPr>
                <w:sz w:val="16"/>
              </w:rPr>
              <w:t>2.378829</w:t>
            </w:r>
          </w:p>
        </w:tc>
        <w:tc>
          <w:tcPr>
            <w:tcW w:type="dxa" w:w="850"/>
          </w:tcPr>
          <w:p>
            <w:pPr>
              <w:spacing w:after="36" w:line="242" w:lineRule="auto"/>
            </w:pPr>
            <w:r>
              <w:rPr>
                <w:sz w:val="16"/>
              </w:rPr>
              <w:t>LOCF</w:t>
            </w:r>
          </w:p>
        </w:tc>
        <w:tc>
          <w:tcPr>
            <w:tcW w:type="dxa" w:w="907"/>
          </w:tcPr>
          <w:p>
            <w:pPr>
              <w:spacing w:after="36" w:line="242" w:lineRule="auto"/>
            </w:pPr>
            <w:r>
              <w:rPr>
                <w:sz w:val="16"/>
              </w:rPr>
              <w:t>30/30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91.7926±0.0124</w:t>
            </w:r>
          </w:p>
        </w:tc>
        <w:tc>
          <w:tcPr>
            <w:tcW w:type="dxa" w:w="2098"/>
          </w:tcPr>
          <w:p>
            <w:pPr>
              <w:spacing w:after="36" w:line="242" w:lineRule="auto"/>
            </w:pPr>
            <w:r>
              <w:rPr>
                <w:sz w:val="16"/>
              </w:rPr>
              <w:t>91.8150</w:t>
            </w:r>
          </w:p>
        </w:tc>
        <w:tc>
          <w:tcPr>
            <w:tcW w:type="dxa" w:w="1928"/>
          </w:tcPr>
          <w:p>
            <w:pPr>
              <w:spacing w:after="36" w:line="242" w:lineRule="auto"/>
            </w:pPr>
            <w:r>
              <w:rPr>
                <w:sz w:val="16"/>
              </w:rPr>
              <w:t>7.9759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36" w:line="242" w:lineRule="auto"/>
            </w:pPr>
            <w:r>
              <w:rPr>
                <w:sz w:val="16"/>
              </w:rPr>
              <w:t>2.378829</w:t>
            </w:r>
          </w:p>
        </w:tc>
        <w:tc>
          <w:tcPr>
            <w:tcW w:type="dxa" w:w="850"/>
          </w:tcPr>
          <w:p>
            <w:pPr>
              <w:spacing w:after="36" w:line="242" w:lineRule="auto"/>
            </w:pPr>
            <w:r>
              <w:rPr>
                <w:sz w:val="16"/>
              </w:rPr>
              <w:t>Ridge</w:t>
            </w:r>
          </w:p>
        </w:tc>
        <w:tc>
          <w:tcPr>
            <w:tcW w:type="dxa" w:w="907"/>
          </w:tcPr>
          <w:p>
            <w:pPr>
              <w:spacing w:after="36" w:line="242" w:lineRule="auto"/>
            </w:pPr>
            <w:r>
              <w:rPr>
                <w:sz w:val="16"/>
              </w:rPr>
              <w:t>30/30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93.2791±0.1285</w:t>
            </w:r>
          </w:p>
        </w:tc>
        <w:tc>
          <w:tcPr>
            <w:tcW w:type="dxa" w:w="2098"/>
          </w:tcPr>
          <w:p>
            <w:pPr>
              <w:spacing w:after="36" w:line="242" w:lineRule="auto"/>
            </w:pPr>
            <w:r>
              <w:rPr>
                <w:sz w:val="16"/>
              </w:rPr>
              <w:t>93.4975</w:t>
            </w:r>
          </w:p>
        </w:tc>
        <w:tc>
          <w:tcPr>
            <w:tcW w:type="dxa" w:w="1928"/>
          </w:tcPr>
          <w:p>
            <w:pPr>
              <w:spacing w:after="36" w:line="242" w:lineRule="auto"/>
            </w:pPr>
            <w:r>
              <w:rPr>
                <w:sz w:val="16"/>
              </w:rPr>
              <w:t>7.8084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36" w:line="242" w:lineRule="auto"/>
            </w:pPr>
            <w:r>
              <w:rPr>
                <w:sz w:val="16"/>
              </w:rPr>
              <w:t>2.811565</w:t>
            </w:r>
          </w:p>
        </w:tc>
        <w:tc>
          <w:tcPr>
            <w:tcW w:type="dxa" w:w="850"/>
          </w:tcPr>
          <w:p>
            <w:pPr>
              <w:spacing w:after="36" w:line="242" w:lineRule="auto"/>
            </w:pPr>
            <w:r>
              <w:rPr>
                <w:sz w:val="16"/>
              </w:rPr>
              <w:t>LOCF</w:t>
            </w:r>
          </w:p>
        </w:tc>
        <w:tc>
          <w:tcPr>
            <w:tcW w:type="dxa" w:w="907"/>
          </w:tcPr>
          <w:p>
            <w:pPr>
              <w:spacing w:after="36" w:line="242" w:lineRule="auto"/>
            </w:pPr>
            <w:r>
              <w:rPr>
                <w:sz w:val="16"/>
              </w:rPr>
              <w:t>30/30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92.2101±0.0169</w:t>
            </w:r>
          </w:p>
        </w:tc>
        <w:tc>
          <w:tcPr>
            <w:tcW w:type="dxa" w:w="2098"/>
          </w:tcPr>
          <w:p>
            <w:pPr>
              <w:spacing w:after="36" w:line="242" w:lineRule="auto"/>
            </w:pPr>
            <w:r>
              <w:rPr>
                <w:sz w:val="16"/>
              </w:rPr>
              <w:t>92.2472</w:t>
            </w:r>
          </w:p>
        </w:tc>
        <w:tc>
          <w:tcPr>
            <w:tcW w:type="dxa" w:w="1928"/>
          </w:tcPr>
          <w:p>
            <w:pPr>
              <w:spacing w:after="36" w:line="242" w:lineRule="auto"/>
            </w:pPr>
            <w:r>
              <w:rPr>
                <w:sz w:val="16"/>
              </w:rPr>
              <w:t>8.3934</w:t>
            </w:r>
          </w:p>
        </w:tc>
      </w:tr>
      <w:tr>
        <w:trPr>
          <w:cantSplit/>
        </w:trPr>
        <w:tc>
          <w:tcPr>
            <w:tcW w:type="dxa" w:w="1417"/>
          </w:tcPr>
          <w:p>
            <w:pPr>
              <w:spacing w:after="36" w:line="242" w:lineRule="auto"/>
            </w:pPr>
            <w:r>
              <w:rPr>
                <w:sz w:val="16"/>
              </w:rPr>
              <w:t>2.811565</w:t>
            </w:r>
          </w:p>
        </w:tc>
        <w:tc>
          <w:tcPr>
            <w:tcW w:type="dxa" w:w="850"/>
          </w:tcPr>
          <w:p>
            <w:pPr>
              <w:spacing w:after="36" w:line="242" w:lineRule="auto"/>
            </w:pPr>
            <w:r>
              <w:rPr>
                <w:sz w:val="16"/>
              </w:rPr>
              <w:t>Ridge</w:t>
            </w:r>
          </w:p>
        </w:tc>
        <w:tc>
          <w:tcPr>
            <w:tcW w:type="dxa" w:w="907"/>
          </w:tcPr>
          <w:p>
            <w:pPr>
              <w:spacing w:after="36" w:line="242" w:lineRule="auto"/>
            </w:pPr>
            <w:r>
              <w:rPr>
                <w:sz w:val="16"/>
              </w:rPr>
              <w:t>30/30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93.8523±0.0103</w:t>
            </w:r>
          </w:p>
        </w:tc>
        <w:tc>
          <w:tcPr>
            <w:tcW w:type="dxa" w:w="2098"/>
          </w:tcPr>
          <w:p>
            <w:pPr>
              <w:spacing w:after="36" w:line="242" w:lineRule="auto"/>
            </w:pPr>
            <w:r>
              <w:rPr>
                <w:sz w:val="16"/>
              </w:rPr>
              <w:t>93.8742</w:t>
            </w:r>
          </w:p>
        </w:tc>
        <w:tc>
          <w:tcPr>
            <w:tcW w:type="dxa" w:w="1928"/>
          </w:tcPr>
          <w:p>
            <w:pPr>
              <w:spacing w:after="36" w:line="242" w:lineRule="auto"/>
            </w:pPr>
            <w:r>
              <w:rPr>
                <w:sz w:val="16"/>
              </w:rPr>
              <w:t>8.3815</w:t>
            </w:r>
          </w:p>
        </w:tc>
      </w:tr>
    </w:tbl>
    <w:p>
      <w:pPr>
        <w:spacing w:after="0"/>
      </w:pPr>
    </w:p>
    <w:p>
      <w:r>
        <w:t>均值、样本SD与最好值均来自当档30次GJO；其他已核验排程不混入统计。n/N只说明当前结果可行数量，需结合公共先验解释。ρ依次为0、1/6、1/3、1/2、2/3、5/6、1；ρ=0不是零资源。</w:t>
      </w:r>
    </w:p>
    <w:p>
      <w:pPr>
        <w:pStyle w:val="Heading2"/>
        <w:pageBreakBefore/>
      </w:pPr>
      <w:r>
        <w:t>表6 代表资源档初值比较、d敏感性及配对排程</w:t>
      </w:r>
    </w:p>
    <w:p>
      <w:r>
        <w:t>A. 初值比较：B=1.513358、d=0.65，每组30次。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835"/>
        <w:gridCol w:w="1984"/>
        <w:gridCol w:w="2211"/>
        <w:gridCol w:w="1871"/>
      </w:tblGrid>
      <w:tr>
        <w:trPr>
          <w:tblHeader/>
          <w:cantSplit/>
        </w:trPr>
        <w:tc>
          <w:tcPr>
            <w:tcW w:type="dxa" w:w="1134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初值</w:t>
            </w:r>
          </w:p>
        </w:tc>
        <w:tc>
          <w:tcPr>
            <w:tcW w:type="dxa" w:w="2835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J均值±SD</w:t>
            </w:r>
          </w:p>
        </w:tc>
        <w:tc>
          <w:tcPr>
            <w:tcW w:type="dxa" w:w="1984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平均ΔJ</w:t>
            </w:r>
          </w:p>
        </w:tc>
        <w:tc>
          <w:tcPr>
            <w:tcW w:type="dxa" w:w="2211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平均2044分</w:t>
            </w:r>
          </w:p>
        </w:tc>
        <w:tc>
          <w:tcPr>
            <w:tcW w:type="dxa" w:w="1871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平均行动数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36" w:line="242" w:lineRule="auto"/>
            </w:pPr>
            <w:r>
              <w:rPr>
                <w:sz w:val="16"/>
              </w:rPr>
              <w:t>LOCF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90.6162±0.5326</w:t>
            </w:r>
          </w:p>
        </w:tc>
        <w:tc>
          <w:tcPr>
            <w:tcW w:type="dxa" w:w="1984"/>
          </w:tcPr>
          <w:p>
            <w:pPr>
              <w:spacing w:after="36" w:line="242" w:lineRule="auto"/>
            </w:pPr>
            <w:r>
              <w:rPr>
                <w:sz w:val="16"/>
              </w:rPr>
              <w:t>6.7995</w:t>
            </w:r>
          </w:p>
        </w:tc>
        <w:tc>
          <w:tcPr>
            <w:tcW w:type="dxa" w:w="2211"/>
          </w:tcPr>
          <w:p>
            <w:pPr>
              <w:spacing w:after="36" w:line="242" w:lineRule="auto"/>
            </w:pPr>
            <w:r>
              <w:rPr>
                <w:sz w:val="16"/>
              </w:rPr>
              <w:t>87.4287</w:t>
            </w:r>
          </w:p>
        </w:tc>
        <w:tc>
          <w:tcPr>
            <w:tcW w:type="dxa" w:w="1871"/>
          </w:tcPr>
          <w:p>
            <w:pPr>
              <w:spacing w:after="36" w:line="242" w:lineRule="auto"/>
            </w:pPr>
            <w:r>
              <w:rPr>
                <w:sz w:val="16"/>
              </w:rPr>
              <w:t>97.13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36" w:line="242" w:lineRule="auto"/>
            </w:pPr>
            <w:r>
              <w:rPr>
                <w:sz w:val="16"/>
              </w:rPr>
              <w:t>Ridge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92.5847±0.1579</w:t>
            </w:r>
          </w:p>
        </w:tc>
        <w:tc>
          <w:tcPr>
            <w:tcW w:type="dxa" w:w="1984"/>
          </w:tcPr>
          <w:p>
            <w:pPr>
              <w:spacing w:after="36" w:line="242" w:lineRule="auto"/>
            </w:pPr>
            <w:r>
              <w:rPr>
                <w:sz w:val="16"/>
              </w:rPr>
              <w:t>7.1139</w:t>
            </w:r>
          </w:p>
        </w:tc>
        <w:tc>
          <w:tcPr>
            <w:tcW w:type="dxa" w:w="2211"/>
          </w:tcPr>
          <w:p>
            <w:pPr>
              <w:spacing w:after="36" w:line="242" w:lineRule="auto"/>
            </w:pPr>
            <w:r>
              <w:rPr>
                <w:sz w:val="16"/>
              </w:rPr>
              <w:t>89.9310</w:t>
            </w:r>
          </w:p>
        </w:tc>
        <w:tc>
          <w:tcPr>
            <w:tcW w:type="dxa" w:w="1871"/>
          </w:tcPr>
          <w:p>
            <w:pPr>
              <w:spacing w:after="36" w:line="242" w:lineRule="auto"/>
            </w:pPr>
            <w:r>
              <w:rPr>
                <w:sz w:val="16"/>
              </w:rPr>
              <w:t>107.43</w:t>
            </w:r>
          </w:p>
        </w:tc>
      </w:tr>
    </w:tbl>
    <w:p>
      <w:pPr>
        <w:spacing w:after="0"/>
      </w:pPr>
    </w:p>
    <w:p>
      <w:r>
        <w:t>B. d敏感性：仅LOCF，同一B，每组30次；d=0.65复用A。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835"/>
        <w:gridCol w:w="1984"/>
        <w:gridCol w:w="2211"/>
        <w:gridCol w:w="1871"/>
      </w:tblGrid>
      <w:tr>
        <w:trPr>
          <w:tblHeader/>
          <w:cantSplit/>
        </w:trPr>
        <w:tc>
          <w:tcPr>
            <w:tcW w:type="dxa" w:w="1134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d</w:t>
            </w:r>
          </w:p>
        </w:tc>
        <w:tc>
          <w:tcPr>
            <w:tcW w:type="dxa" w:w="2835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J均值±SD</w:t>
            </w:r>
          </w:p>
        </w:tc>
        <w:tc>
          <w:tcPr>
            <w:tcW w:type="dxa" w:w="1984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平均ΔJ</w:t>
            </w:r>
          </w:p>
        </w:tc>
        <w:tc>
          <w:tcPr>
            <w:tcW w:type="dxa" w:w="2211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平均2044分</w:t>
            </w:r>
          </w:p>
        </w:tc>
        <w:tc>
          <w:tcPr>
            <w:tcW w:type="dxa" w:w="1871"/>
            <w:shd w:fill="E8EEF4"/>
          </w:tcPr>
          <w:p>
            <w:pPr>
              <w:spacing w:after="36" w:line="242" w:lineRule="auto"/>
            </w:pPr>
            <w:r>
              <w:rPr>
                <w:sz w:val="16"/>
              </w:rPr>
              <w:t>平均行动数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36" w:line="242" w:lineRule="auto"/>
            </w:pPr>
            <w:r>
              <w:rPr>
                <w:sz w:val="16"/>
              </w:rPr>
              <w:t>0.45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92.8642±0.3567</w:t>
            </w:r>
          </w:p>
        </w:tc>
        <w:tc>
          <w:tcPr>
            <w:tcW w:type="dxa" w:w="1984"/>
          </w:tcPr>
          <w:p>
            <w:pPr>
              <w:spacing w:after="36" w:line="242" w:lineRule="auto"/>
            </w:pPr>
            <w:r>
              <w:rPr>
                <w:sz w:val="16"/>
              </w:rPr>
              <w:t>6.9475</w:t>
            </w:r>
          </w:p>
        </w:tc>
        <w:tc>
          <w:tcPr>
            <w:tcW w:type="dxa" w:w="2211"/>
          </w:tcPr>
          <w:p>
            <w:pPr>
              <w:spacing w:after="36" w:line="242" w:lineRule="auto"/>
            </w:pPr>
            <w:r>
              <w:rPr>
                <w:sz w:val="16"/>
              </w:rPr>
              <w:t>91.8170</w:t>
            </w:r>
          </w:p>
        </w:tc>
        <w:tc>
          <w:tcPr>
            <w:tcW w:type="dxa" w:w="1871"/>
          </w:tcPr>
          <w:p>
            <w:pPr>
              <w:spacing w:after="36" w:line="242" w:lineRule="auto"/>
            </w:pPr>
            <w:r>
              <w:rPr>
                <w:sz w:val="16"/>
              </w:rPr>
              <w:t>103.60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36" w:line="242" w:lineRule="auto"/>
            </w:pPr>
            <w:r>
              <w:rPr>
                <w:sz w:val="16"/>
              </w:rPr>
              <w:t>0.65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90.6162±0.5326</w:t>
            </w:r>
          </w:p>
        </w:tc>
        <w:tc>
          <w:tcPr>
            <w:tcW w:type="dxa" w:w="1984"/>
          </w:tcPr>
          <w:p>
            <w:pPr>
              <w:spacing w:after="36" w:line="242" w:lineRule="auto"/>
            </w:pPr>
            <w:r>
              <w:rPr>
                <w:sz w:val="16"/>
              </w:rPr>
              <w:t>6.7995</w:t>
            </w:r>
          </w:p>
        </w:tc>
        <w:tc>
          <w:tcPr>
            <w:tcW w:type="dxa" w:w="2211"/>
          </w:tcPr>
          <w:p>
            <w:pPr>
              <w:spacing w:after="36" w:line="242" w:lineRule="auto"/>
            </w:pPr>
            <w:r>
              <w:rPr>
                <w:sz w:val="16"/>
              </w:rPr>
              <w:t>87.4287</w:t>
            </w:r>
          </w:p>
        </w:tc>
        <w:tc>
          <w:tcPr>
            <w:tcW w:type="dxa" w:w="1871"/>
          </w:tcPr>
          <w:p>
            <w:pPr>
              <w:spacing w:after="36" w:line="242" w:lineRule="auto"/>
            </w:pPr>
            <w:r>
              <w:rPr>
                <w:sz w:val="16"/>
              </w:rPr>
              <w:t>97.13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36" w:line="242" w:lineRule="auto"/>
            </w:pPr>
            <w:r>
              <w:rPr>
                <w:sz w:val="16"/>
              </w:rPr>
              <w:t>0.85</w:t>
            </w:r>
          </w:p>
        </w:tc>
        <w:tc>
          <w:tcPr>
            <w:tcW w:type="dxa" w:w="2835"/>
          </w:tcPr>
          <w:p>
            <w:pPr>
              <w:spacing w:after="36" w:line="242" w:lineRule="auto"/>
            </w:pPr>
            <w:r>
              <w:rPr>
                <w:sz w:val="16"/>
              </w:rPr>
              <w:t>88.2388±0.5569</w:t>
            </w:r>
          </w:p>
        </w:tc>
        <w:tc>
          <w:tcPr>
            <w:tcW w:type="dxa" w:w="1984"/>
          </w:tcPr>
          <w:p>
            <w:pPr>
              <w:spacing w:after="36" w:line="242" w:lineRule="auto"/>
            </w:pPr>
            <w:r>
              <w:rPr>
                <w:sz w:val="16"/>
              </w:rPr>
              <w:t>6.5221</w:t>
            </w:r>
          </w:p>
        </w:tc>
        <w:tc>
          <w:tcPr>
            <w:tcW w:type="dxa" w:w="2211"/>
          </w:tcPr>
          <w:p>
            <w:pPr>
              <w:spacing w:after="36" w:line="242" w:lineRule="auto"/>
            </w:pPr>
            <w:r>
              <w:rPr>
                <w:sz w:val="16"/>
              </w:rPr>
              <w:t>82.7458</w:t>
            </w:r>
          </w:p>
        </w:tc>
        <w:tc>
          <w:tcPr>
            <w:tcW w:type="dxa" w:w="1871"/>
          </w:tcPr>
          <w:p>
            <w:pPr>
              <w:spacing w:after="36" w:line="242" w:lineRule="auto"/>
            </w:pPr>
            <w:r>
              <w:rPr>
                <w:sz w:val="16"/>
              </w:rPr>
              <w:t>89.77</w:t>
            </w:r>
          </w:p>
        </w:tc>
      </w:tr>
    </w:tbl>
    <w:p>
      <w:pPr>
        <w:spacing w:after="0"/>
      </w:pPr>
    </w:p>
    <w:p>
      <w:r>
        <w:t>C. 同seed配对排程：每档30对；行动数差方向为Ridge−LOCF。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1757"/>
        <w:gridCol w:w="2154"/>
        <w:gridCol w:w="1361"/>
        <w:gridCol w:w="2154"/>
        <w:gridCol w:w="1134"/>
      </w:tblGrid>
      <w:tr>
        <w:trPr>
          <w:tblHeader/>
          <w:cantSplit/>
        </w:trPr>
        <w:tc>
          <w:tcPr>
            <w:tcW w:type="dxa" w:w="1474"/>
            <w:shd w:fill="E8EEF4"/>
          </w:tcPr>
          <w:p>
            <w:pPr>
              <w:spacing w:after="36" w:line="242" w:lineRule="auto"/>
            </w:pPr>
            <w:r>
              <w:rPr>
                <w:sz w:val="15"/>
              </w:rPr>
              <w:t>B / n</w:t>
            </w:r>
          </w:p>
        </w:tc>
        <w:tc>
          <w:tcPr>
            <w:tcW w:type="dxa" w:w="1757"/>
            <w:shd w:fill="E8EEF4"/>
          </w:tcPr>
          <w:p>
            <w:pPr>
              <w:spacing w:after="36" w:line="242" w:lineRule="auto"/>
            </w:pPr>
            <w:r>
              <w:rPr>
                <w:sz w:val="15"/>
              </w:rPr>
              <w:t>Jaccard</w:t>
              <w:br/>
              <w:t>均值±SD</w:t>
            </w:r>
          </w:p>
        </w:tc>
        <w:tc>
          <w:tcPr>
            <w:tcW w:type="dxa" w:w="2154"/>
            <w:shd w:fill="E8EEF4"/>
          </w:tcPr>
          <w:p>
            <w:pPr>
              <w:spacing w:after="36" w:line="242" w:lineRule="auto"/>
            </w:pPr>
            <w:r>
              <w:rPr>
                <w:sz w:val="15"/>
              </w:rPr>
              <w:t>Jaccard</w:t>
              <w:br/>
              <w:t>中位[Q25,Q75]</w:t>
            </w:r>
          </w:p>
        </w:tc>
        <w:tc>
          <w:tcPr>
            <w:tcW w:type="dxa" w:w="1361"/>
            <w:shd w:fill="E8EEF4"/>
          </w:tcPr>
          <w:p>
            <w:pPr>
              <w:spacing w:after="36" w:line="242" w:lineRule="auto"/>
            </w:pPr>
            <w:r>
              <w:rPr>
                <w:sz w:val="15"/>
              </w:rPr>
              <w:t>首次年MAE</w:t>
              <w:br/>
              <w:t>均值(年)</w:t>
            </w:r>
          </w:p>
        </w:tc>
        <w:tc>
          <w:tcPr>
            <w:tcW w:type="dxa" w:w="2154"/>
            <w:shd w:fill="E8EEF4"/>
          </w:tcPr>
          <w:p>
            <w:pPr>
              <w:spacing w:after="36" w:line="242" w:lineRule="auto"/>
            </w:pPr>
            <w:r>
              <w:rPr>
                <w:sz w:val="15"/>
              </w:rPr>
              <w:t>首次年MAE</w:t>
              <w:br/>
              <w:t>中位[Q25,Q75]</w:t>
            </w:r>
          </w:p>
        </w:tc>
        <w:tc>
          <w:tcPr>
            <w:tcW w:type="dxa" w:w="1134"/>
            <w:shd w:fill="E8EEF4"/>
          </w:tcPr>
          <w:p>
            <w:pPr>
              <w:spacing w:after="36" w:line="242" w:lineRule="auto"/>
            </w:pPr>
            <w:r>
              <w:rPr>
                <w:sz w:val="15"/>
              </w:rPr>
              <w:t>行动数差</w:t>
              <w:br/>
              <w:t>均值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36" w:line="242" w:lineRule="auto"/>
            </w:pPr>
            <w:r>
              <w:rPr>
                <w:sz w:val="15"/>
              </w:rPr>
              <w:t>0.215150</w:t>
              <w:br/>
              <w:t>30对</w:t>
            </w:r>
          </w:p>
        </w:tc>
        <w:tc>
          <w:tcPr>
            <w:tcW w:type="dxa" w:w="1757"/>
          </w:tcPr>
          <w:p>
            <w:pPr>
              <w:spacing w:after="36" w:line="242" w:lineRule="auto"/>
            </w:pPr>
            <w:r>
              <w:rPr>
                <w:sz w:val="15"/>
              </w:rPr>
              <w:t>0.0772±0.0528</w:t>
            </w:r>
          </w:p>
        </w:tc>
        <w:tc>
          <w:tcPr>
            <w:tcW w:type="dxa" w:w="2154"/>
          </w:tcPr>
          <w:p>
            <w:pPr>
              <w:spacing w:after="36" w:line="242" w:lineRule="auto"/>
            </w:pPr>
            <w:r>
              <w:rPr>
                <w:sz w:val="15"/>
              </w:rPr>
              <w:t>0.0702</w:t>
              <w:br/>
              <w:t>[0.0286,0.1203]</w:t>
            </w:r>
          </w:p>
        </w:tc>
        <w:tc>
          <w:tcPr>
            <w:tcW w:type="dxa" w:w="1361"/>
          </w:tcPr>
          <w:p>
            <w:pPr>
              <w:spacing w:after="36" w:line="242" w:lineRule="auto"/>
            </w:pPr>
            <w:r>
              <w:rPr>
                <w:sz w:val="15"/>
              </w:rPr>
              <w:t>0.8108</w:t>
            </w:r>
          </w:p>
        </w:tc>
        <w:tc>
          <w:tcPr>
            <w:tcW w:type="dxa" w:w="2154"/>
          </w:tcPr>
          <w:p>
            <w:pPr>
              <w:spacing w:after="36" w:line="242" w:lineRule="auto"/>
            </w:pPr>
            <w:r>
              <w:rPr>
                <w:sz w:val="15"/>
              </w:rPr>
              <w:t>0.80</w:t>
              <w:br/>
              <w:t>[0.58,1.00]</w:t>
            </w:r>
          </w:p>
        </w:tc>
        <w:tc>
          <w:tcPr>
            <w:tcW w:type="dxa" w:w="1134"/>
          </w:tcPr>
          <w:p>
            <w:pPr>
              <w:spacing w:after="36" w:line="242" w:lineRule="auto"/>
            </w:pPr>
            <w:r>
              <w:rPr>
                <w:sz w:val="15"/>
              </w:rPr>
              <w:t>11.53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36" w:line="242" w:lineRule="auto"/>
            </w:pPr>
            <w:r>
              <w:rPr>
                <w:sz w:val="15"/>
              </w:rPr>
              <w:t>0.647886</w:t>
              <w:br/>
              <w:t>30对</w:t>
            </w:r>
          </w:p>
        </w:tc>
        <w:tc>
          <w:tcPr>
            <w:tcW w:type="dxa" w:w="1757"/>
          </w:tcPr>
          <w:p>
            <w:pPr>
              <w:spacing w:after="36" w:line="242" w:lineRule="auto"/>
            </w:pPr>
            <w:r>
              <w:rPr>
                <w:sz w:val="15"/>
              </w:rPr>
              <w:t>0.0647±0.0237</w:t>
            </w:r>
          </w:p>
        </w:tc>
        <w:tc>
          <w:tcPr>
            <w:tcW w:type="dxa" w:w="2154"/>
          </w:tcPr>
          <w:p>
            <w:pPr>
              <w:spacing w:after="36" w:line="242" w:lineRule="auto"/>
            </w:pPr>
            <w:r>
              <w:rPr>
                <w:sz w:val="15"/>
              </w:rPr>
              <w:t>0.0623</w:t>
              <w:br/>
              <w:t>[0.0489,0.0835]</w:t>
            </w:r>
          </w:p>
        </w:tc>
        <w:tc>
          <w:tcPr>
            <w:tcW w:type="dxa" w:w="1361"/>
          </w:tcPr>
          <w:p>
            <w:pPr>
              <w:spacing w:after="36" w:line="242" w:lineRule="auto"/>
            </w:pPr>
            <w:r>
              <w:rPr>
                <w:sz w:val="15"/>
              </w:rPr>
              <w:t>2.6055</w:t>
            </w:r>
          </w:p>
        </w:tc>
        <w:tc>
          <w:tcPr>
            <w:tcW w:type="dxa" w:w="2154"/>
          </w:tcPr>
          <w:p>
            <w:pPr>
              <w:spacing w:after="36" w:line="242" w:lineRule="auto"/>
            </w:pPr>
            <w:r>
              <w:rPr>
                <w:sz w:val="15"/>
              </w:rPr>
              <w:t>2.59</w:t>
              <w:br/>
              <w:t>[2.37,2.84]</w:t>
            </w:r>
          </w:p>
        </w:tc>
        <w:tc>
          <w:tcPr>
            <w:tcW w:type="dxa" w:w="1134"/>
          </w:tcPr>
          <w:p>
            <w:pPr>
              <w:spacing w:after="36" w:line="242" w:lineRule="auto"/>
            </w:pPr>
            <w:r>
              <w:rPr>
                <w:sz w:val="15"/>
              </w:rPr>
              <w:t>2.33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36" w:line="242" w:lineRule="auto"/>
            </w:pPr>
            <w:r>
              <w:rPr>
                <w:sz w:val="15"/>
              </w:rPr>
              <w:t>1.080622</w:t>
              <w:br/>
              <w:t>30对</w:t>
            </w:r>
          </w:p>
        </w:tc>
        <w:tc>
          <w:tcPr>
            <w:tcW w:type="dxa" w:w="1757"/>
          </w:tcPr>
          <w:p>
            <w:pPr>
              <w:spacing w:after="36" w:line="242" w:lineRule="auto"/>
            </w:pPr>
            <w:r>
              <w:rPr>
                <w:sz w:val="15"/>
              </w:rPr>
              <w:t>0.0672±0.0203</w:t>
            </w:r>
          </w:p>
        </w:tc>
        <w:tc>
          <w:tcPr>
            <w:tcW w:type="dxa" w:w="2154"/>
          </w:tcPr>
          <w:p>
            <w:pPr>
              <w:spacing w:after="36" w:line="242" w:lineRule="auto"/>
            </w:pPr>
            <w:r>
              <w:rPr>
                <w:sz w:val="15"/>
              </w:rPr>
              <w:t>0.0636</w:t>
              <w:br/>
              <w:t>[0.0522,0.0828]</w:t>
            </w:r>
          </w:p>
        </w:tc>
        <w:tc>
          <w:tcPr>
            <w:tcW w:type="dxa" w:w="1361"/>
          </w:tcPr>
          <w:p>
            <w:pPr>
              <w:spacing w:after="36" w:line="242" w:lineRule="auto"/>
            </w:pPr>
            <w:r>
              <w:rPr>
                <w:sz w:val="15"/>
              </w:rPr>
              <w:t>2.8908</w:t>
            </w:r>
          </w:p>
        </w:tc>
        <w:tc>
          <w:tcPr>
            <w:tcW w:type="dxa" w:w="2154"/>
          </w:tcPr>
          <w:p>
            <w:pPr>
              <w:spacing w:after="36" w:line="242" w:lineRule="auto"/>
            </w:pPr>
            <w:r>
              <w:rPr>
                <w:sz w:val="15"/>
              </w:rPr>
              <w:t>2.98</w:t>
              <w:br/>
              <w:t>[2.63,3.12]</w:t>
            </w:r>
          </w:p>
        </w:tc>
        <w:tc>
          <w:tcPr>
            <w:tcW w:type="dxa" w:w="1134"/>
          </w:tcPr>
          <w:p>
            <w:pPr>
              <w:spacing w:after="36" w:line="242" w:lineRule="auto"/>
            </w:pPr>
            <w:r>
              <w:rPr>
                <w:sz w:val="15"/>
              </w:rPr>
              <w:t>2.30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36" w:line="242" w:lineRule="auto"/>
            </w:pPr>
            <w:r>
              <w:rPr>
                <w:sz w:val="15"/>
              </w:rPr>
              <w:t>1.513358</w:t>
              <w:br/>
              <w:t>30对</w:t>
            </w:r>
          </w:p>
        </w:tc>
        <w:tc>
          <w:tcPr>
            <w:tcW w:type="dxa" w:w="1757"/>
          </w:tcPr>
          <w:p>
            <w:pPr>
              <w:spacing w:after="36" w:line="242" w:lineRule="auto"/>
            </w:pPr>
            <w:r>
              <w:rPr>
                <w:sz w:val="15"/>
              </w:rPr>
              <w:t>0.0687±0.0228</w:t>
            </w:r>
          </w:p>
        </w:tc>
        <w:tc>
          <w:tcPr>
            <w:tcW w:type="dxa" w:w="2154"/>
          </w:tcPr>
          <w:p>
            <w:pPr>
              <w:spacing w:after="36" w:line="242" w:lineRule="auto"/>
            </w:pPr>
            <w:r>
              <w:rPr>
                <w:sz w:val="15"/>
              </w:rPr>
              <w:t>0.0700</w:t>
              <w:br/>
              <w:t>[0.0534,0.0794]</w:t>
            </w:r>
          </w:p>
        </w:tc>
        <w:tc>
          <w:tcPr>
            <w:tcW w:type="dxa" w:w="1361"/>
          </w:tcPr>
          <w:p>
            <w:pPr>
              <w:spacing w:after="36" w:line="242" w:lineRule="auto"/>
            </w:pPr>
            <w:r>
              <w:rPr>
                <w:sz w:val="15"/>
              </w:rPr>
              <w:t>2.9224</w:t>
            </w:r>
          </w:p>
        </w:tc>
        <w:tc>
          <w:tcPr>
            <w:tcW w:type="dxa" w:w="2154"/>
          </w:tcPr>
          <w:p>
            <w:pPr>
              <w:spacing w:after="36" w:line="242" w:lineRule="auto"/>
            </w:pPr>
            <w:r>
              <w:rPr>
                <w:sz w:val="15"/>
              </w:rPr>
              <w:t>2.86</w:t>
              <w:br/>
              <w:t>[2.59,3.18]</w:t>
            </w:r>
          </w:p>
        </w:tc>
        <w:tc>
          <w:tcPr>
            <w:tcW w:type="dxa" w:w="1134"/>
          </w:tcPr>
          <w:p>
            <w:pPr>
              <w:spacing w:after="36" w:line="242" w:lineRule="auto"/>
            </w:pPr>
            <w:r>
              <w:rPr>
                <w:sz w:val="15"/>
              </w:rPr>
              <w:t>10.30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36" w:line="242" w:lineRule="auto"/>
            </w:pPr>
            <w:r>
              <w:rPr>
                <w:sz w:val="15"/>
              </w:rPr>
              <w:t>1.946093</w:t>
              <w:br/>
              <w:t>30对</w:t>
            </w:r>
          </w:p>
        </w:tc>
        <w:tc>
          <w:tcPr>
            <w:tcW w:type="dxa" w:w="1757"/>
          </w:tcPr>
          <w:p>
            <w:pPr>
              <w:spacing w:after="36" w:line="242" w:lineRule="auto"/>
            </w:pPr>
            <w:r>
              <w:rPr>
                <w:sz w:val="15"/>
              </w:rPr>
              <w:t>0.0690±0.0232</w:t>
            </w:r>
          </w:p>
        </w:tc>
        <w:tc>
          <w:tcPr>
            <w:tcW w:type="dxa" w:w="2154"/>
          </w:tcPr>
          <w:p>
            <w:pPr>
              <w:spacing w:after="36" w:line="242" w:lineRule="auto"/>
            </w:pPr>
            <w:r>
              <w:rPr>
                <w:sz w:val="15"/>
              </w:rPr>
              <w:t>0.0647</w:t>
              <w:br/>
              <w:t>[0.0497,0.0821]</w:t>
            </w:r>
          </w:p>
        </w:tc>
        <w:tc>
          <w:tcPr>
            <w:tcW w:type="dxa" w:w="1361"/>
          </w:tcPr>
          <w:p>
            <w:pPr>
              <w:spacing w:after="36" w:line="242" w:lineRule="auto"/>
            </w:pPr>
            <w:r>
              <w:rPr>
                <w:sz w:val="15"/>
              </w:rPr>
              <w:t>2.8364</w:t>
            </w:r>
          </w:p>
        </w:tc>
        <w:tc>
          <w:tcPr>
            <w:tcW w:type="dxa" w:w="2154"/>
          </w:tcPr>
          <w:p>
            <w:pPr>
              <w:spacing w:after="36" w:line="242" w:lineRule="auto"/>
            </w:pPr>
            <w:r>
              <w:rPr>
                <w:sz w:val="15"/>
              </w:rPr>
              <w:t>2.75</w:t>
              <w:br/>
              <w:t>[2.64,2.93]</w:t>
            </w:r>
          </w:p>
        </w:tc>
        <w:tc>
          <w:tcPr>
            <w:tcW w:type="dxa" w:w="1134"/>
          </w:tcPr>
          <w:p>
            <w:pPr>
              <w:spacing w:after="36" w:line="242" w:lineRule="auto"/>
            </w:pPr>
            <w:r>
              <w:rPr>
                <w:sz w:val="15"/>
              </w:rPr>
              <w:t>20.50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36" w:line="242" w:lineRule="auto"/>
            </w:pPr>
            <w:r>
              <w:rPr>
                <w:sz w:val="15"/>
              </w:rPr>
              <w:t>2.378829</w:t>
              <w:br/>
              <w:t>30对</w:t>
            </w:r>
          </w:p>
        </w:tc>
        <w:tc>
          <w:tcPr>
            <w:tcW w:type="dxa" w:w="1757"/>
          </w:tcPr>
          <w:p>
            <w:pPr>
              <w:spacing w:after="36" w:line="242" w:lineRule="auto"/>
            </w:pPr>
            <w:r>
              <w:rPr>
                <w:sz w:val="15"/>
              </w:rPr>
              <w:t>0.0703±0.0178</w:t>
            </w:r>
          </w:p>
        </w:tc>
        <w:tc>
          <w:tcPr>
            <w:tcW w:type="dxa" w:w="2154"/>
          </w:tcPr>
          <w:p>
            <w:pPr>
              <w:spacing w:after="36" w:line="242" w:lineRule="auto"/>
            </w:pPr>
            <w:r>
              <w:rPr>
                <w:sz w:val="15"/>
              </w:rPr>
              <w:t>0.0682</w:t>
              <w:br/>
              <w:t>[0.0562,0.0785]</w:t>
            </w:r>
          </w:p>
        </w:tc>
        <w:tc>
          <w:tcPr>
            <w:tcW w:type="dxa" w:w="1361"/>
          </w:tcPr>
          <w:p>
            <w:pPr>
              <w:spacing w:after="36" w:line="242" w:lineRule="auto"/>
            </w:pPr>
            <w:r>
              <w:rPr>
                <w:sz w:val="15"/>
              </w:rPr>
              <w:t>2.7146</w:t>
            </w:r>
          </w:p>
        </w:tc>
        <w:tc>
          <w:tcPr>
            <w:tcW w:type="dxa" w:w="2154"/>
          </w:tcPr>
          <w:p>
            <w:pPr>
              <w:spacing w:after="36" w:line="242" w:lineRule="auto"/>
            </w:pPr>
            <w:r>
              <w:rPr>
                <w:sz w:val="15"/>
              </w:rPr>
              <w:t>2.74</w:t>
              <w:br/>
              <w:t>[2.52,2.93]</w:t>
            </w:r>
          </w:p>
        </w:tc>
        <w:tc>
          <w:tcPr>
            <w:tcW w:type="dxa" w:w="1134"/>
          </w:tcPr>
          <w:p>
            <w:pPr>
              <w:spacing w:after="36" w:line="242" w:lineRule="auto"/>
            </w:pPr>
            <w:r>
              <w:rPr>
                <w:sz w:val="15"/>
              </w:rPr>
              <w:t>5.70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36" w:line="242" w:lineRule="auto"/>
            </w:pPr>
            <w:r>
              <w:rPr>
                <w:sz w:val="15"/>
              </w:rPr>
              <w:t>2.811565</w:t>
              <w:br/>
              <w:t>30对</w:t>
            </w:r>
          </w:p>
        </w:tc>
        <w:tc>
          <w:tcPr>
            <w:tcW w:type="dxa" w:w="1757"/>
          </w:tcPr>
          <w:p>
            <w:pPr>
              <w:spacing w:after="36" w:line="242" w:lineRule="auto"/>
            </w:pPr>
            <w:r>
              <w:rPr>
                <w:sz w:val="15"/>
              </w:rPr>
              <w:t>0.8613±0.0489</w:t>
            </w:r>
          </w:p>
        </w:tc>
        <w:tc>
          <w:tcPr>
            <w:tcW w:type="dxa" w:w="2154"/>
          </w:tcPr>
          <w:p>
            <w:pPr>
              <w:spacing w:after="36" w:line="242" w:lineRule="auto"/>
            </w:pPr>
            <w:r>
              <w:rPr>
                <w:sz w:val="15"/>
              </w:rPr>
              <w:t>0.8616</w:t>
              <w:br/>
              <w:t>[0.8188,0.8974]</w:t>
            </w:r>
          </w:p>
        </w:tc>
        <w:tc>
          <w:tcPr>
            <w:tcW w:type="dxa" w:w="1361"/>
          </w:tcPr>
          <w:p>
            <w:pPr>
              <w:spacing w:after="36" w:line="242" w:lineRule="auto"/>
            </w:pPr>
            <w:r>
              <w:rPr>
                <w:sz w:val="15"/>
              </w:rPr>
              <w:t>0.0011</w:t>
            </w:r>
          </w:p>
        </w:tc>
        <w:tc>
          <w:tcPr>
            <w:tcW w:type="dxa" w:w="2154"/>
          </w:tcPr>
          <w:p>
            <w:pPr>
              <w:spacing w:after="36" w:line="242" w:lineRule="auto"/>
            </w:pPr>
            <w:r>
              <w:rPr>
                <w:sz w:val="15"/>
              </w:rPr>
              <w:t>0.00</w:t>
              <w:br/>
              <w:t>[0.00,0.00]</w:t>
            </w:r>
          </w:p>
        </w:tc>
        <w:tc>
          <w:tcPr>
            <w:tcW w:type="dxa" w:w="1134"/>
          </w:tcPr>
          <w:p>
            <w:pPr>
              <w:spacing w:after="36" w:line="242" w:lineRule="auto"/>
            </w:pPr>
            <w:r>
              <w:rPr>
                <w:sz w:val="15"/>
              </w:rPr>
              <w:t>0.00</w:t>
            </w:r>
          </w:p>
        </w:tc>
      </w:tr>
    </w:tbl>
    <w:p>
      <w:pPr>
        <w:spacing w:after="0"/>
      </w:pPr>
    </w:p>
    <w:p>
      <w:r>
        <w:t>C中首次年MAE先在每对双方均养护单元内求均值，再对30对汇总；表内中位数与四分位数为运行级MAE的分布。每对单元内绝对差的中位数、同首次年数量、仅一方养护与双方均未养护数量等完整字段均保留于配对CSV。</w:t>
      </w:r>
    </w:p>
    <w:p>
      <w:pPr>
        <w:pStyle w:val="Heading1"/>
        <w:pageBreakBefore/>
      </w:pPr>
      <w:r>
        <w:t>7 转入补充材料的结果</w:t>
      </w:r>
    </w:p>
    <w:p>
      <w:r>
        <w:t>在代表资源档进行的10组配对求解器检查中，I-GJO得到的平均目标值略高于GJO，但该比较仅用于检查求解稳定性，不作为本文主要结论。</w:t>
      </w:r>
    </w:p>
    <w:p>
      <w:r>
        <w:t>在代表资源水平下，单元面积与养护次数的Spearman相关均接近0，未观察到明显的小面积单元单调优先现象；其他资源档相关方向有所变化，完整结果见补充材料。</w:t>
      </w:r>
    </w:p>
    <w:p>
      <w:r>
        <w:t>求解器详细均值、标准差、逐seed差值及胜平负转入补充材料中的solver_control_summary.csv和solver_control_pairs.csv；面积相关、四分位分组及逐单元明细见area_maintenance_diagnostic.csv和area_maintenance_unit_details.csv。其他已核验可行目标值与跨资源固定排程复算见resource_lower_bound_summary.csv和resource_lower_bound_transfers.csv，不进入正文图4。逐seed、年度指标、排程及完整配对CSV一并保留。</w:t>
      </w:r>
    </w:p>
    <w:p>
      <w:pPr>
        <w:pStyle w:val="Heading1"/>
      </w:pPr>
      <w:r>
        <w:t>8 中文正文允许写的结论</w:t>
      </w:r>
    </w:p>
    <w:p>
      <w:r>
        <w:t>RQ1：在本数据的216条历史时间外推测试中，Ridge的整体RMSE低于所比较的LOCF和XGBoost。RQ2：在相同资源、参数与seed下，两套规划初值对应的行动与首次养护时机仍有差异；绝对J差在扣除各自基线后明显缩小，相对增益无固定初值排序。RQ3：本情景中增加资源上限能改善长期平均状态，首个资源增档的改善最大，后续单位资源改善总体较小但不严格单调。</w:t>
      </w:r>
    </w:p>
    <w:p>
      <w:r>
        <w:t>d敏感性表明，在固定资源上限下，较大的年评分下降量对应较低的长期与末年评分。上述结论以确定性递推、面积资源、单元等权目标、给定管理与行动约束以及有限搜索结果为条件。</w:t>
      </w:r>
    </w:p>
    <w:p>
      <w:pPr>
        <w:pStyle w:val="Heading1"/>
      </w:pPr>
      <w:r>
        <w:t>9 禁止过度结论及停止点</w:t>
      </w:r>
    </w:p>
    <w:p>
      <w:r>
        <w:t>不得写‘差异完全由初值导致’‘Ridge规划方案明显优于LOCF’‘边际收益严格递减’‘找到了最佳资源水平/最优预算’‘退化加快后养护需求降低’。不得把可行率解释为100%发现可行域概率或零管理风险，不将最好已知端点、代表方案或GJO最好值称为数学全局最优。</w:t>
      </w:r>
    </w:p>
    <w:p>
      <w:r>
        <w:t>不将较高的估计初值视为已验证未来真值，不由10组求解器检查推断算法普遍优越，不把面积诊断升为主要结果，不把无量纲资源换算为人民币预算。本次未重新优化、改动资源模型或调整预测器，未加入AP-KELM。</w:t>
      </w:r>
    </w:p>
    <w:p>
      <w:r>
        <w:t>独立核验已从保存排程重新检查420份主实验行动及210对新派生统计；通过后才生成本说明。到此停止，等待确认，再生成《小论文_中文初稿.docx》。本文件仅为写稿前结果说明，不是完整论文。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写稿前最终结果说明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指令8 · 正式写稿前结果整理 · 面积资源模型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60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D2F42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D2F4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Times New Roman" w:hAnsi="Times New Roman" w:eastAsia="黑体"/>
      <w:color w:val="1D2F4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60" w:line="254" w:lineRule="auto"/>
    </w:pPr>
    <w:rPr>
      <w:rFonts w:ascii="Times New Roman" w:hAnsi="Times New Roman" w:eastAsia="宋体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