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数据与方法"/>
    <w:p>
      <w:pPr>
        <w:pStyle w:val="Heading2"/>
        <w:keepNext/>
        <w:keepLines/>
        <w:widowControl/>
        <w:spacing w:before="160" w:after="160"/>
        <w:ind w:firstLine="0"/>
      </w:pPr>
      <w:r>
        <w:rPr>
          <w:rFonts w:ascii="Times New Roman" w:hAnsi="Times New Roman" w:eastAsia="Noto Sans CJK SC"/>
          <w:b/>
          <w:color w:val="000000"/>
          <w:sz w:val="32"/>
        </w:rPr>
        <w:t xml:space="preserve">2 数据与方法</w:t>
      </w:r>
    </w:p>
    <w:bookmarkStart w:id="23" w:name="研究对象与监测数据"/>
    <w:p>
      <w:pPr>
        <w:pStyle w:val="Heading3"/>
        <w:keepNext/>
        <w:keepLines/>
        <w:widowControl/>
        <w:spacing w:before="240" w:after="160"/>
        <w:ind w:firstLine="0"/>
      </w:pPr>
      <w:r>
        <w:rPr>
          <w:rFonts w:ascii="Times New Roman" w:hAnsi="Times New Roman" w:eastAsia="Noto Sans CJK SC"/>
          <w:b/>
          <w:color w:val="000000"/>
          <w:sz w:val="26"/>
        </w:rPr>
        <w:t xml:space="preserve">2.1 研究对象与监测数据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本文以甬台温高速公路宁波段一期桥梁为研究对象，选取沿线59个桥梁检测单元开展分析。研究对象包括主线桥和互通匝道桥；部分桥梁的左幅与右幅在检测台账中分别记录，因此59个检测单元并不等同于59座独立桥梁。研究路段及桥梁检测单元的空间分布如图1所示。</w:t>
      </w:r>
    </w:p>
    <w:p>
      <w:pPr>
        <w:pStyle w:val="BodyText"/>
        <w:keepNext/>
        <w:widowControl/>
        <w:spacing w:before="80" w:after="80"/>
        <w:ind w:firstLine="0"/>
        <w:jc w:val="center"/>
      </w:pPr>
      <w:r>
        <w:rPr>
          <w:rFonts w:ascii="Times New Roman" w:hAnsi="Times New Roman" w:eastAsia="Noto Serif CJK SC"/>
          <w:color w:val="000000"/>
          <w:sz w:val="24"/>
        </w:rPr>
        <w:drawing>
          <wp:inline>
            <wp:extent cx="5334000" cy="26670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assets/Fig1_origina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  <w:keepLines/>
        <w:widowControl/>
        <w:spacing w:line="276" w:lineRule="auto" w:before="60" w:after="100"/>
        <w:ind w:firstLine="0"/>
        <w:jc w:val="center"/>
      </w:pPr>
      <w:r>
        <w:rPr>
          <w:rFonts w:ascii="Times New Roman" w:hAnsi="Times New Roman" w:eastAsia="Noto Serif CJK SC"/>
          <w:b w:val="0"/>
          <w:color w:val="000000"/>
          <w:sz w:val="21"/>
        </w:rPr>
        <w:t xml:space="preserve">图1 甬台温高速公路宁波段一期研究路段及桥梁检测单元空间分布</w:t>
      </w:r>
    </w:p>
    <w:p>
      <w:pPr>
        <w:pStyle w:val="BodyText"/>
        <w:keepNext w:val="0"/>
        <w:keepLines/>
        <w:widowControl/>
        <w:spacing w:line="276" w:lineRule="auto" w:before="60" w:after="100"/>
        <w:ind w:firstLine="0"/>
        <w:jc w:val="center"/>
      </w:pPr>
      <w:r>
        <w:rPr>
          <w:rFonts w:ascii="Times New Roman" w:hAnsi="Times New Roman" w:eastAsia="Noto Serif CJK SC"/>
          <w:b w:val="0"/>
          <w:color w:val="000000"/>
          <w:sz w:val="21"/>
        </w:rPr>
        <w:t xml:space="preserve">Fig. 1. Location of the study expressway section and spatial distribution of bridge inspection units.</w:t>
      </w:r>
    </w:p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研究数据来自2012—2024年桥梁检测台账，主要包括全桥评分、上部结构评分、建成年份、桥梁长度、桥面净宽和功能类型。本文以原始台账中的检测单元为基本分析对象，利用历史检测记录预测后续全桥评分，并据此开展2025—2039年的养护时机规划。</w:t>
      </w:r>
    </w:p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59个检测单元在13年内共有767个潜在的“单元—年”观测位置，其中全桥评分有效记录387条，上部结构评分有效记录380条。缺失记录不视为0分，也不通过插值构造人工检测值。检测数据及缺失情况见表1。</w:t>
      </w:r>
    </w:p>
    <w:p>
      <w:pPr>
        <w:pStyle w:val="BodyText"/>
        <w:keepNext/>
        <w:keepLines/>
        <w:widowControl/>
        <w:spacing w:line="276" w:lineRule="auto" w:before="60" w:after="100"/>
        <w:ind w:firstLine="0"/>
        <w:jc w:val="center"/>
      </w:pPr>
      <w:r>
        <w:rPr>
          <w:rFonts w:ascii="Times New Roman" w:hAnsi="Times New Roman" w:eastAsia="Noto Serif CJK SC"/>
          <w:b/>
          <w:color w:val="000000"/>
          <w:sz w:val="21"/>
        </w:rPr>
        <w:t xml:space="preserve">表1 检测数据与缺失情况</w:t>
      </w:r>
    </w:p>
    <w:tbl>
      <w:tblPr>
        <w:tblStyle w:val="Table"/>
        <w:tblW w:type="auto" w:w="0"/>
        <w:jc w:val="center"/>
        <w:tblLayout w:type="fixed"/>
        <w:tblBorders>
          <w:top w:val="single" w:sz="12" w:color="000000"/>
          <w:left w:val="nil"/>
          <w:bottom w:val="single" w:sz="12" w:color="000000"/>
          <w:right w:val="nil"/>
          <w:insideH w:val="nil"/>
          <w:insideV w:val="nil"/>
        </w:tblBorders>
      </w:tblPr>
      <w:tblGrid>
        <w:gridCol w:w="2608"/>
        <w:gridCol w:w="2551"/>
        <w:gridCol w:w="4025"/>
      </w:tblGrid>
      <w:tr>
        <w:trPr>
          <w:tblHeader w:val="on"/>
          <w:cantSplit/>
          <w:tblHeader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pStyle w:val="Compact"/>
              <w:keepNext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pStyle w:val="Compact"/>
              <w:keepNext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/>
                <w:color w:val="000000"/>
                <w:sz w:val="21"/>
              </w:rPr>
              <w:t xml:space="preserve">数量或范围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pStyle w:val="Compact"/>
              <w:keepNext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/>
                <w:color w:val="000000"/>
                <w:sz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检测单元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59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保留原始检测单元划分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年份与潜在单元—年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2012—2024；767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13年×59个单元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全桥评分有效/缺失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387 / 380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缺失比例49.54%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上部结构评分有效/缺失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380 / 387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缺失比例50.46%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两类评分同时有效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380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另有7条仅全桥评分有效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2024年评分构成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6实测+53估计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两套规划初始状态保留相同实测值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主要时间外测试</w:t>
            </w:r>
          </w:p>
        </w:tc>
        <w:tc>
          <w:tcPr>
            <w:tcW w:type="dxa" w:w="2551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216条；2018—2024年</w:t>
            </w:r>
          </w:p>
        </w:tc>
        <w:tc>
          <w:tcPr>
            <w:tcW w:type="dxa" w:w="4025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下一次真实检测记录</w:t>
            </w:r>
          </w:p>
        </w:tc>
      </w:tr>
    </w:tbl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以每个检测单元相邻两次真实全桥评分记录构建预测样本，共得到328条状态转移记录。其中，检测间隔为1、2、3、4年的样本分别为123、144、55、6条，表明样本的预测跨度并不一致。2024年仅有6个检测单元具有同期实测全桥评分，其余53个单元需要根据历史信息估计规划初始状态。桥梁长度、净宽和功能类型作为静态属性使用，并假设这些信息在历史预测时点已经可得。</w:t>
      </w:r>
    </w:p>
    <w:bookmarkEnd w:id="23"/>
    <w:bookmarkStart w:id="24" w:name="全桥评分预测与时间外验证"/>
    <w:p>
      <w:pPr>
        <w:pStyle w:val="Heading3"/>
        <w:keepNext/>
        <w:keepLines/>
        <w:widowControl/>
        <w:spacing w:before="240" w:after="160"/>
        <w:ind w:firstLine="0"/>
      </w:pPr>
      <w:r>
        <w:rPr>
          <w:rFonts w:ascii="Times New Roman" w:hAnsi="Times New Roman" w:eastAsia="Noto Sans CJK SC"/>
          <w:b/>
          <w:color w:val="000000"/>
          <w:sz w:val="26"/>
        </w:rPr>
        <w:t xml:space="preserve">2.2 全桥评分预测与时间外验证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为比较不同方法在低频检测条件下的预测表现，采用末次观测延续法（last observation carried forward，LOCF）、岭回归（Ridge regression，以下简称Ridge）和极端梯度提升（eXtreme Gradient Boosting，XGBoost）预测后续全桥评分。LOCF将预测起点最近一次真实全桥评分作为预测值；Ridge通过二范数正则化建立线性回归模型；XGBoost采用梯度提升树进行预测[17][18]。</w:t>
      </w:r>
    </w:p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Ridge与XGBoost使用相同的10个输入特征：目标年份桥龄、预测间隔、最近一次全桥评分、最近一次上部结构评分、上部结构历史缺失标记、桥梁长度、桥面净宽，以及三个功能类型指示变量。所有评分特征均从预测起点及以前的真实检测记录中提取，不使用目标年份的实际评分。上部结构历史信息不足时的处理方法及完整模型参数见补充材料S-M1。</w:t>
      </w:r>
    </w:p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为避免后续年份的信息进入模型训练，采用2018—2024年扩展时间窗口进行验证。当测试年份为</w:t>
      </w:r>
      <m:oMath>
        <m:r>
          <w:rPr>
            <w:rFonts w:ascii="Latin Modern Math" w:hAnsi="Latin Modern Math"/>
          </w:rPr>
          <m:t>y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时，仅使用目标观测年份早于</w:t>
      </w:r>
      <m:oMath>
        <m:r>
          <w:rPr>
            <w:rFonts w:ascii="Latin Modern Math" w:hAnsi="Latin Modern Math"/>
          </w:rPr>
          <m:t>y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的样本训练模型，并在该年实际取得的检测记录上检验预测结果，共获得216条时间外测试记录。与随机划分训练集和测试集相比，该方法更符合利用已有检测信息预测后续状态的实际应用顺序[12]。</w:t>
      </w:r>
    </w:p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缺失值处理和特征标准化参数均由当期训练集估计，不使用外层测试数据调整模型超参数。Ridge的正则化参数固定为10，XGBoost采用固定的浅层树设置，具体参数见补充材料S-M1。预测评分限制在</w:t>
      </w:r>
      <m:oMath>
        <m:d>
          <m:dPr>
            <m:begChr m:val="["/>
            <m:endChr m:val="]"/>
            <m:sepChr m:val=""/>
            <m:grow/>
          </m:dPr>
          <m:e>
            <m:r>
              <w:rPr>
                <w:rFonts w:ascii="Latin Modern Math" w:hAnsi="Latin Modern Math"/>
              </w:rPr>
              <m:t>0</m:t>
            </m:r>
            <m:r>
              <m:rPr>
                <m:sty m:val="p"/>
              </m:rPr>
              <w:rPr>
                <w:rFonts w:ascii="Latin Modern Math" w:hAnsi="Latin Modern Math"/>
              </w:rPr>
              <m:t>,</m:t>
            </m:r>
            <m:r>
              <w:rPr>
                <w:rFonts w:ascii="Latin Modern Math" w:hAnsi="Latin Modern Math"/>
              </w:rPr>
              <m:t>100</m:t>
            </m:r>
          </m:e>
        </m:d>
      </m:oMath>
      <w:r>
        <w:rPr>
          <w:rFonts w:ascii="Times New Roman" w:hAnsi="Times New Roman" w:eastAsia="Noto Serif CJK SC"/>
          <w:color w:val="000000"/>
          <w:sz w:val="24"/>
        </w:rPr>
        <w:t xml:space="preserve">范围内。</w:t>
      </w:r>
    </w:p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采用均方根误差（root mean square error，RMSE）、平均绝对误差（mean absolute error，MAE）、决定系数</w:t>
      </w:r>
      <m:oMath>
        <m:sSup>
          <m:e>
            <m:r>
              <w:rPr>
                <w:rFonts w:ascii="Latin Modern Math" w:hAnsi="Latin Modern Math"/>
              </w:rPr>
              <m:t>R</m:t>
            </m:r>
          </m:e>
          <m:sup>
            <m:r>
              <w:rPr>
                <w:rFonts w:ascii="Latin Modern Math" w:hAnsi="Latin Modern Math"/>
              </w:rPr>
              <m:t>2</m:t>
            </m:r>
          </m:sup>
        </m:sSup>
      </m:oMath>
      <w:r>
        <w:rPr>
          <w:rFonts w:ascii="Times New Roman" w:hAnsi="Times New Roman" w:eastAsia="Noto Serif CJK SC"/>
          <w:color w:val="000000"/>
          <w:sz w:val="24"/>
        </w:rPr>
        <w:t xml:space="preserve">和Pearson相关系数</w:t>
      </w:r>
      <m:oMath>
        <m:r>
          <w:rPr>
            <w:rFonts w:ascii="Latin Modern Math" w:hAnsi="Latin Modern Math"/>
          </w:rPr>
          <m:t>r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评价预测结果。所有模型均在相同的测试记录上计算评价指标，主要依据预测误差比较其表现。回顾性验证采用实际发生的后续检测间隔；规划应用则需事先确定预测目标年份及相应预测跨度。</w:t>
      </w:r>
    </w:p>
    <w:bookmarkEnd w:id="24"/>
    <w:bookmarkStart w:id="25" w:name="规划初始状态构建"/>
    <w:p>
      <w:pPr>
        <w:pStyle w:val="Heading3"/>
        <w:keepNext/>
        <w:keepLines/>
        <w:widowControl/>
        <w:spacing w:before="240" w:after="160"/>
        <w:ind w:firstLine="0"/>
      </w:pPr>
      <w:r>
        <w:rPr>
          <w:rFonts w:ascii="Times New Roman" w:hAnsi="Times New Roman" w:eastAsia="Noto Sans CJK SC"/>
          <w:b/>
          <w:color w:val="000000"/>
          <w:sz w:val="26"/>
        </w:rPr>
        <w:t xml:space="preserve">2.3 规划初始状态构建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在评分预测与时间外验证的基础上，构建LOCF和Ridge两套2024年候选规划初始状态，用于比较不同状态估计方法对后续养护安排的影响。两套方案均保留6个检测单元在2024年的真实检测评分；对于其余53个缺少同期实测评分的单元，LOCF方案沿用最近一次真实全桥评分，Ridge方案则根据历史检测信息预测2024年全桥评分。</w:t>
      </w:r>
    </w:p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Ridge初值模型采用目标观测年份早于2024年的322条状态转移记录进行训练，沿用第2.2节的特征提取与预处理方法，不引入待估单元在2024年的同期评分。逐单元记录规划初值的来源及最近一次真实检测年份，并在后续各资源情景中保持初始状态不变。</w:t>
      </w:r>
    </w:p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两套规划初始状态均保留相同的6个实测评分，其余53个评分分别由LOCF和Ridge估计。缺测单元缺乏2024年的同期真实评分，因此两套方案仅表示不同方法构建的候选规划起点，不能将其中一套作为另一套的实测参照。</w:t>
      </w:r>
    </w:p>
    <w:bookmarkEnd w:id="25"/>
    <w:bookmarkStart w:id="26" w:name="养护规划模型"/>
    <w:p>
      <w:pPr>
        <w:pStyle w:val="Heading3"/>
        <w:keepNext/>
        <w:keepLines/>
        <w:widowControl/>
        <w:spacing w:before="240" w:after="160"/>
        <w:ind w:firstLine="0"/>
      </w:pPr>
      <w:r>
        <w:rPr>
          <w:rFonts w:ascii="Times New Roman" w:hAnsi="Times New Roman" w:eastAsia="Noto Sans CJK SC"/>
          <w:b/>
          <w:color w:val="000000"/>
          <w:sz w:val="26"/>
        </w:rPr>
        <w:t xml:space="preserve">2.4 养护规划模型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基于上述候选规划初始状态，建立养护时机规划模型。考虑到现有检测资料覆盖2012—2024年，且年评分下降量和养护后评分恢复量尚未由真实养护事件校准，将规划期设为2025—2039年，以减少较长时间外推假设对规划结果的累积影响。单元编号记为</w:t>
      </w:r>
      <m:oMath>
        <m:r>
          <w:rPr>
            <w:rFonts w:ascii="Latin Modern Math" w:hAnsi="Latin Modern Math"/>
          </w:rPr>
          <m:t>i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，规划年份记为</w:t>
      </w:r>
      <m:oMath>
        <m:r>
          <w:rPr>
            <w:rFonts w:ascii="Latin Modern Math" w:hAnsi="Latin Modern Math"/>
          </w:rPr>
          <m:t>t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；</w:t>
      </w:r>
      <m:oMath>
        <m:r>
          <w:rPr>
            <w:rFonts w:ascii="Latin Modern Math" w:hAnsi="Latin Modern Math"/>
          </w:rPr>
          <m:t>S</m:t>
        </m:r>
        <m:d>
          <m:dPr>
            <m:begChr m:val="("/>
            <m:endChr m:val=")"/>
            <m:sepChr m:val=""/>
            <m:grow/>
          </m:dPr>
          <m:e>
            <m:r>
              <w:rPr>
                <w:rFonts w:ascii="Latin Modern Math" w:hAnsi="Latin Modern Math"/>
              </w:rPr>
              <m:t>i</m:t>
            </m:r>
            <m:r>
              <m:rPr>
                <m:sty m:val="p"/>
              </m:rPr>
              <w:rPr>
                <w:rFonts w:ascii="Latin Modern Math" w:hAnsi="Latin Modern Math"/>
              </w:rPr>
              <m:t>,</m:t>
            </m:r>
            <m:r>
              <w:rPr>
                <w:rFonts w:ascii="Latin Modern Math" w:hAnsi="Latin Modern Math"/>
              </w:rPr>
              <m:t>t</m:t>
            </m:r>
          </m:e>
        </m:d>
      </m:oMath>
      <w:r>
        <w:rPr>
          <w:rFonts w:ascii="Times New Roman" w:hAnsi="Times New Roman" w:eastAsia="Noto Serif CJK SC"/>
          <w:color w:val="000000"/>
          <w:sz w:val="24"/>
        </w:rPr>
        <w:t xml:space="preserve">表示年末评分，</w:t>
      </w:r>
      <m:oMath>
        <m:sSub>
          <m:e>
            <m:r>
              <w:rPr>
                <w:rFonts w:ascii="Latin Modern Math" w:hAnsi="Latin Modern Math"/>
              </w:rPr>
              <m:t>S</m:t>
            </m:r>
          </m:e>
          <m:sub>
            <m:r>
              <m:rPr>
                <m:sty m:val="p"/>
              </m:rPr>
              <w:rPr>
                <w:rFonts w:ascii="Latin Modern Math" w:hAnsi="Latin Modern Math"/>
              </w:rPr>
              <m:t>pre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w:rPr>
                <w:rFonts w:ascii="Latin Modern Math" w:hAnsi="Latin Modern Math"/>
              </w:rPr>
              <m:t>i</m:t>
            </m:r>
            <m:r>
              <m:rPr>
                <m:sty m:val="p"/>
              </m:rPr>
              <w:rPr>
                <w:rFonts w:ascii="Latin Modern Math" w:hAnsi="Latin Modern Math"/>
              </w:rPr>
              <m:t>,</m:t>
            </m:r>
            <m:r>
              <w:rPr>
                <w:rFonts w:ascii="Latin Modern Math" w:hAnsi="Latin Modern Math"/>
              </w:rPr>
              <m:t>t</m:t>
            </m:r>
          </m:e>
        </m:d>
      </m:oMath>
      <w:r>
        <w:rPr>
          <w:rFonts w:ascii="Times New Roman" w:hAnsi="Times New Roman" w:eastAsia="Noto Serif CJK SC"/>
          <w:color w:val="000000"/>
          <w:sz w:val="24"/>
        </w:rPr>
        <w:t xml:space="preserve">表示当年评分下降后、养护前的评分，</w:t>
      </w:r>
      <m:oMath>
        <m:r>
          <w:rPr>
            <w:rFonts w:ascii="Latin Modern Math" w:hAnsi="Latin Modern Math"/>
          </w:rPr>
          <m:t>x</m:t>
        </m:r>
        <m:d>
          <m:dPr>
            <m:begChr m:val="("/>
            <m:endChr m:val=")"/>
            <m:sepChr m:val=""/>
            <m:grow/>
          </m:dPr>
          <m:e>
            <m:r>
              <w:rPr>
                <w:rFonts w:ascii="Latin Modern Math" w:hAnsi="Latin Modern Math"/>
              </w:rPr>
              <m:t>i</m:t>
            </m:r>
            <m:r>
              <m:rPr>
                <m:sty m:val="p"/>
              </m:rPr>
              <w:rPr>
                <w:rFonts w:ascii="Latin Modern Math" w:hAnsi="Latin Modern Math"/>
              </w:rPr>
              <m:t>,</m:t>
            </m:r>
            <m:r>
              <w:rPr>
                <w:rFonts w:ascii="Latin Modern Math" w:hAnsi="Latin Modern Math"/>
              </w:rPr>
              <m:t>t</m:t>
            </m:r>
          </m:e>
        </m:d>
        <m:r>
          <m:rPr>
            <m:sty m:val="p"/>
          </m:rPr>
          <w:rPr>
            <w:rFonts w:ascii="Latin Modern Math" w:hAnsi="Latin Modern Math"/>
          </w:rPr>
          <m:t>∈{</m:t>
        </m:r>
        <m:r>
          <w:rPr>
            <w:rFonts w:ascii="Latin Modern Math" w:hAnsi="Latin Modern Math"/>
          </w:rPr>
          <m:t>0</m:t>
        </m:r>
        <m:r>
          <m:rPr>
            <m:sty m:val="p"/>
          </m:rPr>
          <w:rPr>
            <w:rFonts w:ascii="Latin Modern Math" w:hAnsi="Latin Modern Math"/>
          </w:rPr>
          <m:t>,</m:t>
        </m:r>
        <m:r>
          <w:rPr>
            <w:rFonts w:ascii="Latin Modern Math" w:hAnsi="Latin Modern Math"/>
          </w:rPr>
          <m:t>1</m:t>
        </m:r>
        <m:r>
          <m:rPr>
            <m:sty m:val="p"/>
          </m:rPr>
          <w:rPr>
            <w:rFonts w:ascii="Latin Modern Math" w:hAnsi="Latin Modern Math"/>
          </w:rPr>
          <m:t>}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表示是否实施养护。起始评分</w:t>
      </w:r>
      <m:oMath>
        <m:r>
          <w:rPr>
            <w:rFonts w:ascii="Latin Modern Math" w:hAnsi="Latin Modern Math"/>
          </w:rPr>
          <m:t>S</m:t>
        </m:r>
        <m:d>
          <m:dPr>
            <m:begChr m:val="("/>
            <m:endChr m:val=")"/>
            <m:sepChr m:val=""/>
            <m:grow/>
          </m:dPr>
          <m:e>
            <m:r>
              <w:rPr>
                <w:rFonts w:ascii="Latin Modern Math" w:hAnsi="Latin Modern Math"/>
              </w:rPr>
              <m:t>i</m:t>
            </m:r>
            <m:r>
              <m:rPr>
                <m:sty m:val="p"/>
              </m:rPr>
              <w:rPr>
                <w:rFonts w:ascii="Latin Modern Math" w:hAnsi="Latin Modern Math"/>
              </w:rPr>
              <m:t>,</m:t>
            </m:r>
            <m:r>
              <w:rPr>
                <w:rFonts w:ascii="Latin Modern Math" w:hAnsi="Latin Modern Math"/>
              </w:rPr>
              <m:t>2024</m:t>
            </m:r>
          </m:e>
        </m:d>
      </m:oMath>
      <w:r>
        <w:rPr>
          <w:rFonts w:ascii="Times New Roman" w:hAnsi="Times New Roman" w:eastAsia="Noto Serif CJK SC"/>
          <w:color w:val="000000"/>
          <w:sz w:val="24"/>
        </w:rPr>
        <w:t xml:space="preserve">取对应的候选规划初值。</w:t>
      </w:r>
    </w:p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模型不区分具体养护工艺，将预防性养护抽象为一类统一的状态改善行动。养护后评分恢复量</w:t>
      </w:r>
      <m:oMath>
        <m:r>
          <w:rPr>
            <w:rFonts w:ascii="Latin Modern Math" w:hAnsi="Latin Modern Math"/>
          </w:rPr>
          <m:t>R</m:t>
        </m:r>
        <m:r>
          <m:rPr>
            <m:sty m:val="p"/>
          </m:rPr>
          <w:rPr>
            <w:rFonts w:ascii="Latin Modern Math" w:hAnsi="Latin Modern Math"/>
          </w:rPr>
          <m:t>=</m:t>
        </m:r>
        <m:r>
          <w:rPr>
            <w:rFonts w:ascii="Latin Modern Math" w:hAnsi="Latin Modern Math"/>
          </w:rPr>
          <m:t>6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，单位为分，仅作为情景参数用于比较不同规划条件下的养护时机，不对应某一种具体工程措施的实测效果。年评分下降量记为</w:t>
      </w:r>
      <m:oMath>
        <m:r>
          <w:rPr>
            <w:rFonts w:ascii="Latin Modern Math" w:hAnsi="Latin Modern Math"/>
          </w:rPr>
          <m:t>d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，参考情景取</w:t>
      </w:r>
      <m:oMath>
        <m:r>
          <w:rPr>
            <w:rFonts w:ascii="Latin Modern Math" w:hAnsi="Latin Modern Math"/>
          </w:rPr>
          <m:t>d</m:t>
        </m:r>
        <m:r>
          <m:rPr>
            <m:sty m:val="p"/>
          </m:rPr>
          <w:rPr>
            <w:rFonts w:ascii="Latin Modern Math" w:hAnsi="Latin Modern Math"/>
          </w:rPr>
          <m:t>=</m:t>
        </m:r>
        <m:r>
          <w:rPr>
            <w:rFonts w:ascii="Latin Modern Math" w:hAnsi="Latin Modern Math"/>
          </w:rPr>
          <m:t>0.65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分/年。年度递推依次进行评分下降、实施养护和年末评分计算：</w:t>
      </w:r>
    </w:p>
    <w:p>
      <w:pPr>
        <w:pStyle w:val="BodyText"/>
        <w:keepLines/>
        <w:widowControl/>
        <w:spacing w:before="100" w:after="140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Latin Modern Math" w:hAnsi="Latin Modern Math"/>
                </w:rPr>
                <m:t>S</m:t>
              </m:r>
            </m:e>
            <m:sub>
              <m:r>
                <m:rPr>
                  <m:sty m:val="p"/>
                </m:rPr>
                <w:rPr>
                  <w:rFonts w:ascii="Latin Modern Math" w:hAnsi="Latin Modern Math"/>
                </w:rPr>
                <m:t>pre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Latin Modern Math" w:hAnsi="Latin Modern Math"/>
                </w:rPr>
                <m:t>i</m:t>
              </m:r>
              <m:r>
                <m:rPr>
                  <m:sty m:val="p"/>
                </m:rPr>
                <w:rPr>
                  <w:rFonts w:ascii="Latin Modern Math" w:hAnsi="Latin Modern Math"/>
                </w:rPr>
                <m:t>,</m:t>
              </m:r>
              <m:r>
                <w:rPr>
                  <w:rFonts w:ascii="Latin Modern Math" w:hAnsi="Latin Modern Math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/>
            </w:rPr>
            <m:t>=max</m:t>
          </m:r>
          <m:d>
            <m:dPr>
              <m:begChr m:val="{"/>
              <m:endChr m:val="}"/>
              <m:sepChr m:val=""/>
              <m:grow/>
            </m:dPr>
            <m:e>
              <m:r>
                <w:rPr>
                  <w:rFonts w:ascii="Latin Modern Math" w:hAnsi="Latin Modern Math"/>
                </w:rPr>
                <m:t>0</m:t>
              </m:r>
              <m:r>
                <m:rPr>
                  <m:sty m:val="p"/>
                </m:rPr>
                <w:rPr>
                  <w:rFonts w:ascii="Latin Modern Math" w:hAnsi="Latin Modern Math"/>
                </w:rPr>
                <m:t>,</m:t>
              </m:r>
              <m:r>
                <w:rPr>
                  <w:rFonts w:ascii="Latin Modern Math" w:hAnsi="Latin Modern Math"/>
                </w:rPr>
                <m:t> S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Latin Modern Math" w:hAnsi="Latin Modern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Latin Modern Math" w:hAnsi="Latin Modern Math"/>
                    </w:rPr>
                    <m:t>,</m:t>
                  </m:r>
                  <m:r>
                    <w:rPr>
                      <w:rFonts w:ascii="Latin Modern Math" w:hAnsi="Latin Modern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Latin Modern Math" w:hAnsi="Latin Modern Math"/>
                    </w:rPr>
                    <m:t>−</m:t>
                  </m:r>
                  <m:r>
                    <w:rPr>
                      <w:rFonts w:ascii="Latin Modern Math" w:hAnsi="Latin Modern Math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/>
                </w:rPr>
                <m:t>−</m:t>
              </m:r>
              <m:r>
                <w:rPr>
                  <w:rFonts w:ascii="Latin Modern Math" w:hAnsi="Latin Modern Math"/>
                </w:rPr>
                <m:t>d</m:t>
              </m:r>
            </m:e>
          </m:d>
          <m:r>
            <m:rPr>
              <m:sty m:val="p"/>
            </m:rPr>
            <w:rPr>
              <w:rFonts w:ascii="Latin Modern Math" w:hAnsi="Latin Modern Math"/>
            </w:rPr>
            <m:t>,</m:t>
          </m:r>
        </m:oMath>
      </m:oMathPara>
    </w:p>
    <w:p>
      <w:pPr>
        <w:pStyle w:val="FirstParagraph"/>
        <w:keepLines/>
        <w:widowControl/>
        <w:spacing w:before="100" w:after="140"/>
        <w:ind w:firstLine="0"/>
        <w:jc w:val="center"/>
      </w:pPr>
      <m:oMathPara>
        <m:oMathParaPr>
          <m:jc m:val="center"/>
        </m:oMathParaPr>
        <m:oMath>
          <m:r>
            <w:rPr>
              <w:rFonts w:ascii="Latin Modern Math" w:hAnsi="Latin Modern Math"/>
            </w:rP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Latin Modern Math" w:hAnsi="Latin Modern Math"/>
                </w:rPr>
                <m:t>i</m:t>
              </m:r>
              <m:r>
                <m:rPr>
                  <m:sty m:val="p"/>
                </m:rPr>
                <w:rPr>
                  <w:rFonts w:ascii="Latin Modern Math" w:hAnsi="Latin Modern Math"/>
                </w:rPr>
                <m:t>,</m:t>
              </m:r>
              <m:r>
                <w:rPr>
                  <w:rFonts w:ascii="Latin Modern Math" w:hAnsi="Latin Modern Math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/>
            </w:rPr>
            <m:t>=min</m:t>
          </m:r>
          <m:d>
            <m:dPr>
              <m:begChr m:val="{"/>
              <m:endChr m:val="}"/>
              <m:sepChr m:val=""/>
              <m:grow/>
            </m:dPr>
            <m:e>
              <m:r>
                <w:rPr>
                  <w:rFonts w:ascii="Latin Modern Math" w:hAnsi="Latin Modern Math"/>
                </w:rPr>
                <m:t>100</m:t>
              </m:r>
              <m:r>
                <m:rPr>
                  <m:sty m:val="p"/>
                </m:rPr>
                <w:rPr>
                  <w:rFonts w:ascii="Latin Modern Math" w:hAnsi="Latin Modern Math"/>
                </w:rPr>
                <m:t>,</m:t>
              </m:r>
              <m:r>
                <w:rPr>
                  <w:rFonts w:ascii="Latin Modern Math" w:hAnsi="Latin Modern Math"/>
                </w:rPr>
                <m:t> </m:t>
              </m:r>
              <m:sSub>
                <m:e>
                  <m:r>
                    <w:rPr>
                      <w:rFonts w:ascii="Latin Modern Math" w:hAnsi="Latin Modern Math"/>
                    </w:rPr>
                    <m:t>S</m:t>
                  </m:r>
                </m:e>
                <m:sub>
                  <m:r>
                    <m:rPr>
                      <m:sty m:val="p"/>
                    </m:rPr>
                    <w:rPr>
                      <w:rFonts w:ascii="Latin Modern Math" w:hAnsi="Latin Modern Math"/>
                    </w:rPr>
                    <m:t>pre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Latin Modern Math" w:hAnsi="Latin Modern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Latin Modern Math" w:hAnsi="Latin Modern Math"/>
                    </w:rPr>
                    <m:t>,</m:t>
                  </m:r>
                  <m:r>
                    <w:rPr>
                      <w:rFonts w:ascii="Latin Modern Math" w:hAnsi="Latin Modern Math"/>
                    </w:rPr>
                    <m:t>t</m:t>
                  </m:r>
                </m:e>
              </m:d>
              <m:r>
                <m:rPr>
                  <m:sty m:val="p"/>
                </m:rPr>
                <w:rPr>
                  <w:rFonts w:ascii="Latin Modern Math" w:hAnsi="Latin Modern Math"/>
                </w:rPr>
                <m:t>+</m:t>
              </m:r>
              <m:r>
                <w:rPr>
                  <w:rFonts w:ascii="Latin Modern Math" w:hAnsi="Latin Modern Math"/>
                </w:rPr>
                <m:t>R 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Latin Modern Math" w:hAnsi="Latin Modern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Latin Modern Math" w:hAnsi="Latin Modern Math"/>
                    </w:rPr>
                    <m:t>,</m:t>
                  </m:r>
                  <m:r>
                    <w:rPr>
                      <w:rFonts w:ascii="Latin Modern Math" w:hAnsi="Latin Modern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Latin Modern Math" w:hAnsi="Latin Modern Math"/>
            </w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每年最多养护8个单元，同一单元相邻行动至少间隔3年，15年内最多养护3次。依据JTG/T 5230—2026评分区间，将年末评分映射为1—5类[19]。规划要求所有单元每年年末评分</w:t>
      </w:r>
      <m:oMath>
        <m:r>
          <m:rPr>
            <m:sty m:val="p"/>
          </m:rPr>
          <w:rPr>
            <w:rFonts w:ascii="Latin Modern Math" w:hAnsi="Latin Modern Math"/>
          </w:rPr>
          <m:t>&gt;</m:t>
        </m:r>
        <m:r>
          <w:rPr>
            <w:rFonts w:ascii="Latin Modern Math" w:hAnsi="Latin Modern Math"/>
          </w:rPr>
          <m:t>60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，且至少57/59个单元评分</w:t>
      </w:r>
      <m:oMath>
        <m:r>
          <m:rPr>
            <m:sty m:val="p"/>
          </m:rPr>
          <w:rPr>
            <w:rFonts w:ascii="Latin Modern Math" w:hAnsi="Latin Modern Math"/>
          </w:rPr>
          <m:t>&gt;</m:t>
        </m:r>
        <m:r>
          <w:rPr>
            <w:rFonts w:ascii="Latin Modern Math" w:hAnsi="Latin Modern Math"/>
          </w:rPr>
          <m:t>75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；其中，57/59为本文设置的管理目标。评分区间映射不代替完整技术状况评定。主要情景与约束见表2，评分区间及数值容差见补充材料S-M2。</w:t>
      </w:r>
    </w:p>
    <w:p>
      <w:pPr>
        <w:pStyle w:val="BodyText"/>
        <w:keepNext/>
        <w:keepLines/>
        <w:widowControl/>
        <w:spacing w:line="276" w:lineRule="auto" w:before="60" w:after="100"/>
        <w:ind w:firstLine="0"/>
        <w:jc w:val="center"/>
      </w:pPr>
      <w:r>
        <w:rPr>
          <w:rFonts w:ascii="Times New Roman" w:hAnsi="Times New Roman" w:eastAsia="Noto Serif CJK SC"/>
          <w:b/>
          <w:color w:val="000000"/>
          <w:sz w:val="21"/>
        </w:rPr>
        <w:t xml:space="preserve">表2 规划参数及其性质</w:t>
      </w:r>
    </w:p>
    <w:tbl>
      <w:tblPr>
        <w:tblStyle w:val="Table"/>
        <w:tblW w:type="pct" w:w="5000"/>
        <w:jc w:val="center"/>
        <w:tblLayout w:type="fixed"/>
        <w:tblBorders>
          <w:top w:val="single" w:sz="12" w:color="000000"/>
          <w:left w:val="nil"/>
          <w:bottom w:val="single" w:sz="12" w:color="000000"/>
          <w:right w:val="nil"/>
          <w:insideH w:val="nil"/>
          <w:insideV w:val="nil"/>
        </w:tblBorders>
      </w:tblPr>
      <w:tblGrid>
        <w:gridCol w:w="2098"/>
        <w:gridCol w:w="3969"/>
        <w:gridCol w:w="3118"/>
      </w:tblGrid>
      <w:tr>
        <w:trPr>
          <w:tblHeader w:val="on"/>
          <w:cantSplit/>
          <w:tblHeader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pStyle w:val="Compact"/>
              <w:keepNext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/>
                <w:color w:val="000000"/>
                <w:sz w:val="21"/>
              </w:rPr>
              <w:t xml:space="preserve">参数或条件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pStyle w:val="Compact"/>
              <w:keepNext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/>
                <w:color w:val="000000"/>
                <w:sz w:val="21"/>
              </w:rPr>
              <w:t xml:space="preserve">设置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12" w:color="000000"/>
              <w:left w:val="nil"/>
              <w:bottom w:val="single" w:sz="8" w:color="000000"/>
              <w:right w:val="nil"/>
            </w:tcBorders>
          </w:tcPr>
          <w:p>
            <w:pPr>
              <w:pStyle w:val="Compact"/>
              <w:keepNext/>
              <w:keepLines/>
              <w:spacing w:line="269" w:lineRule="auto" w:before="40" w:after="40"/>
              <w:ind w:firstLine="0"/>
              <w:jc w:val="center"/>
            </w:pPr>
            <w:r>
              <w:rPr>
                <w:rFonts w:ascii="Times New Roman" w:hAnsi="Times New Roman" w:eastAsia="Noto Serif CJK SC"/>
                <w:b/>
                <w:color w:val="000000"/>
                <w:sz w:val="21"/>
              </w:rPr>
              <w:t xml:space="preserve">性质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规划范围与目标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2025—2039年，15年；59单元等权</w:t>
            </w:r>
            <m:oMath>
              <m:r>
                <w:rPr>
                  <w:rFonts w:ascii="Latin Modern Math" w:hAnsi="Latin Modern Math"/>
                </w:rPr>
                <m:t>J</m:t>
              </m:r>
            </m:oMath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长期情景规划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年评分下降量</w:t>
            </w:r>
            <m:oMath>
              <m:r>
                <w:rPr>
                  <w:rFonts w:ascii="Latin Modern Math" w:hAnsi="Latin Modern Math"/>
                </w:rPr>
                <m:t>d</m:t>
              </m:r>
            </m:oMath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0.65分/年；敏感性0.45、0.85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情景参数，未由养护事件识别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养护后评分恢复量</w:t>
            </w:r>
            <m:oMath>
              <m:r>
                <w:rPr>
                  <w:rFonts w:ascii="Latin Modern Math" w:hAnsi="Latin Modern Math"/>
                </w:rPr>
                <m:t>R</m:t>
              </m:r>
            </m:oMath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6分，评分上限100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情景参数，未用前后记录校准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归一化养护资源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m:oMath>
              <m:sSub>
                <m:e>
                  <m:r>
                    <w:rPr>
                      <w:rFonts w:ascii="Latin Modern Math" w:hAnsi="Latin Modern Math"/>
                    </w:rPr>
                    <m:t>r</m:t>
                  </m:r>
                </m:e>
                <m:sub>
                  <m:r>
                    <w:rPr>
                      <w:rFonts w:ascii="Latin Modern Math" w:hAnsi="Latin Modern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/>
                </w:rPr>
                <m:t>=</m:t>
              </m:r>
              <m:sSub>
                <m:e>
                  <m:r>
                    <w:rPr>
                      <w:rFonts w:ascii="Latin Modern Math" w:hAnsi="Latin Modern Math"/>
                    </w:rPr>
                    <m:t>A</m:t>
                  </m:r>
                </m:e>
                <m:sub>
                  <m:r>
                    <w:rPr>
                      <w:rFonts w:ascii="Latin Modern Math" w:hAnsi="Latin Modern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/>
                </w:rPr>
                <m:t>/</m:t>
              </m:r>
              <m:sSub>
                <m:e>
                  <m:r>
                    <w:rPr>
                      <w:rFonts w:ascii="Latin Modern Math" w:hAnsi="Latin Modern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Latin Modern Math" w:hAnsi="Latin Modern Math"/>
                    </w:rPr>
                    <m:t>total</m:t>
                  </m:r>
                </m:sub>
              </m:sSub>
            </m:oMath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；</w:t>
            </w:r>
            <m:oMath>
              <m:sSub>
                <m:e>
                  <m:r>
                    <w:rPr>
                      <w:rFonts w:ascii="Latin Modern Math" w:hAnsi="Latin Modern Math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Latin Modern Math" w:hAnsi="Latin Modern Math"/>
                    </w:rPr>
                    <m:t>used</m:t>
                  </m:r>
                </m:sub>
              </m:sSub>
              <m:r>
                <m:rPr>
                  <m:sty m:val="p"/>
                </m:rPr>
                <w:rPr>
                  <w:rFonts w:ascii="Latin Modern Math" w:hAnsi="Latin Modern Math"/>
                </w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Latin Modern Math" w:hAnsi="Latin Modern Math"/>
                    </w:rPr>
                    <m:t>t</m:t>
                  </m:r>
                </m:sub>
                <m:sup>
                  <m:r>
                    <w:rPr>
                      <w:rFonts w:ascii="Latin Modern Math" w:hAnsi="Latin Modern Math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w:rPr>
                          <w:rFonts w:ascii="Latin Modern Math" w:hAnsi="Latin Modern Math"/>
                        </w:rPr>
                        <m:t>i</m:t>
                      </m:r>
                    </m:sub>
                    <m:sup>
                      <m:r>
                        <w:rPr>
                          <w:rFonts w:ascii="Latin Modern Math" w:hAnsi="Latin Modern Math"/>
                        </w:rPr>
                        <m:t>​</m:t>
                      </m:r>
                    </m:sup>
                    <m:e>
                      <m:r>
                        <w:rPr>
                          <w:rFonts w:ascii="Latin Modern Math" w:hAnsi="Latin Modern Math"/>
                        </w:rPr>
                        <m:t>x</m:t>
                      </m:r>
                    </m:e>
                  </m:nary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w:rPr>
                      <w:rFonts w:ascii="Latin Modern Math" w:hAnsi="Latin Modern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Latin Modern Math" w:hAnsi="Latin Modern Math"/>
                    </w:rPr>
                    <m:t>,</m:t>
                  </m:r>
                  <m:r>
                    <w:rPr>
                      <w:rFonts w:ascii="Latin Modern Math" w:hAnsi="Latin Modern Math"/>
                    </w:rPr>
                    <m:t>t</m:t>
                  </m:r>
                </m:e>
              </m:d>
              <m:sSub>
                <m:e>
                  <m:r>
                    <w:rPr>
                      <w:rFonts w:ascii="Latin Modern Math" w:hAnsi="Latin Modern Math"/>
                    </w:rPr>
                    <m:t>r</m:t>
                  </m:r>
                </m:e>
                <m:sub>
                  <m:r>
                    <w:rPr>
                      <w:rFonts w:ascii="Latin Modern Math" w:hAnsi="Latin Modern Math"/>
                    </w:rPr>
                    <m:t>i</m:t>
                  </m:r>
                </m:sub>
              </m:sSub>
            </m:oMath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面积占比；无量纲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年末评分管理条件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全部</w:t>
            </w:r>
            <m:oMath>
              <m:r>
                <m:rPr>
                  <m:sty m:val="p"/>
                </m:rPr>
                <w:rPr>
                  <w:rFonts w:ascii="Latin Modern Math" w:hAnsi="Latin Modern Math"/>
                </w:rPr>
                <m:t>&gt;</m:t>
              </m:r>
              <m:r>
                <w:rPr>
                  <w:rFonts w:ascii="Latin Modern Math" w:hAnsi="Latin Modern Math"/>
                </w:rPr>
                <m:t>60</m:t>
              </m:r>
            </m:oMath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；至少57/59个</w:t>
            </w:r>
            <m:oMath>
              <m:r>
                <m:rPr>
                  <m:sty m:val="p"/>
                </m:rPr>
                <w:rPr>
                  <w:rFonts w:ascii="Latin Modern Math" w:hAnsi="Latin Modern Math"/>
                </w:rPr>
                <m:t>&gt;</m:t>
              </m:r>
              <m:r>
                <w:rPr>
                  <w:rFonts w:ascii="Latin Modern Math" w:hAnsi="Latin Modern Math"/>
                </w:rPr>
                <m:t>75</m:t>
              </m:r>
            </m:oMath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本文管理目标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年度养护数量上限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8个单元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规划能力约束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同单元间隔/累计次数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至少3年；最多3次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规划行动约束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求解设置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种群30；10000次候选评价；每主要情景30次运行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固定计算设置</w:t>
            </w:r>
          </w:p>
        </w:tc>
      </w:tr>
      <w:tr>
        <w:trPr>
          <w:cantSplit/>
        </w:trPr>
        <w:tc>
          <w:tcPr>
            <w:tcW w:type="dxa" w:w="209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公共候选检查</w:t>
            </w:r>
          </w:p>
        </w:tc>
        <w:tc>
          <w:tcPr>
            <w:tcW w:type="dxa" w:w="3969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当前情景重新核验的规则与已知可行候选</w:t>
            </w:r>
          </w:p>
        </w:tc>
        <w:tc>
          <w:tcPr>
            <w:tcW w:type="dxa" w:w="3118"/>
            <w:vAlign w:val="center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nil"/>
              <w:left w:val="nil"/>
              <w:bottom w:val="single" w:sz="12" w:color="000000"/>
              <w:right w:val="nil"/>
            </w:tcBorders>
          </w:tcPr>
          <w:p>
            <w:pPr>
              <w:pStyle w:val="Compact"/>
              <w:keepNext w:val="0"/>
              <w:keepLines/>
              <w:spacing w:line="269" w:lineRule="auto" w:before="40" w:after="40"/>
              <w:ind w:firstLine="0"/>
              <w:jc w:val="left"/>
            </w:pPr>
            <w:r>
              <w:rPr>
                <w:rFonts w:ascii="Times New Roman" w:hAnsi="Times New Roman" w:eastAsia="Noto Serif CJK SC"/>
                <w:b w:val="0"/>
                <w:color w:val="000000"/>
                <w:sz w:val="21"/>
              </w:rPr>
              <w:t xml:space="preserve">当前条件复算后选一个初始成员</w:t>
            </w:r>
          </w:p>
        </w:tc>
      </w:tr>
    </w:tbl>
    <w:p>
      <w:pPr>
        <w:pStyle w:val="BodyText"/>
        <w:widowControl/>
        <w:spacing w:line="276" w:lineRule="auto"/>
        <w:ind w:firstLine="0"/>
      </w:pPr>
      <w:r>
        <w:rPr>
          <w:rFonts w:ascii="Times New Roman" w:hAnsi="Times New Roman" w:eastAsia="Noto Serif CJK SC"/>
          <w:color w:val="000000"/>
          <w:sz w:val="21"/>
        </w:rPr>
        <w:t xml:space="preserve">注：评分区间映射依据JTG/T 5230—2026；至少57/59个单元评分</w:t>
      </w:r>
      <m:oMath>
        <m:r>
          <m:rPr>
            <m:sty m:val="p"/>
          </m:rPr>
          <w:rPr>
            <w:rFonts w:ascii="Latin Modern Math" w:hAnsi="Latin Modern Math"/>
          </w:rPr>
          <m:t>&gt;</m:t>
        </m:r>
        <m:r>
          <w:rPr>
            <w:rFonts w:ascii="Latin Modern Math" w:hAnsi="Latin Modern Math"/>
          </w:rPr>
          <m:t>75</m:t>
        </m:r>
      </m:oMath>
      <w:r>
        <w:rPr>
          <w:rFonts w:ascii="Times New Roman" w:hAnsi="Times New Roman" w:eastAsia="Noto Serif CJK SC"/>
          <w:color w:val="000000"/>
          <w:sz w:val="21"/>
        </w:rPr>
        <w:t xml:space="preserve">的比例由本文设置。</w:t>
      </w:r>
    </w:p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以单元长度与净宽的乘积表示面积</w:t>
      </w:r>
      <m:oMath>
        <m:sSub>
          <m:e>
            <m:r>
              <w:rPr>
                <w:rFonts w:ascii="Latin Modern Math" w:hAnsi="Latin Modern Math"/>
              </w:rPr>
              <m:t>A</m:t>
            </m:r>
          </m:e>
          <m:sub>
            <m:r>
              <w:rPr>
                <w:rFonts w:ascii="Latin Modern Math" w:hAnsi="Latin Modern Math"/>
              </w:rPr>
              <m:t>i</m:t>
            </m:r>
          </m:sub>
        </m:sSub>
      </m:oMath>
      <w:r>
        <w:rPr>
          <w:rFonts w:ascii="Times New Roman" w:hAnsi="Times New Roman" w:eastAsia="Noto Serif CJK SC"/>
          <w:color w:val="000000"/>
          <w:sz w:val="24"/>
        </w:rPr>
        <w:t xml:space="preserve">，全部单元总面积为</w:t>
      </w:r>
      <m:oMath>
        <m:sSub>
          <m:e>
            <m:r>
              <w:rPr>
                <w:rFonts w:ascii="Latin Modern Math" w:hAnsi="Latin Modern Math"/>
              </w:rPr>
              <m:t>A</m:t>
            </m:r>
          </m:e>
          <m:sub>
            <m:r>
              <m:rPr>
                <m:sty m:val="p"/>
              </m:rPr>
              <w:rPr>
                <w:rFonts w:ascii="Latin Modern Math" w:hAnsi="Latin Modern Math"/>
              </w:rPr>
              <m:t>total</m:t>
            </m:r>
          </m:sub>
        </m:sSub>
      </m:oMath>
      <w:r>
        <w:rPr>
          <w:rFonts w:ascii="Times New Roman" w:hAnsi="Times New Roman" w:eastAsia="Noto Serif CJK SC"/>
          <w:color w:val="000000"/>
          <w:sz w:val="24"/>
        </w:rPr>
        <w:t xml:space="preserve">，单次行动的面积占比资源为</w:t>
      </w:r>
      <m:oMath>
        <m:sSub>
          <m:e>
            <m:r>
              <w:rPr>
                <w:rFonts w:ascii="Latin Modern Math" w:hAnsi="Latin Modern Math"/>
              </w:rPr>
              <m:t>r</m:t>
            </m:r>
          </m:e>
          <m:sub>
            <m:r>
              <w:rPr>
                <w:rFonts w:ascii="Latin Modern Math" w:hAnsi="Latin Modern Math"/>
              </w:rPr>
              <m:t>i</m:t>
            </m:r>
          </m:sub>
        </m:sSub>
      </m:oMath>
      <w:r>
        <w:rPr>
          <w:rFonts w:ascii="Times New Roman" w:hAnsi="Times New Roman" w:eastAsia="Noto Serif CJK SC"/>
          <w:color w:val="000000"/>
          <w:sz w:val="24"/>
        </w:rPr>
        <w:t xml:space="preserve">。累计归一化资源使用量记为</w:t>
      </w:r>
      <m:oMath>
        <m:sSub>
          <m:e>
            <m:r>
              <w:rPr>
                <w:rFonts w:ascii="Latin Modern Math" w:hAnsi="Latin Modern Math"/>
              </w:rPr>
              <m:t>B</m:t>
            </m:r>
          </m:e>
          <m:sub>
            <m:r>
              <m:rPr>
                <m:sty m:val="p"/>
              </m:rPr>
              <w:rPr>
                <w:rFonts w:ascii="Latin Modern Math" w:hAnsi="Latin Modern Math"/>
              </w:rPr>
              <m:t>used</m:t>
            </m:r>
          </m:sub>
        </m:sSub>
      </m:oMath>
      <w:r>
        <w:rPr>
          <w:rFonts w:ascii="Times New Roman" w:hAnsi="Times New Roman" w:eastAsia="Noto Serif CJK SC"/>
          <w:color w:val="000000"/>
          <w:sz w:val="24"/>
        </w:rPr>
        <w:t xml:space="preserve">，给定的累计资源上限记为</w:t>
      </w:r>
      <m:oMath>
        <m:r>
          <w:rPr>
            <w:rFonts w:ascii="Latin Modern Math" w:hAnsi="Latin Modern Math"/>
          </w:rPr>
          <m:t>B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：</w:t>
      </w:r>
    </w:p>
    <w:p>
      <w:pPr>
        <w:pStyle w:val="BodyText"/>
        <w:keepLines/>
        <w:widowControl/>
        <w:spacing w:before="100" w:after="140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Latin Modern Math" w:hAnsi="Latin Modern Math"/>
                </w:rPr>
                <m:t>r</m:t>
              </m:r>
            </m:e>
            <m:sub>
              <m:r>
                <w:rPr>
                  <w:rFonts w:ascii="Latin Modern Math" w:hAnsi="Latin Modern Math"/>
                </w:rPr>
                <m:t>i</m:t>
              </m:r>
            </m:sub>
          </m:sSub>
          <m:r>
            <m:rPr>
              <m:sty m:val="p"/>
            </m:rPr>
            <w:rPr>
              <w:rFonts w:ascii="Latin Modern Math" w:hAnsi="Latin Modern Math"/>
            </w:rPr>
            <m:t>=</m:t>
          </m:r>
          <m:f>
            <m:fPr>
              <m:type m:val="bar"/>
            </m:fPr>
            <m:num>
              <m:sSub>
                <m:e>
                  <m:r>
                    <w:rPr>
                      <w:rFonts w:ascii="Latin Modern Math" w:hAnsi="Latin Modern Math"/>
                    </w:rPr>
                    <m:t>A</m:t>
                  </m:r>
                </m:e>
                <m:sub>
                  <m:r>
                    <w:rPr>
                      <w:rFonts w:ascii="Latin Modern Math" w:hAnsi="Latin Modern Math"/>
                    </w:rPr>
                    <m:t>i</m:t>
                  </m:r>
                </m:sub>
              </m:sSub>
            </m:num>
            <m:den>
              <m:sSub>
                <m:e>
                  <m:r>
                    <w:rPr>
                      <w:rFonts w:ascii="Latin Modern Math" w:hAnsi="Latin Modern Math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Latin Modern Math" w:hAnsi="Latin Modern Math"/>
                    </w:rPr>
                    <m:t>total</m:t>
                  </m:r>
                </m:sub>
              </m:sSub>
            </m:den>
          </m:f>
          <m:r>
            <m:rPr>
              <m:sty m:val="p"/>
            </m:rPr>
            <w:rPr>
              <w:rFonts w:ascii="Latin Modern Math" w:hAnsi="Latin Modern Math"/>
            </w:rPr>
            <m:t>,</m:t>
          </m:r>
          <m:r>
            <w:rPr>
              <w:rFonts w:ascii="Latin Modern Math" w:hAnsi="Latin Modern Math"/>
            </w:rPr>
            <m:t>  </m:t>
          </m:r>
          <m:sSub>
            <m:e>
              <m:r>
                <w:rPr>
                  <w:rFonts w:ascii="Latin Modern Math" w:hAnsi="Latin Modern Math"/>
                </w:rPr>
                <m:t>A</m:t>
              </m:r>
            </m:e>
            <m:sub>
              <m:r>
                <m:rPr>
                  <m:sty m:val="p"/>
                </m:rPr>
                <w:rPr>
                  <w:rFonts w:ascii="Latin Modern Math" w:hAnsi="Latin Modern Math"/>
                </w:rPr>
                <m:t>total</m:t>
              </m:r>
            </m:sub>
          </m:sSub>
          <m:r>
            <m:rPr>
              <m:sty m:val="p"/>
            </m:rPr>
            <w:rPr>
              <w:rFonts w:ascii="Latin Modern Math" w:hAnsi="Latin Modern Math"/>
            </w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Latin Modern Math" w:hAnsi="Latin Modern Math"/>
                </w:rPr>
                <m:t>i</m:t>
              </m:r>
            </m:sub>
            <m:sup>
              <m:r>
                <w:rPr>
                  <w:rFonts w:ascii="Latin Modern Math" w:hAnsi="Latin Modern Math"/>
                </w:rPr>
                <m:t>​</m:t>
              </m:r>
            </m:sup>
            <m:e>
              <m:sSub>
                <m:e>
                  <m:r>
                    <w:rPr>
                      <w:rFonts w:ascii="Latin Modern Math" w:hAnsi="Latin Modern Math"/>
                    </w:rPr>
                    <m:t>A</m:t>
                  </m:r>
                </m:e>
                <m:sub>
                  <m:r>
                    <w:rPr>
                      <w:rFonts w:ascii="Latin Modern Math" w:hAnsi="Latin Modern Math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Latin Modern Math" w:hAnsi="Latin Modern Math"/>
            </w:rPr>
            <m:t>,</m:t>
          </m:r>
        </m:oMath>
      </m:oMathPara>
    </w:p>
    <w:p>
      <w:pPr>
        <w:pStyle w:val="FirstParagraph"/>
        <w:keepLines/>
        <w:widowControl/>
        <w:spacing w:before="100" w:after="140"/>
        <w:ind w:firstLine="0"/>
        <w:jc w:val="center"/>
      </w:pPr>
      <m:oMathPara>
        <m:oMathParaPr>
          <m:jc m:val="center"/>
        </m:oMathParaPr>
        <m:oMath>
          <m:sSub>
            <m:e>
              <m:r>
                <w:rPr>
                  <w:rFonts w:ascii="Latin Modern Math" w:hAnsi="Latin Modern Math"/>
                </w:rPr>
                <m:t>B</m:t>
              </m:r>
            </m:e>
            <m:sub>
              <m:r>
                <m:rPr>
                  <m:sty m:val="p"/>
                </m:rPr>
                <w:rPr>
                  <w:rFonts w:ascii="Latin Modern Math" w:hAnsi="Latin Modern Math"/>
                </w:rPr>
                <m:t>used</m:t>
              </m:r>
            </m:sub>
          </m:sSub>
          <m:r>
            <m:rPr>
              <m:sty m:val="p"/>
            </m:rPr>
            <w:rPr>
              <w:rFonts w:ascii="Latin Modern Math" w:hAnsi="Latin Modern Math"/>
            </w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w:rPr>
                  <w:rFonts w:ascii="Latin Modern Math" w:hAnsi="Latin Modern Math"/>
                </w:rPr>
                <m:t>t</m:t>
              </m:r>
            </m:sub>
            <m:sup>
              <m:r>
                <w:rPr>
                  <w:rFonts w:ascii="Latin Modern Math" w:hAnsi="Latin Modern Math"/>
                </w:rP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w:rPr>
                      <w:rFonts w:ascii="Latin Modern Math" w:hAnsi="Latin Modern Math"/>
                    </w:rPr>
                    <m:t>i</m:t>
                  </m:r>
                </m:sub>
                <m:sup>
                  <m:r>
                    <w:rPr>
                      <w:rFonts w:ascii="Latin Modern Math" w:hAnsi="Latin Modern Math"/>
                    </w:rPr>
                    <m:t>​</m:t>
                  </m:r>
                </m:sup>
                <m:e>
                  <m:r>
                    <w:rPr>
                      <w:rFonts w:ascii="Latin Modern Math" w:hAnsi="Latin Modern Math"/>
                    </w:rPr>
                    <m:t>x</m:t>
                  </m:r>
                </m:e>
              </m:nary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Latin Modern Math" w:hAnsi="Latin Modern Math"/>
                </w:rPr>
                <m:t>i</m:t>
              </m:r>
              <m:r>
                <m:rPr>
                  <m:sty m:val="p"/>
                </m:rPr>
                <w:rPr>
                  <w:rFonts w:ascii="Latin Modern Math" w:hAnsi="Latin Modern Math"/>
                </w:rPr>
                <m:t>,</m:t>
              </m:r>
              <m:r>
                <w:rPr>
                  <w:rFonts w:ascii="Latin Modern Math" w:hAnsi="Latin Modern Math"/>
                </w:rPr>
                <m:t>t</m:t>
              </m:r>
            </m:e>
          </m:d>
          <m:sSub>
            <m:e>
              <m:r>
                <w:rPr>
                  <w:rFonts w:ascii="Latin Modern Math" w:hAnsi="Latin Modern Math"/>
                </w:rPr>
                <m:t>r</m:t>
              </m:r>
            </m:e>
            <m:sub>
              <m:r>
                <w:rPr>
                  <w:rFonts w:ascii="Latin Modern Math" w:hAnsi="Latin Modern Math"/>
                </w:rPr>
                <m:t>i</m:t>
              </m:r>
            </m:sub>
          </m:sSub>
          <m:r>
            <m:rPr>
              <m:sty m:val="p"/>
            </m:rPr>
            <w:rPr>
              <w:rFonts w:ascii="Latin Modern Math" w:hAnsi="Latin Modern Math"/>
            </w:rPr>
            <m:t>≤</m:t>
          </m:r>
          <m:r>
            <w:rPr>
              <w:rFonts w:ascii="Latin Modern Math" w:hAnsi="Latin Modern Math"/>
            </w:rPr>
            <m:t>B</m:t>
          </m:r>
          <m:r>
            <m:rPr>
              <m:sty m:val="p"/>
            </m:rPr>
            <w:rPr>
              <w:rFonts w:ascii="Latin Modern Math" w:hAnsi="Latin Modern Math"/>
            </w:rPr>
            <m:t>.</m:t>
          </m:r>
        </m:oMath>
      </m:oMathPara>
    </w:p>
    <w:p>
      <w:pPr>
        <w:pStyle w:val="FirstParagraph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该资源指标与评分无关，同一单元重复养护时重复计量。</w:t>
      </w:r>
      <m:oMath>
        <m:r>
          <w:rPr>
            <w:rFonts w:ascii="Latin Modern Math" w:hAnsi="Latin Modern Math"/>
          </w:rPr>
          <m:t>B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是无量纲相对资源上限；</w:t>
      </w:r>
      <m:oMath>
        <m:r>
          <w:rPr>
            <w:rFonts w:ascii="Latin Modern Math" w:hAnsi="Latin Modern Math"/>
          </w:rPr>
          <m:t>B</m:t>
        </m:r>
        <m:r>
          <m:rPr>
            <m:sty m:val="p"/>
          </m:rPr>
          <w:rPr>
            <w:rFonts w:ascii="Latin Modern Math" w:hAnsi="Latin Modern Math"/>
          </w:rPr>
          <m:t>=</m:t>
        </m:r>
        <m:r>
          <w:rPr>
            <w:rFonts w:ascii="Latin Modern Math" w:hAnsi="Latin Modern Math"/>
          </w:rPr>
          <m:t>1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表示允许的累计处理面积等于全部检测单元总面积的一倍，不要求各单元恰好处理一次。该面积尺度不能直接换算为实际养护支出。</w:t>
      </w:r>
    </w:p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长期平均评分记为</w:t>
      </w:r>
      <m:oMath>
        <m:r>
          <w:rPr>
            <w:rFonts w:ascii="Latin Modern Math" w:hAnsi="Latin Modern Math"/>
          </w:rPr>
          <m:t>J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，取59个单元、15个规划年份共885个年末评分的算术平均，各单元权重相同：</w:t>
      </w:r>
    </w:p>
    <w:p>
      <w:pPr>
        <w:pStyle w:val="BodyText"/>
        <w:keepLines/>
        <w:widowControl/>
        <w:spacing w:before="100" w:after="140"/>
        <w:ind w:firstLine="0"/>
        <w:jc w:val="center"/>
      </w:pPr>
      <m:oMathPara>
        <m:oMathParaPr>
          <m:jc m:val="center"/>
        </m:oMathParaPr>
        <m:oMath>
          <m:r>
            <w:rPr>
              <w:rFonts w:ascii="Latin Modern Math" w:hAnsi="Latin Modern Math"/>
            </w:rPr>
            <m:t>J</m:t>
          </m:r>
          <m:r>
            <m:rPr>
              <m:sty m:val="p"/>
            </m:rPr>
            <w:rPr>
              <w:rFonts w:ascii="Latin Modern Math" w:hAnsi="Latin Modern Math"/>
            </w:rPr>
            <m:t>=</m:t>
          </m:r>
          <m:f>
            <m:fPr>
              <m:type m:val="bar"/>
            </m:fPr>
            <m:num>
              <m:r>
                <w:rPr>
                  <w:rFonts w:ascii="Latin Modern Math" w:hAnsi="Latin Modern Math"/>
                </w:rPr>
                <m:t>1</m:t>
              </m:r>
            </m:num>
            <m:den>
              <m:r>
                <w:rPr>
                  <w:rFonts w:ascii="Latin Modern Math" w:hAnsi="Latin Modern Math"/>
                </w:rPr>
                <m:t>59</m:t>
              </m:r>
              <m:r>
                <m:rPr>
                  <m:sty m:val="p"/>
                </m:rPr>
                <w:rPr>
                  <w:rFonts w:ascii="Latin Modern Math" w:hAnsi="Latin Modern Math"/>
                </w:rPr>
                <m:t>×</m:t>
              </m:r>
              <m:r>
                <w:rPr>
                  <w:rFonts w:ascii="Latin Modern Math" w:hAnsi="Latin Modern Math"/>
                </w:rPr>
                <m:t>15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w:rPr>
                  <w:rFonts w:ascii="Latin Modern Math" w:hAnsi="Latin Modern Math"/>
                </w:rPr>
                <m:t>t</m:t>
              </m:r>
              <m:r>
                <m:rPr>
                  <m:sty m:val="p"/>
                </m:rPr>
                <w:rPr>
                  <w:rFonts w:ascii="Latin Modern Math" w:hAnsi="Latin Modern Math"/>
                </w:rPr>
                <m:t>=</m:t>
              </m:r>
              <m:r>
                <w:rPr>
                  <w:rFonts w:ascii="Latin Modern Math" w:hAnsi="Latin Modern Math"/>
                </w:rPr>
                <m:t>2025</m:t>
              </m:r>
            </m:sub>
            <m:sup>
              <m:r>
                <w:rPr>
                  <w:rFonts w:ascii="Latin Modern Math" w:hAnsi="Latin Modern Math"/>
                </w:rPr>
                <m:t>2039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w:rPr>
                      <w:rFonts w:ascii="Latin Modern Math" w:hAnsi="Latin Modern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Latin Modern Math" w:hAnsi="Latin Modern Math"/>
                    </w:rPr>
                    <m:t>=</m:t>
                  </m:r>
                  <m:r>
                    <w:rPr>
                      <w:rFonts w:ascii="Latin Modern Math" w:hAnsi="Latin Modern Math"/>
                    </w:rPr>
                    <m:t>1</m:t>
                  </m:r>
                </m:sub>
                <m:sup>
                  <m:r>
                    <w:rPr>
                      <w:rFonts w:ascii="Latin Modern Math" w:hAnsi="Latin Modern Math"/>
                    </w:rPr>
                    <m:t>59</m:t>
                  </m:r>
                </m:sup>
                <m:e>
                  <m:r>
                    <w:rPr>
                      <w:rFonts w:ascii="Latin Modern Math" w:hAnsi="Latin Modern Math"/>
                    </w:rPr>
                    <m:t>S</m:t>
                  </m:r>
                </m:e>
              </m:nary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w:rPr>
                  <w:rFonts w:ascii="Latin Modern Math" w:hAnsi="Latin Modern Math"/>
                </w:rPr>
                <m:t>i</m:t>
              </m:r>
              <m:r>
                <m:rPr>
                  <m:sty m:val="p"/>
                </m:rPr>
                <w:rPr>
                  <w:rFonts w:ascii="Latin Modern Math" w:hAnsi="Latin Modern Math"/>
                </w:rPr>
                <m:t>,</m:t>
              </m:r>
              <m:r>
                <w:rPr>
                  <w:rFonts w:ascii="Latin Modern Math" w:hAnsi="Latin Modern Math"/>
                </w:rPr>
                <m:t>t</m:t>
              </m:r>
            </m:e>
          </m:d>
          <m:r>
            <m:rPr>
              <m:sty m:val="p"/>
            </m:rPr>
            <w:rPr>
              <w:rFonts w:ascii="Latin Modern Math" w:hAnsi="Latin Modern Math"/>
            </w:rPr>
            <m:t>.</m:t>
          </m:r>
        </m:oMath>
      </m:oMathPara>
    </w:p>
    <w:bookmarkEnd w:id="26"/>
    <w:bookmarkStart w:id="27" w:name="金豺优化算法与养护排程求解"/>
    <w:p>
      <w:pPr>
        <w:pStyle w:val="Heading3"/>
        <w:keepNext/>
        <w:keepLines/>
        <w:widowControl/>
        <w:spacing w:before="240" w:after="160"/>
        <w:ind w:firstLine="0"/>
      </w:pPr>
      <w:r>
        <w:rPr>
          <w:rFonts w:ascii="Times New Roman" w:hAnsi="Times New Roman" w:eastAsia="Noto Sans CJK SC"/>
          <w:b/>
          <w:color w:val="000000"/>
          <w:sz w:val="26"/>
        </w:rPr>
        <w:t xml:space="preserve">2.5 金豺优化算法与养护排程求解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在上述模型与约束下，采用标准金豺优化算法（Golden Jackal Optimization, GJO）搜索养护排程[20]，并以可行性优先原则处理约束[21]。种群规模为30，每次运行进行10000次候选评价。初始化时，对规则候选与已知可行候选按当前情景重新核验，并选择一个作为初始成员。行动年份编码、超出年度能力时的接纳规则及完整求解设置见补充材料S-M3。</w:t>
      </w:r>
    </w:p>
    <w:p>
      <w:pPr>
        <w:pStyle w:val="BodyText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为确定共同资源范围，在相同初值、参数及约束条件下，分别搜索LOCF的最低可行资源方案与无累计资源上限的高状态方案，得到最好已知最低可行资源</w:t>
      </w:r>
      <m:oMath>
        <m:sSub>
          <m:e>
            <m:r>
              <w:rPr>
                <w:rFonts w:ascii="Latin Modern Math" w:hAnsi="Latin Modern Math"/>
              </w:rPr>
              <m:t>B</m:t>
            </m:r>
          </m:e>
          <m:sub>
            <m:r>
              <m:rPr>
                <m:sty m:val="p"/>
              </m:rPr>
              <w:rPr>
                <w:rFonts w:ascii="Latin Modern Math" w:hAnsi="Latin Modern Math"/>
              </w:rPr>
              <m:t>min</m:t>
            </m:r>
          </m:sub>
        </m:sSub>
        <m:r>
          <m:rPr>
            <m:sty m:val="p"/>
          </m:rPr>
          <w:rPr>
            <w:rFonts w:ascii="Latin Modern Math" w:hAnsi="Latin Modern Math"/>
          </w:rPr>
          <m:t>=</m:t>
        </m:r>
        <m:r>
          <w:rPr>
            <w:rFonts w:ascii="Latin Modern Math" w:hAnsi="Latin Modern Math"/>
          </w:rPr>
          <m:t>0.013815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和高状态参考资源</w:t>
      </w:r>
      <m:oMath>
        <m:sSub>
          <m:e>
            <m:r>
              <w:rPr>
                <w:rFonts w:ascii="Latin Modern Math" w:hAnsi="Latin Modern Math"/>
              </w:rPr>
              <m:t>B</m:t>
            </m:r>
          </m:e>
          <m:sub>
            <m:r>
              <m:rPr>
                <m:sty m:val="p"/>
              </m:rPr>
              <w:rPr>
                <w:rFonts w:ascii="Latin Modern Math" w:hAnsi="Latin Modern Math"/>
              </w:rPr>
              <m:t>ref</m:t>
            </m:r>
          </m:sub>
        </m:sSub>
        <m:r>
          <m:rPr>
            <m:sty m:val="p"/>
          </m:rPr>
          <w:rPr>
            <w:rFonts w:ascii="Latin Modern Math" w:hAnsi="Latin Modern Math"/>
          </w:rPr>
          <m:t>=</m:t>
        </m:r>
        <m:r>
          <w:rPr>
            <w:rFonts w:ascii="Latin Modern Math" w:hAnsi="Latin Modern Math"/>
          </w:rPr>
          <m:t>2.295642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。两者均为有限搜索的参考值。Ridge另作最低资源需求诊断，不用于建立第二条资源轴。</w:t>
      </w:r>
    </w:p>
    <w:bookmarkEnd w:id="27"/>
    <w:bookmarkStart w:id="28" w:name="优化试验设计与评价指标"/>
    <w:p>
      <w:pPr>
        <w:pStyle w:val="Heading3"/>
        <w:keepNext/>
        <w:keepLines/>
        <w:widowControl/>
        <w:spacing w:before="240" w:after="160"/>
        <w:ind w:firstLine="0"/>
      </w:pPr>
      <w:r>
        <w:rPr>
          <w:rFonts w:ascii="Times New Roman" w:hAnsi="Times New Roman" w:eastAsia="Noto Sans CJK SC"/>
          <w:b/>
          <w:color w:val="000000"/>
          <w:sz w:val="26"/>
        </w:rPr>
        <w:t xml:space="preserve">2.6 优化试验设计与评价指标</w:t>
      </w:r>
    </w:p>
    <w:p>
      <w:pPr>
        <w:pStyle w:val="FirstParagraph"/>
        <w:widowControl/>
        <w:jc w:val="both"/>
      </w:pPr>
      <w:r>
        <w:rPr>
          <w:rFonts w:ascii="Times New Roman" w:hAnsi="Times New Roman" w:eastAsia="Noto Serif CJK SC"/>
          <w:color w:val="000000"/>
          <w:sz w:val="24"/>
        </w:rPr>
        <w:t xml:space="preserve">两套候选规划初始状态使用同一组绝对资源上限。设计变量</w:t>
      </w:r>
      <m:oMath>
        <m:r>
          <w:rPr>
            <w:rFonts w:ascii="Latin Modern Math" w:hAnsi="Latin Modern Math"/>
          </w:rPr>
          <m:t>ρ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取</w:t>
      </w:r>
      <m:oMath>
        <m:r>
          <w:rPr>
            <w:rFonts w:ascii="Latin Modern Math" w:hAnsi="Latin Modern Math"/>
          </w:rPr>
          <m:t>0</m:t>
        </m:r>
        <m:r>
          <m:rPr>
            <m:sty m:val="p"/>
          </m:rPr>
          <w:rPr>
            <w:rFonts w:ascii="Latin Modern Math" w:hAnsi="Latin Modern Math"/>
          </w:rPr>
          <m:t>,</m:t>
        </m:r>
        <m:r>
          <w:rPr>
            <w:rFonts w:ascii="Latin Modern Math" w:hAnsi="Latin Modern Math"/>
          </w:rPr>
          <m:t> 1</m:t>
        </m:r>
        <m:r>
          <m:rPr>
            <m:sty m:val="p"/>
          </m:rPr>
          <w:rPr>
            <w:rFonts w:ascii="Latin Modern Math" w:hAnsi="Latin Modern Math"/>
          </w:rPr>
          <m:t>/</m:t>
        </m:r>
        <m:r>
          <w:rPr>
            <w:rFonts w:ascii="Latin Modern Math" w:hAnsi="Latin Modern Math"/>
          </w:rPr>
          <m:t>6</m:t>
        </m:r>
        <m:r>
          <m:rPr>
            <m:sty m:val="p"/>
          </m:rPr>
          <w:rPr>
            <w:rFonts w:ascii="Latin Modern Math" w:hAnsi="Latin Modern Math"/>
          </w:rPr>
          <m:t>,</m:t>
        </m:r>
        <m:r>
          <w:rPr>
            <w:rFonts w:ascii="Latin Modern Math" w:hAnsi="Latin Modern Math"/>
          </w:rPr>
          <m:t> </m:t>
        </m:r>
        <m:r>
          <m:rPr>
            <m:sty m:val="p"/>
          </m:rPr>
          <w:rPr>
            <w:rFonts w:ascii="Latin Modern Math" w:hAnsi="Latin Modern Math"/>
          </w:rPr>
          <m:t>…,</m:t>
        </m:r>
        <m:r>
          <w:rPr>
            <w:rFonts w:ascii="Latin Modern Math" w:hAnsi="Latin Modern Math"/>
          </w:rPr>
          <m:t> 1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，按</w:t>
      </w:r>
      <m:oMath>
        <m:r>
          <w:rPr>
            <w:rFonts w:ascii="Latin Modern Math" w:hAnsi="Latin Modern Math"/>
          </w:rPr>
          <m:t>B</m:t>
        </m:r>
        <m:r>
          <m:rPr>
            <m:sty m:val="p"/>
          </m:rPr>
          <w:rPr>
            <w:rFonts w:ascii="Latin Modern Math" w:hAnsi="Latin Modern Math"/>
          </w:rPr>
          <m:t>=</m:t>
        </m:r>
        <m:sSub>
          <m:e>
            <m:r>
              <w:rPr>
                <w:rFonts w:ascii="Latin Modern Math" w:hAnsi="Latin Modern Math"/>
              </w:rPr>
              <m:t>B</m:t>
            </m:r>
          </m:e>
          <m:sub>
            <m:r>
              <m:rPr>
                <m:sty m:val="p"/>
              </m:rPr>
              <w:rPr>
                <w:rFonts w:ascii="Latin Modern Math" w:hAnsi="Latin Modern Math"/>
              </w:rPr>
              <m:t>min</m:t>
            </m:r>
          </m:sub>
        </m:sSub>
        <m:r>
          <m:rPr>
            <m:sty m:val="p"/>
          </m:rPr>
          <w:rPr>
            <w:rFonts w:ascii="Latin Modern Math" w:hAnsi="Latin Modern Math"/>
          </w:rPr>
          <m:t>+</m:t>
        </m:r>
        <m:r>
          <w:rPr>
            <w:rFonts w:ascii="Latin Modern Math" w:hAnsi="Latin Modern Math"/>
          </w:rPr>
          <m:t>ρ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w:rPr>
                    <w:rFonts w:ascii="Latin Modern Math" w:hAnsi="Latin Modern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Latin Modern Math" w:hAnsi="Latin Modern Math"/>
                  </w:rPr>
                  <m:t>ref</m:t>
                </m:r>
              </m:sub>
            </m:sSub>
            <m:r>
              <m:rPr>
                <m:sty m:val="p"/>
              </m:rPr>
              <w:rPr>
                <w:rFonts w:ascii="Latin Modern Math" w:hAnsi="Latin Modern Math"/>
              </w:rPr>
              <m:t>−</m:t>
            </m:r>
            <m:sSub>
              <m:e>
                <m:r>
                  <w:rPr>
                    <w:rFonts w:ascii="Latin Modern Math" w:hAnsi="Latin Modern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Latin Modern Math" w:hAnsi="Latin Modern Math"/>
                  </w:rPr>
                  <m:t>min</m:t>
                </m:r>
              </m:sub>
            </m:sSub>
          </m:e>
        </m:d>
      </m:oMath>
      <w:r>
        <w:rPr>
          <w:rFonts w:ascii="Times New Roman" w:hAnsi="Times New Roman" w:eastAsia="Noto Serif CJK SC"/>
          <w:color w:val="000000"/>
          <w:sz w:val="24"/>
        </w:rPr>
        <w:t xml:space="preserve">等距设置7档资源上限，即0.013815、0.394120、0.774424、1.154729、1.535033、1.915337和2.295642；计算采用完整精度，正文保留6位小数，预先选定中档</w:t>
      </w:r>
      <m:oMath>
        <m:r>
          <w:rPr>
            <w:rFonts w:ascii="Latin Modern Math" w:hAnsi="Latin Modern Math"/>
          </w:rPr>
          <m:t>B</m:t>
        </m:r>
        <m:r>
          <m:rPr>
            <m:sty m:val="p"/>
          </m:rPr>
          <w:rPr>
            <w:rFonts w:ascii="Latin Modern Math" w:hAnsi="Latin Modern Math"/>
          </w:rPr>
          <m:t>=</m:t>
        </m:r>
        <m:r>
          <w:rPr>
            <w:rFonts w:ascii="Latin Modern Math" w:hAnsi="Latin Modern Math"/>
          </w:rPr>
          <m:t>1.154729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作为代表资源水平。端点选择及完整精度见补充材料S-M2。每个主要情景以30个随机种子分别运行，每档按相同随机种子组成30对LOCF与Ridge排程。年评分下降量敏感性分析固定LOCF初值和该绝对资源上限，仅将</w:t>
      </w:r>
      <m:oMath>
        <m:r>
          <w:rPr>
            <w:rFonts w:ascii="Latin Modern Math" w:hAnsi="Latin Modern Math"/>
          </w:rPr>
          <m:t>d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设为0.45、0.65、0.85分/年，其余设定不变。将相同规划初始状态、相同</w:t>
      </w:r>
      <m:oMath>
        <m:r>
          <w:rPr>
            <w:rFonts w:ascii="Latin Modern Math" w:hAnsi="Latin Modern Math"/>
          </w:rPr>
          <m:t>d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下零行动递推的长期平均评分记为</w:t>
      </w:r>
      <m:oMath>
        <m:sSub>
          <m:e>
            <m:r>
              <w:rPr>
                <w:rFonts w:ascii="Latin Modern Math" w:hAnsi="Latin Modern Math"/>
              </w:rPr>
              <m:t>J</m:t>
            </m:r>
          </m:e>
          <m:sub>
            <m:r>
              <w:rPr>
                <w:rFonts w:ascii="Latin Modern Math" w:hAnsi="Latin Modern Math"/>
              </w:rPr>
              <m:t>0</m:t>
            </m:r>
          </m:sub>
        </m:sSub>
      </m:oMath>
      <w:r>
        <w:rPr>
          <w:rFonts w:ascii="Times New Roman" w:hAnsi="Times New Roman" w:eastAsia="Noto Serif CJK SC"/>
          <w:color w:val="000000"/>
          <w:sz w:val="24"/>
        </w:rPr>
        <w:t xml:space="preserve">，以</w:t>
      </w:r>
      <m:oMath>
        <m:r>
          <w:rPr>
            <w:rFonts w:ascii="Latin Modern Math" w:hAnsi="Latin Modern Math"/>
          </w:rPr>
          <m:t>ΔJ</m:t>
        </m:r>
        <m:r>
          <m:rPr>
            <m:sty m:val="p"/>
          </m:rPr>
          <w:rPr>
            <w:rFonts w:ascii="Latin Modern Math" w:hAnsi="Latin Modern Math"/>
          </w:rPr>
          <m:t>=</m:t>
        </m:r>
        <m:r>
          <w:rPr>
            <w:rFonts w:ascii="Latin Modern Math" w:hAnsi="Latin Modern Math"/>
          </w:rPr>
          <m:t>J</m:t>
        </m:r>
        <m:r>
          <m:rPr>
            <m:sty m:val="p"/>
          </m:rPr>
          <w:rPr>
            <w:rFonts w:ascii="Latin Modern Math" w:hAnsi="Latin Modern Math"/>
          </w:rPr>
          <m:t>−</m:t>
        </m:r>
        <m:sSub>
          <m:e>
            <m:r>
              <w:rPr>
                <w:rFonts w:ascii="Latin Modern Math" w:hAnsi="Latin Modern Math"/>
              </w:rPr>
              <m:t>J</m:t>
            </m:r>
          </m:e>
          <m:sub>
            <m:r>
              <w:rPr>
                <w:rFonts w:ascii="Latin Modern Math" w:hAnsi="Latin Modern Math"/>
              </w:rPr>
              <m:t>0</m:t>
            </m:r>
          </m:sub>
        </m:sSub>
      </m:oMath>
      <w:r>
        <w:rPr>
          <w:rFonts w:ascii="Times New Roman" w:hAnsi="Times New Roman" w:eastAsia="Noto Serif CJK SC"/>
          <w:color w:val="000000"/>
          <w:sz w:val="24"/>
        </w:rPr>
        <w:t xml:space="preserve">表示养护增益，零行动基线不要求满足管理条件。仅对可行结果报告均值、样本标准差（SD）与最好值，并汇总2039年平均评分、规划期最低评分、行动数和资源使用率</w:t>
      </w:r>
      <m:oMath>
        <m:sSub>
          <m:e>
            <m:r>
              <w:rPr>
                <w:rFonts w:ascii="Latin Modern Math" w:hAnsi="Latin Modern Math"/>
              </w:rPr>
              <m:t>B</m:t>
            </m:r>
          </m:e>
          <m:sub>
            <m:r>
              <m:rPr>
                <m:sty m:val="p"/>
              </m:rPr>
              <w:rPr>
                <w:rFonts w:ascii="Latin Modern Math" w:hAnsi="Latin Modern Math"/>
              </w:rPr>
              <m:t>used</m:t>
            </m:r>
          </m:sub>
        </m:sSub>
        <m:r>
          <m:rPr>
            <m:sty m:val="p"/>
          </m:rPr>
          <w:rPr>
            <w:rFonts w:ascii="Latin Modern Math" w:hAnsi="Latin Modern Math"/>
          </w:rPr>
          <m:t>/</m:t>
        </m:r>
        <m:r>
          <w:rPr>
            <w:rFonts w:ascii="Latin Modern Math" w:hAnsi="Latin Modern Math"/>
          </w:rPr>
          <m:t>B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。以“单元—年份”为行动集合元素，采用交集与并集的行动数之比计算Jaccard相似系数；首次养护年份平均绝对差仅在每对排程双方均养护的单元中计算，再汇总配对层面的分布。未养护年份及无共同养护单元的配对统计记为缺失，并报告实际样本数；配对差统一取Ridge减LOCF。代表方案取预定资源档30次可行运行中</w:t>
      </w:r>
      <m:oMath>
        <m:r>
          <w:rPr>
            <w:rFonts w:ascii="Latin Modern Math" w:hAnsi="Latin Modern Math"/>
          </w:rPr>
          <m:t>J</m:t>
        </m:r>
      </m:oMath>
      <w:r>
        <w:rPr>
          <w:rFonts w:ascii="Times New Roman" w:hAnsi="Times New Roman" w:eastAsia="Noto Serif CJK SC"/>
          <w:color w:val="000000"/>
          <w:sz w:val="24"/>
        </w:rPr>
        <w:t xml:space="preserve">最高者，并列选择规则见补充材料S-M3。全部保存排程均经独立逐年复算，核对状态、资源和管理条件。</w:t>
      </w:r>
    </w:p>
    <w:bookmarkEnd w:id="28"/>
    <w:bookmarkEnd w:id="29"/>
    <w:sectPr>
      <w:pgSz w:w="11906" w:h="16838"/>
      <w:pgMar w:top="1247" w:bottom="1247" w:left="1361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Latin Modern Math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4" w:lineRule="auto" w:after="120"/>
      <w:ind w:firstLine="480"/>
    </w:pPr>
    <w:rPr>
      <w:rFonts w:ascii="Times New Roman" w:hAnsi="Times New Roman" w:eastAsia="Noto Serif CJK SC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324" w:lineRule="auto"/>
      <w:ind w:firstLine="480"/>
    </w:pPr>
    <w:rPr>
      <w:rFonts w:ascii="Times New Roman" w:hAnsi="Times New Roman" w:eastAsia="Noto Serif CJK SC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324" w:lineRule="auto" w:after="120"/>
      <w:ind w:firstLine="480"/>
    </w:pPr>
    <w:rPr>
      <w:rFonts w:ascii="Times New Roman" w:hAnsi="Times New Roman" w:eastAsia="Noto Serif CJK SC"/>
      <w:sz w:val="24"/>
    </w:rPr>
  </w:style>
  <w:style w:customStyle="1" w:styleId="Compact" w:type="paragraph">
    <w:name w:val="Compact"/>
    <w:basedOn w:val="BodyText"/>
    <w:qFormat/>
    <w:pPr>
      <w:spacing w:after="120" w:before="36" w:line="324" w:lineRule="auto"/>
      <w:ind w:firstLine="480"/>
    </w:pPr>
    <w:rPr>
      <w:rFonts w:ascii="Times New Roman" w:hAnsi="Times New Roman" w:eastAsia="Noto Serif CJK SC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数据与方法</dc:title>
  <dc:creator/>
  <dc:language>zh-CN</dc:language>
  <cp:keywords/>
  <dcterms:created xsi:type="dcterms:W3CDTF">2026-10-20T05:32:00Z</dcterms:created>
  <dcterms:modified xsi:type="dcterms:W3CDTF">2026-10-20T05:32:00Z</dcterms:modified>
  <dc:subject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