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widowControl/>
        <w:spacing w:before="1280" w:after="280" w:line="300" w:lineRule="auto"/>
        <w:jc w:val="center"/>
      </w:pPr>
      <w:r>
        <w:rPr>
          <w:rFonts w:ascii="Calibri" w:hAnsi="Calibri" w:eastAsia="Arial Unicode MS"/>
          <w:b/>
          <w:i w:val="0"/>
          <w:color w:val="A56B00"/>
          <w:sz w:val="22"/>
        </w:rPr>
        <w:t>经营计划｜非融资版</w:t>
      </w:r>
    </w:p>
    <w:p>
      <w:pPr>
        <w:spacing w:after="300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 title="熊崽电竞品牌图标" descr="蓝色熊形熊崽电竞品牌图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ongzai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before="0" w:after="60" w:line="300" w:lineRule="auto"/>
        <w:jc w:val="center"/>
      </w:pPr>
      <w:r>
        <w:rPr>
          <w:rFonts w:ascii="Calibri" w:hAnsi="Calibri" w:eastAsia="Arial Unicode MS"/>
          <w:b/>
          <w:i w:val="0"/>
          <w:color w:val="0B2545"/>
          <w:sz w:val="58"/>
        </w:rPr>
        <w:t>熊崽电竞</w:t>
      </w:r>
    </w:p>
    <w:p>
      <w:pPr>
        <w:keepLines w:val="0"/>
        <w:widowControl/>
        <w:spacing w:before="0" w:after="200" w:line="300" w:lineRule="auto"/>
        <w:jc w:val="center"/>
      </w:pPr>
      <w:r>
        <w:rPr>
          <w:rFonts w:ascii="Calibri" w:hAnsi="Calibri" w:eastAsia="Arial Unicode MS"/>
          <w:b/>
          <w:i w:val="0"/>
          <w:color w:val="2E74B5"/>
          <w:sz w:val="40"/>
        </w:rPr>
        <w:t>商业经营计划书 V2.0</w:t>
      </w:r>
    </w:p>
    <w:p>
      <w:pPr>
        <w:keepLines w:val="0"/>
        <w:widowControl/>
        <w:spacing w:before="0" w:after="560" w:line="300" w:lineRule="auto"/>
        <w:jc w:val="center"/>
      </w:pPr>
      <w:r>
        <w:rPr>
          <w:rFonts w:ascii="Calibri" w:hAnsi="Calibri" w:eastAsia="Arial Unicode MS"/>
          <w:b w:val="0"/>
          <w:i w:val="0"/>
          <w:color w:val="1F4D78"/>
          <w:sz w:val="27"/>
        </w:rPr>
        <w:t>以月度 GMV 100 万元为阶段目标的游戏陪玩平台经营方案</w:t>
      </w:r>
    </w:p>
    <w:p>
      <w:pPr>
        <w:spacing w:before="100" w:after="180" w:line="293" w:lineRule="auto"/>
        <w:ind w:left="173" w:right="173"/>
        <w:shd w:fill="FFF6DE"/>
      </w:pPr>
      <w:r>
        <w:rPr>
          <w:rFonts w:ascii="Calibri" w:hAnsi="Calibri" w:eastAsia="Arial Unicode MS"/>
          <w:b/>
          <w:color w:val="A56B00"/>
        </w:rPr>
        <w:t xml:space="preserve">数据原则  </w:t>
      </w:r>
      <w:r>
        <w:rPr>
          <w:rFonts w:ascii="Calibri" w:hAnsi="Calibri" w:eastAsia="Arial Unicode MS"/>
          <w:color w:val="172333"/>
        </w:rPr>
        <w:t>本计划不融资，不把目标当业绩，不使用未经确认的市场规模、用户量、收入或竞品份额。所有数字只来自经营者确认、内部项目文档或清晰公式推导。</w:t>
      </w:r>
    </w:p>
    <w:p>
      <w:pPr>
        <w:keepLines w:val="0"/>
        <w:widowControl/>
        <w:spacing w:before="840" w:after="60" w:line="300" w:lineRule="auto"/>
        <w:jc w:val="center"/>
      </w:pPr>
      <w:r>
        <w:rPr>
          <w:rFonts w:ascii="Calibri" w:hAnsi="Calibri" w:eastAsia="Arial Unicode MS"/>
          <w:b/>
          <w:i w:val="0"/>
          <w:color w:val="5E6D7E"/>
          <w:sz w:val="20"/>
        </w:rPr>
        <w:t>编制日期：2026 年 8 月 22 日</w:t>
      </w:r>
    </w:p>
    <w:p>
      <w:pPr>
        <w:keepLines w:val="0"/>
        <w:widowControl/>
        <w:spacing w:before="0" w:after="60" w:line="300" w:lineRule="auto"/>
        <w:jc w:val="center"/>
      </w:pPr>
      <w:r>
        <w:rPr>
          <w:rFonts w:ascii="Calibri" w:hAnsi="Calibri" w:eastAsia="Arial Unicode MS"/>
          <w:b w:val="0"/>
          <w:i w:val="0"/>
          <w:color w:val="5E6D7E"/>
          <w:sz w:val="19"/>
        </w:rPr>
        <w:t>适用范围：经营决策、产品落地、运营复盘与团队协同</w:t>
      </w:r>
    </w:p>
    <w:p>
      <w:pPr>
        <w:keepLines w:val="0"/>
        <w:widowControl/>
        <w:spacing w:before="0" w:after="120" w:line="300" w:lineRule="auto"/>
        <w:jc w:val="center"/>
      </w:pPr>
      <w:r>
        <w:rPr>
          <w:rFonts w:ascii="Calibri" w:hAnsi="Calibri" w:eastAsia="Arial Unicode MS"/>
          <w:b w:val="0"/>
          <w:i w:val="0"/>
          <w:color w:val="5E6D7E"/>
          <w:sz w:val="19"/>
        </w:rPr>
        <w:t>公司主体及负责人信息：待补充</w:t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spacing w:before="100" w:after="180" w:line="293" w:lineRule="auto"/>
        <w:ind w:left="173" w:right="173"/>
        <w:shd w:fill="E8EEF5"/>
      </w:pPr>
      <w:r>
        <w:rPr>
          <w:rFonts w:ascii="Calibri" w:hAnsi="Calibri" w:eastAsia="Arial Unicode MS"/>
          <w:b/>
          <w:color w:val="2E74B5"/>
        </w:rPr>
        <w:t xml:space="preserve">经营主线  </w:t>
      </w:r>
      <w:r>
        <w:rPr>
          <w:rFonts w:ascii="Calibri" w:hAnsi="Calibri" w:eastAsia="Arial Unicode MS"/>
          <w:color w:val="172333"/>
        </w:rPr>
        <w:t>从《和平精英》C2C 陪玩交易切入，以低门槛客单价、10% 平台抽佣、标准化履约和陪玩经营工具建立供需闭环；先实现月度 GMV 100 万元，再以可复制的供给、获客与治理模型向更多游戏和全国市场扩张。</w:t>
      </w:r>
    </w:p>
    <w:p>
      <w:pPr>
        <w:pStyle w:val="Heading2"/>
      </w:pPr>
      <w:r>
        <w:t>1.1 已确认的经营目标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7E5"/>
          <w:left w:val="single" w:sz="6" w:space="0" w:color="CBD7E5"/>
          <w:bottom w:val="single" w:sz="6" w:space="0" w:color="CBD7E5"/>
          <w:right w:val="single" w:sz="6" w:space="0" w:color="CBD7E5"/>
          <w:insideH w:val="single" w:sz="6" w:space="0" w:color="CBD7E5"/>
          <w:insideV w:val="single" w:sz="6" w:space="0" w:color="CBD7E5"/>
        </w:tblBorders>
      </w:tblPr>
      <w:tblGrid>
        <w:gridCol w:w="2200"/>
        <w:gridCol w:w="4550"/>
        <w:gridCol w:w="261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性质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阶段 GMV 目标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月度 100 万元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经营目标，不是现有业绩</w:t>
            </w:r>
          </w:p>
        </w:tc>
      </w:tr>
      <w:tr>
        <w:trPr>
          <w:cantSplit/>
        </w:trPr>
        <w:tc>
          <w:tcPr>
            <w:tcW w:type="dxa" w:w="22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平均客单价</w:t>
            </w:r>
          </w:p>
        </w:tc>
        <w:tc>
          <w:tcPr>
            <w:tcW w:type="dxa" w:w="455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约 25 元</w:t>
            </w:r>
          </w:p>
        </w:tc>
        <w:tc>
          <w:tcPr>
            <w:tcW w:type="dxa" w:w="261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经营口径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平台抽佣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交易金额的 10%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商业规则</w:t>
            </w:r>
          </w:p>
        </w:tc>
      </w:tr>
      <w:tr>
        <w:trPr>
          <w:cantSplit/>
        </w:trPr>
        <w:tc>
          <w:tcPr>
            <w:tcW w:type="dxa" w:w="22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陪玩收入愿景</w:t>
            </w:r>
          </w:p>
        </w:tc>
        <w:tc>
          <w:tcPr>
            <w:tcW w:type="dxa" w:w="455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帮助成熟陪玩实现月入过万元</w:t>
            </w:r>
          </w:p>
        </w:tc>
        <w:tc>
          <w:tcPr>
            <w:tcW w:type="dxa" w:w="261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能力目标，不作普遍收入承诺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社会价值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创造更多灵活就业和技能变现机会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长期目标</w:t>
            </w:r>
          </w:p>
        </w:tc>
      </w:tr>
      <w:tr>
        <w:trPr>
          <w:cantSplit/>
        </w:trPr>
        <w:tc>
          <w:tcPr>
            <w:tcW w:type="dxa" w:w="22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平台愿景</w:t>
            </w:r>
          </w:p>
        </w:tc>
        <w:tc>
          <w:tcPr>
            <w:tcW w:type="dxa" w:w="455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成为全国最大的游戏陪玩平台</w:t>
            </w:r>
          </w:p>
        </w:tc>
        <w:tc>
          <w:tcPr>
            <w:tcW w:type="dxa" w:w="261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愿景，不是当前排名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产品对标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比心陪玩、东东电竞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公开产品能力对标</w:t>
            </w:r>
          </w:p>
        </w:tc>
      </w:tr>
    </w:tbl>
    <w:p>
      <w:pPr>
        <w:spacing w:after="40"/>
      </w:pPr>
    </w:p>
    <w:p>
      <w:pPr>
        <w:pStyle w:val="Heading2"/>
      </w:pPr>
      <w:r>
        <w:t>1.2 本计划回答的六个问题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100 万元月度 GMV 对应多少订单、多少佣金收入和多少陪玩结算金额？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25 元客单价和 10% 抽佣是否能同时支撑用户价值、平台运营与陪玩收入？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如何让成熟陪玩具备月入过万元的现实经营路径？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熊崽电竞与比心陪玩、东东电竞相比，应学习什么、坚持什么差异？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在没有融资目标的前提下，如何控制成本、现金流与扩张节奏？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什么时候可以从单游戏切入扩展到全国、多游戏平台？</w:t>
      </w:r>
    </w:p>
    <w:p>
      <w:r>
        <w:br w:type="page"/>
      </w:r>
    </w:p>
    <w:p>
      <w:pPr>
        <w:pStyle w:val="Heading1"/>
      </w:pPr>
      <w:r>
        <w:t>2. 公司使命、愿景与文化</w:t>
      </w:r>
    </w:p>
    <w:p>
      <w:pPr>
        <w:pStyle w:val="Heading2"/>
      </w:pPr>
      <w:r>
        <w:t>2.1 使命</w:t>
      </w:r>
    </w:p>
    <w:p>
      <w:pPr>
        <w:spacing w:before="100" w:after="180" w:line="293" w:lineRule="auto"/>
        <w:ind w:left="173" w:right="173"/>
        <w:shd w:fill="EAF6F0"/>
      </w:pPr>
      <w:r>
        <w:rPr>
          <w:rFonts w:ascii="Calibri" w:hAnsi="Calibri" w:eastAsia="Arial Unicode MS"/>
          <w:b/>
          <w:color w:val="2D6A4F"/>
        </w:rPr>
        <w:t xml:space="preserve">使命  </w:t>
      </w:r>
      <w:r>
        <w:rPr>
          <w:rFonts w:ascii="Calibri" w:hAnsi="Calibri" w:eastAsia="Arial Unicode MS"/>
          <w:color w:val="172333"/>
        </w:rPr>
        <w:t>让每一位玩家都能获得安全、可信、有温度的游戏陪伴，让每一份游戏技能都能被尊重并创造价值。</w:t>
      </w:r>
    </w:p>
    <w:p>
      <w:pPr>
        <w:pStyle w:val="Heading2"/>
      </w:pPr>
      <w:r>
        <w:t>2.2 愿景</w:t>
      </w:r>
    </w:p>
    <w:p>
      <w:pPr>
        <w:spacing w:before="100" w:after="180" w:line="293" w:lineRule="auto"/>
        <w:ind w:left="173" w:right="173"/>
        <w:shd w:fill="E8EEF5"/>
      </w:pPr>
      <w:r>
        <w:rPr>
          <w:rFonts w:ascii="Calibri" w:hAnsi="Calibri" w:eastAsia="Arial Unicode MS"/>
          <w:b/>
          <w:color w:val="2E74B5"/>
        </w:rPr>
        <w:t xml:space="preserve">愿景  </w:t>
      </w:r>
      <w:r>
        <w:rPr>
          <w:rFonts w:ascii="Calibri" w:hAnsi="Calibri" w:eastAsia="Arial Unicode MS"/>
          <w:color w:val="172333"/>
        </w:rPr>
        <w:t>成为全国最大的游戏陪玩平台，并成为玩家最信赖、陪玩最愿意长期经营的平台。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b w:val="0"/>
          <w:i w:val="0"/>
          <w:color w:val="172333"/>
        </w:rPr>
        <w:t>“全国最大”是未来愿景，不在当前阶段对外宣称。后续应通过月度 GMV、付费买家、有效陪玩、完成订单、陪玩收入与全国覆盖等一致口径进行验证。</w:t>
      </w:r>
    </w:p>
    <w:p>
      <w:pPr>
        <w:pStyle w:val="Heading2"/>
      </w:pPr>
      <w:r>
        <w:t>2.3 核心价值观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b/>
          <w:color w:val="0B2545"/>
        </w:rPr>
        <w:t>用户第一：</w:t>
      </w:r>
      <w:r>
        <w:rPr>
          <w:rFonts w:ascii="Calibri" w:hAnsi="Calibri" w:eastAsia="Arial Unicode MS"/>
          <w:color w:val="172333"/>
        </w:rPr>
        <w:t>从玩家和陪玩的长期价值出发，不以短期交易额牺牲信任。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b/>
          <w:color w:val="0B2545"/>
        </w:rPr>
        <w:t>诚信守约：</w:t>
      </w:r>
      <w:r>
        <w:rPr>
          <w:rFonts w:ascii="Calibri" w:hAnsi="Calibri" w:eastAsia="Arial Unicode MS"/>
          <w:color w:val="172333"/>
        </w:rPr>
        <w:t>真实展示、清晰定价、准时履约、公平售后；不纵容欺诈、骚扰和私下交易。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b/>
          <w:color w:val="0B2545"/>
        </w:rPr>
        <w:t>团队共创：</w:t>
      </w:r>
      <w:r>
        <w:rPr>
          <w:rFonts w:ascii="Calibri" w:hAnsi="Calibri" w:eastAsia="Arial Unicode MS"/>
          <w:color w:val="172333"/>
        </w:rPr>
        <w:t>对事不对人，信息透明，主动补位，共同承担结果。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b/>
          <w:color w:val="0B2545"/>
        </w:rPr>
        <w:t>拥抱变化：</w:t>
      </w:r>
      <w:r>
        <w:rPr>
          <w:rFonts w:ascii="Calibri" w:hAnsi="Calibri" w:eastAsia="Arial Unicode MS"/>
          <w:color w:val="172333"/>
        </w:rPr>
        <w:t>快速学习、快速试验、快速复盘，但资金与合规底线不试错。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b/>
          <w:color w:val="0B2545"/>
        </w:rPr>
        <w:t>专业担当：</w:t>
      </w:r>
      <w:r>
        <w:rPr>
          <w:rFonts w:ascii="Calibri" w:hAnsi="Calibri" w:eastAsia="Arial Unicode MS"/>
          <w:color w:val="172333"/>
        </w:rPr>
        <w:t>谁负责谁推进到底，用事实、数据和用户结果检验工作。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b/>
          <w:color w:val="0B2545"/>
        </w:rPr>
        <w:t>长期主义：</w:t>
      </w:r>
      <w:r>
        <w:rPr>
          <w:rFonts w:ascii="Calibri" w:hAnsi="Calibri" w:eastAsia="Arial Unicode MS"/>
          <w:color w:val="172333"/>
        </w:rPr>
        <w:t>不依赖虚假繁荣、恶性补贴或不可持续抽佣，持续建设供给质量和口碑。</w:t>
      </w:r>
    </w:p>
    <w:p>
      <w:pPr>
        <w:pStyle w:val="Heading2"/>
      </w:pPr>
      <w:r>
        <w:t>2.4 企业文化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b w:val="0"/>
          <w:i w:val="0"/>
          <w:color w:val="172333"/>
        </w:rPr>
        <w:t>文化主张：用户导向、简单坦诚、快速行动、结果负责、长期坚持。文化口号：因信任而交易，因服务而成长。</w:t>
      </w:r>
    </w:p>
    <w:p>
      <w:r>
        <w:br w:type="page"/>
      </w:r>
    </w:p>
    <w:p>
      <w:pPr>
        <w:pStyle w:val="Heading1"/>
      </w:pPr>
      <w:r>
        <w:t>3. 商业模式与关键计算</w:t>
      </w:r>
    </w:p>
    <w:p>
      <w:pPr>
        <w:pStyle w:val="Heading2"/>
      </w:pPr>
      <w:r>
        <w:t>3.1 交易模式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b w:val="0"/>
          <w:i w:val="0"/>
          <w:color w:val="172333"/>
        </w:rPr>
        <w:t>熊崽电竞是面向玩家与个人陪玩的 C2C 游戏服务交易平台。买家通过陪玩主页和服务规格完成发现、咨询、预约、支付、履约、评价与售后；陪玩通过同一账号进入陪玩中心，管理主页、服务、订单、收益和提现。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买家价值：约 25 元的低决策门槛、清晰服务规格、真实评价与平台售后保障。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陪玩价值：仅 10% 平台抽佣、统一交易工具、稳定订单机会与可持续经营能力。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平台价值：以交易佣金维持产品、客服、审核、支付、风控和运营，不依赖融资故事。</w:t>
      </w:r>
    </w:p>
    <w:p>
      <w:pPr>
        <w:pStyle w:val="Heading2"/>
      </w:pPr>
      <w:r>
        <w:t>3.2 由确认目标推导的月度经营量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7E5"/>
          <w:left w:val="single" w:sz="6" w:space="0" w:color="CBD7E5"/>
          <w:bottom w:val="single" w:sz="6" w:space="0" w:color="CBD7E5"/>
          <w:right w:val="single" w:sz="6" w:space="0" w:color="CBD7E5"/>
          <w:insideH w:val="single" w:sz="6" w:space="0" w:color="CBD7E5"/>
          <w:insideV w:val="single" w:sz="6" w:space="0" w:color="CBD7E5"/>
        </w:tblBorders>
      </w:tblPr>
      <w:tblGrid>
        <w:gridCol w:w="1800"/>
        <w:gridCol w:w="2300"/>
        <w:gridCol w:w="1900"/>
        <w:gridCol w:w="3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公式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推导结果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月订单量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100 万元 ÷ 25 元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约 40,000 笔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客单价按 25 元计算</w:t>
            </w:r>
          </w:p>
        </w:tc>
      </w:tr>
      <w:tr>
        <w:trPr>
          <w:cantSplit/>
        </w:trPr>
        <w:tc>
          <w:tcPr>
            <w:tcW w:type="dxa" w:w="18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平台佣金收入</w:t>
            </w:r>
          </w:p>
        </w:tc>
        <w:tc>
          <w:tcPr>
            <w:tcW w:type="dxa" w:w="23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100 万元 × 10%</w:t>
            </w:r>
          </w:p>
        </w:tc>
        <w:tc>
          <w:tcPr>
            <w:tcW w:type="dxa" w:w="19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10 万元/月</w:t>
            </w:r>
          </w:p>
        </w:tc>
        <w:tc>
          <w:tcPr>
            <w:tcW w:type="dxa" w:w="33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尚未扣任何成本与税费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陪玩结算池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100 万元 × 90%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90 万元/月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尚未扣退款、税费及其他依法应扣项目</w:t>
            </w:r>
          </w:p>
        </w:tc>
      </w:tr>
    </w:tbl>
    <w:p>
      <w:pPr>
        <w:spacing w:after="40"/>
      </w:pPr>
    </w:p>
    <w:p>
      <w:pPr>
        <w:pStyle w:val="SourceNote"/>
      </w:pPr>
      <w:r>
        <w:rPr>
          <w:rFonts w:ascii="Calibri" w:hAnsi="Calibri" w:eastAsia="Arial Unicode MS"/>
          <w:color w:val="5E6D7E"/>
          <w:sz w:val="19"/>
        </w:rPr>
        <w:t>以上均为目标口径下的数学推导，不代表平台已经产生相应订单、收入或结算。</w:t>
      </w:r>
    </w:p>
    <w:p>
      <w:pPr>
        <w:pStyle w:val="Heading2"/>
      </w:pPr>
      <w:r>
        <w:t>3.3 盈亏边界</w:t>
      </w:r>
    </w:p>
    <w:p>
      <w:pPr>
        <w:spacing w:before="100" w:after="180" w:line="293" w:lineRule="auto"/>
        <w:ind w:left="173" w:right="173"/>
        <w:shd w:fill="FFF6DE"/>
      </w:pPr>
      <w:r>
        <w:rPr>
          <w:rFonts w:ascii="Calibri" w:hAnsi="Calibri" w:eastAsia="Arial Unicode MS"/>
          <w:b/>
          <w:color w:val="A56B00"/>
        </w:rPr>
        <w:t xml:space="preserve">重要结论  </w:t>
      </w:r>
      <w:r>
        <w:rPr>
          <w:rFonts w:ascii="Calibri" w:hAnsi="Calibri" w:eastAsia="Arial Unicode MS"/>
          <w:color w:val="172333"/>
        </w:rPr>
        <w:t>月度 GMV 达到 100 万元时，平台理论佣金收入只有 10 万元。是否盈利，取决于支付渠道费、退款损耗、短信、云资源、内容审核、客服、人员、税费和合规成本；在取得真实报价前，本计划不预测利润。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b w:val="0"/>
          <w:i w:val="0"/>
          <w:color w:val="172333"/>
        </w:rPr>
        <w:t>月度经营利润公式：GMV × 10% − 支付及渠道成本 − 退款与风险损耗 − 技术与内容安全成本 − 客服与运营成本 − 人员成本 − 税费及其他费用。</w:t>
      </w:r>
    </w:p>
    <w:p>
      <w:r>
        <w:br w:type="page"/>
      </w:r>
    </w:p>
    <w:p>
      <w:pPr>
        <w:pStyle w:val="Heading1"/>
      </w:pPr>
      <w:r>
        <w:t>4. 陪玩月入过万路径</w:t>
      </w:r>
    </w:p>
    <w:p>
      <w:pPr>
        <w:pStyle w:val="Heading2"/>
      </w:pPr>
      <w:r>
        <w:t>4.1 单个陪玩的数学门槛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7E5"/>
          <w:left w:val="single" w:sz="6" w:space="0" w:color="CBD7E5"/>
          <w:bottom w:val="single" w:sz="6" w:space="0" w:color="CBD7E5"/>
          <w:right w:val="single" w:sz="6" w:space="0" w:color="CBD7E5"/>
          <w:insideH w:val="single" w:sz="6" w:space="0" w:color="CBD7E5"/>
          <w:insideV w:val="single" w:sz="6" w:space="0" w:color="CBD7E5"/>
        </w:tblBorders>
      </w:tblPr>
      <w:tblGrid>
        <w:gridCol w:w="2400"/>
        <w:gridCol w:w="3150"/>
        <w:gridCol w:w="381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计算项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公式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推导值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目标结算收入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经营目标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10,000 元/月以上</w:t>
            </w:r>
          </w:p>
        </w:tc>
      </w:tr>
      <w:tr>
        <w:trPr>
          <w:cantSplit/>
        </w:trPr>
        <w:tc>
          <w:tcPr>
            <w:tcW w:type="dxa" w:w="24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所需服务销售额</w:t>
            </w:r>
          </w:p>
        </w:tc>
        <w:tc>
          <w:tcPr>
            <w:tcW w:type="dxa" w:w="315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10,000 ÷ 90%</w:t>
            </w:r>
          </w:p>
        </w:tc>
        <w:tc>
          <w:tcPr>
            <w:tcW w:type="dxa" w:w="381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理论值约 11,111.11 元/月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所需月订单量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11,111.11 ÷ 25，向上取整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约 445 笔/月</w:t>
            </w:r>
          </w:p>
        </w:tc>
      </w:tr>
      <w:tr>
        <w:trPr>
          <w:cantSplit/>
        </w:trPr>
        <w:tc>
          <w:tcPr>
            <w:tcW w:type="dxa" w:w="24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平均每日订单量</w:t>
            </w:r>
          </w:p>
        </w:tc>
        <w:tc>
          <w:tcPr>
            <w:tcW w:type="dxa" w:w="315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445 ÷ 30</w:t>
            </w:r>
          </w:p>
        </w:tc>
        <w:tc>
          <w:tcPr>
            <w:tcW w:type="dxa" w:w="381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8"/>
              </w:rPr>
              <w:t>约 14.8 笔/日</w:t>
            </w:r>
          </w:p>
        </w:tc>
      </w:tr>
    </w:tbl>
    <w:p>
      <w:pPr>
        <w:spacing w:after="40"/>
      </w:pPr>
    </w:p>
    <w:p>
      <w:pPr>
        <w:pStyle w:val="SourceNote"/>
      </w:pPr>
      <w:r>
        <w:rPr>
          <w:rFonts w:ascii="Calibri" w:hAnsi="Calibri" w:eastAsia="Arial Unicode MS"/>
          <w:color w:val="5E6D7E"/>
          <w:sz w:val="19"/>
        </w:rPr>
        <w:t>该计算仅扣除 10% 平台佣金，未考虑退款、税费、个人时间成本和其他费用；不能作为收入承诺。</w:t>
      </w:r>
    </w:p>
    <w:p>
      <w:pPr>
        <w:pStyle w:val="Heading2"/>
      </w:pPr>
      <w:r>
        <w:t>4.2 月度 GMV 100 万元下的收入容量</w:t>
      </w:r>
    </w:p>
    <w:p>
      <w:pPr>
        <w:spacing w:before="100" w:after="180" w:line="293" w:lineRule="auto"/>
        <w:ind w:left="173" w:right="173"/>
        <w:shd w:fill="FFF6DE"/>
      </w:pPr>
      <w:r>
        <w:rPr>
          <w:rFonts w:ascii="Calibri" w:hAnsi="Calibri" w:eastAsia="Arial Unicode MS"/>
          <w:b/>
          <w:color w:val="A56B00"/>
        </w:rPr>
        <w:t xml:space="preserve">容量约束  </w:t>
      </w:r>
      <w:r>
        <w:rPr>
          <w:rFonts w:ascii="Calibri" w:hAnsi="Calibri" w:eastAsia="Arial Unicode MS"/>
          <w:color w:val="172333"/>
        </w:rPr>
        <w:t>90 万元陪玩结算池在纯数学上最多支持 90 位陪玩每人结算 1 万元；实际平台还需要服务长尾陪玩，因此“月入过万”应先定义为成熟陪玩的可实现经营路径，而不是对全部陪玩的普遍承诺。</w:t>
      </w:r>
    </w:p>
    <w:p>
      <w:pPr>
        <w:pStyle w:val="Heading2"/>
      </w:pPr>
      <w:r>
        <w:t>4.3 平台应提供的六项经营能力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清晰的个人主页、声音名片、游戏能力证明和真实评价，提升被选择概率。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可管理的服务规格、价格、在线时段和接单状态，减少无效曝光。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订单响应、完成率、复购和售后数据看板，帮助陪玩找到收入瓶颈。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新手培训、服务话术、沟通边界与售后规则，降低早期流失。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公平推荐机制，避免流量只集中在少数头部账号或付费排名。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透明结算、可查收益、稳定提现和申诉机制，建立长期经营信心。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b w:val="0"/>
          <w:i w:val="0"/>
          <w:color w:val="172333"/>
        </w:rPr>
        <w:t>收入增长的核心不是无限延长工作时长，而是提升有效曝光、接单率、履约质量、复购率和单位时间产出。</w:t>
      </w:r>
    </w:p>
    <w:p>
      <w:r>
        <w:br w:type="page"/>
      </w:r>
    </w:p>
    <w:p>
      <w:pPr>
        <w:pStyle w:val="Heading1"/>
      </w:pPr>
      <w:r>
        <w:t>5. 用户、场景与产品定位</w:t>
      </w:r>
    </w:p>
    <w:p>
      <w:pPr>
        <w:pStyle w:val="Heading2"/>
      </w:pPr>
      <w:r>
        <w:t>5.1 第一阶段定位</w:t>
      </w:r>
    </w:p>
    <w:p>
      <w:pPr>
        <w:spacing w:before="100" w:after="180" w:line="293" w:lineRule="auto"/>
        <w:ind w:left="173" w:right="173"/>
        <w:shd w:fill="E8EEF5"/>
      </w:pPr>
      <w:r>
        <w:rPr>
          <w:rFonts w:ascii="Calibri" w:hAnsi="Calibri" w:eastAsia="Arial Unicode MS"/>
          <w:b/>
          <w:color w:val="2E74B5"/>
        </w:rPr>
        <w:t xml:space="preserve">产品定位  </w:t>
      </w:r>
      <w:r>
        <w:rPr>
          <w:rFonts w:ascii="Calibri" w:hAnsi="Calibri" w:eastAsia="Arial Unicode MS"/>
          <w:color w:val="172333"/>
        </w:rPr>
        <w:t>先做《和平精英》C2C 游戏陪玩交易闭环，验证供给质量、低客单转化、履约、复购和售后；单游戏是切入口，不是最终边界。</w:t>
      </w:r>
    </w:p>
    <w:p>
      <w:pPr>
        <w:pStyle w:val="Heading2"/>
      </w:pPr>
      <w:r>
        <w:t>5.2 买家需求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快速找到技术、声音、性格和时间合适的陪玩。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价格和服务规格清楚，避免临时加价或承诺不一致。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能够先咨询、再预约和支付，服务过程可沟通、可留痕。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出现拒单、超时、服务不符或纠纷时，有明确退款和投诉入口。</w:t>
      </w:r>
    </w:p>
    <w:p>
      <w:pPr>
        <w:pStyle w:val="Heading2"/>
      </w:pPr>
      <w:r>
        <w:t>5.3 陪玩需求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低抽佣、订单机会、公平曝光和稳定结算。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能够展示技能、声音、风格、服务记录与评价，而不是只拼低价。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清晰的接单、开始服务、完成、售后和提现流程。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面对骚扰、恶意退款和不合理要求时，平台提供规则与证据保护。</w:t>
      </w:r>
    </w:p>
    <w:p>
      <w:pPr>
        <w:pStyle w:val="Heading2"/>
      </w:pPr>
      <w:r>
        <w:t>5.4 核心交易闭环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陪玩申请并通过审核，完善主页和声音名片。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陪玩发布服务与规格，配置价格和可约时段。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买家发现服务，咨询后选择规格与时间。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买家付款，陪玩接单并按约提供服务。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双方确认完成，平台生成佣金和陪玩收益。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买家评价；如有问题，进入退款、投诉和平台介入。</w:t>
      </w:r>
    </w:p>
    <w:p>
      <w:pPr>
        <w:pStyle w:val="Heading1"/>
      </w:pPr>
      <w:r>
        <w:t>6. 竞品对标与差异化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b w:val="0"/>
          <w:i w:val="0"/>
          <w:color w:val="172333"/>
        </w:rPr>
        <w:t>对标仅基于 2026 年 8 月 22 日公开应用介绍和官网可观察能力，不采用竞品自报用户量、收入、排名或市场份额作为本计划数据。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7E5"/>
          <w:left w:val="single" w:sz="6" w:space="0" w:color="CBD7E5"/>
          <w:bottom w:val="single" w:sz="6" w:space="0" w:color="CBD7E5"/>
          <w:right w:val="single" w:sz="6" w:space="0" w:color="CBD7E5"/>
          <w:insideH w:val="single" w:sz="6" w:space="0" w:color="CBD7E5"/>
          <w:insideV w:val="single" w:sz="6" w:space="0" w:color="CBD7E5"/>
        </w:tblBorders>
      </w:tblPr>
      <w:tblGrid>
        <w:gridCol w:w="1500"/>
        <w:gridCol w:w="2500"/>
        <w:gridCol w:w="2400"/>
        <w:gridCol w:w="2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观察维度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比心陪玩（公开信息）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东东电竞（公开信息）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熊崽电竞的选择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供给覆盖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多款主流游戏和热门新游戏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多款热门游戏陪玩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先聚焦《和平精英》，验证后再扩游戏</w:t>
            </w:r>
          </w:p>
        </w:tc>
      </w:tr>
      <w:tr>
        <w:trPr>
          <w:cantSplit/>
        </w:trPr>
        <w:tc>
          <w:tcPr>
            <w:tcW w:type="dxa" w:w="15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供给审核</w:t>
            </w:r>
          </w:p>
        </w:tc>
        <w:tc>
          <w:tcPr>
            <w:tcW w:type="dxa" w:w="25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真人技术实测、实名校验、视频考核、抽考/复考等</w:t>
            </w:r>
          </w:p>
        </w:tc>
        <w:tc>
          <w:tcPr>
            <w:tcW w:type="dxa" w:w="24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严苛筛选、动态考核、视频自证等</w:t>
            </w:r>
          </w:p>
        </w:tc>
        <w:tc>
          <w:tcPr>
            <w:tcW w:type="dxa" w:w="29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实名、资料、技能与内容审核；保留版本和申诉记录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发现与选择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多类型大神、游戏分类与推荐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游戏大厅、地区/照片选择、动态展示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陪玩主页 + 服务 SKU + 评价 + 可约时段</w:t>
            </w:r>
          </w:p>
        </w:tc>
      </w:tr>
      <w:tr>
        <w:trPr>
          <w:cantSplit/>
        </w:trPr>
        <w:tc>
          <w:tcPr>
            <w:tcW w:type="dxa" w:w="15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互动能力</w:t>
            </w:r>
          </w:p>
        </w:tc>
        <w:tc>
          <w:tcPr>
            <w:tcW w:type="dxa" w:w="25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语音连麦、游戏组队、内容与社交能力</w:t>
            </w:r>
          </w:p>
        </w:tc>
        <w:tc>
          <w:tcPr>
            <w:tcW w:type="dxa" w:w="24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动态、语音派对、群聊、屏幕共享等</w:t>
            </w:r>
          </w:p>
        </w:tc>
        <w:tc>
          <w:tcPr>
            <w:tcW w:type="dxa" w:w="29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第一阶段保留交易必要的咨询、文字沟通和声音名片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运营手段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战队/主播合作、活动和会员能力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赛事活动、优惠券、会员与房间能力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先做订单、复购和供给经营，不堆叠复杂社交功能</w:t>
            </w:r>
          </w:p>
        </w:tc>
      </w:tr>
      <w:tr>
        <w:trPr>
          <w:cantSplit/>
        </w:trPr>
        <w:tc>
          <w:tcPr>
            <w:tcW w:type="dxa" w:w="15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熊崽差异</w:t>
            </w:r>
          </w:p>
        </w:tc>
        <w:tc>
          <w:tcPr>
            <w:tcW w:type="dxa" w:w="25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—</w:t>
            </w:r>
          </w:p>
        </w:tc>
        <w:tc>
          <w:tcPr>
            <w:tcW w:type="dxa" w:w="24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—</w:t>
            </w:r>
          </w:p>
        </w:tc>
        <w:tc>
          <w:tcPr>
            <w:tcW w:type="dxa" w:w="29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10% 抽佣、约 25 元客单、陪玩收入与就业价值、清晰 C2C 履约</w:t>
            </w:r>
          </w:p>
        </w:tc>
      </w:tr>
    </w:tbl>
    <w:p>
      <w:pPr>
        <w:spacing w:after="40"/>
      </w:pPr>
    </w:p>
    <w:p>
      <w:pPr>
        <w:pStyle w:val="Heading2"/>
      </w:pPr>
      <w:r>
        <w:t>6.1 不照搬竞品的部分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不在交易闭环未稳定前同时建设复杂语音房、直播、礼物、会员和内容社区。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不依赖不可验证的‘大神数量’和‘用户规模’作为经营成果。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不通过提高抽佣掩盖运营效率问题；10% 抽佣必须倒逼平台控制成本。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不将算法推荐当作黑箱，陪玩应能理解影响曝光的主要经营因素。</w:t>
      </w:r>
    </w:p>
    <w:p>
      <w:r>
        <w:br w:type="page"/>
      </w:r>
    </w:p>
    <w:p>
      <w:pPr>
        <w:pStyle w:val="Heading1"/>
      </w:pPr>
      <w:r>
        <w:t>7. 供给运营与服务质量</w:t>
      </w:r>
    </w:p>
    <w:p>
      <w:pPr>
        <w:pStyle w:val="Heading2"/>
      </w:pPr>
      <w:r>
        <w:t>7.1 陪玩准入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b/>
          <w:color w:val="0B2545"/>
        </w:rPr>
        <w:t>身份与年龄：</w:t>
      </w:r>
      <w:r>
        <w:rPr>
          <w:rFonts w:ascii="Calibri" w:hAnsi="Calibri" w:eastAsia="Arial Unicode MS"/>
          <w:color w:val="172333"/>
        </w:rPr>
        <w:t>明确成年供给要求；实名信息仅用于审核和合规，不公开展示。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b/>
          <w:color w:val="0B2545"/>
        </w:rPr>
        <w:t>游戏能力：</w:t>
      </w:r>
      <w:r>
        <w:rPr>
          <w:rFonts w:ascii="Calibri" w:hAnsi="Calibri" w:eastAsia="Arial Unicode MS"/>
          <w:color w:val="172333"/>
        </w:rPr>
        <w:t>段位、数据或实测材料按服务类型审核，明确哪些字段为本人自填。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b/>
          <w:color w:val="0B2545"/>
        </w:rPr>
        <w:t>内容安全：</w:t>
      </w:r>
      <w:r>
        <w:rPr>
          <w:rFonts w:ascii="Calibri" w:hAnsi="Calibri" w:eastAsia="Arial Unicode MS"/>
          <w:color w:val="172333"/>
        </w:rPr>
        <w:t>头像、封面、声音、介绍和服务描述经过审核，禁止诱导私下交易。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b/>
          <w:color w:val="0B2545"/>
        </w:rPr>
        <w:t>服务能力：</w:t>
      </w:r>
      <w:r>
        <w:rPr>
          <w:rFonts w:ascii="Calibri" w:hAnsi="Calibri" w:eastAsia="Arial Unicode MS"/>
          <w:color w:val="172333"/>
        </w:rPr>
        <w:t>完成基础规则培训后才能接单；违规、投诉和复核形成可追溯记录。</w:t>
      </w:r>
    </w:p>
    <w:p>
      <w:pPr>
        <w:pStyle w:val="Heading2"/>
      </w:pPr>
      <w:r>
        <w:t>7.2 服务分层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b w:val="0"/>
          <w:i w:val="0"/>
          <w:color w:val="172333"/>
        </w:rPr>
        <w:t>平台不直接承诺收入，应通过可解释的经营分层为不同阶段陪玩提供工具。分层名称、权益和门槛必须在真实运营数据出现后再确定，当前不预设等级数量或晋级比例。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7E5"/>
          <w:left w:val="single" w:sz="6" w:space="0" w:color="CBD7E5"/>
          <w:bottom w:val="single" w:sz="6" w:space="0" w:color="CBD7E5"/>
          <w:right w:val="single" w:sz="6" w:space="0" w:color="CBD7E5"/>
          <w:insideH w:val="single" w:sz="6" w:space="0" w:color="CBD7E5"/>
          <w:insideV w:val="single" w:sz="6" w:space="0" w:color="CBD7E5"/>
        </w:tblBorders>
      </w:tblPr>
      <w:tblGrid>
        <w:gridCol w:w="1700"/>
        <w:gridCol w:w="2500"/>
        <w:gridCol w:w="2800"/>
        <w:gridCol w:w="2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经营重点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平台支持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升级依据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新入驻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完成首批有效订单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资料优化、服务模板、规则培训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真实订单与履约数据</w:t>
            </w:r>
          </w:p>
        </w:tc>
      </w:tr>
      <w:tr>
        <w:trPr>
          <w:cantSplit/>
        </w:trPr>
        <w:tc>
          <w:tcPr>
            <w:tcW w:type="dxa" w:w="17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稳定经营</w:t>
            </w:r>
          </w:p>
        </w:tc>
        <w:tc>
          <w:tcPr>
            <w:tcW w:type="dxa" w:w="25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提高接单、完成和复购</w:t>
            </w:r>
          </w:p>
        </w:tc>
        <w:tc>
          <w:tcPr>
            <w:tcW w:type="dxa" w:w="28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经营看板、时段建议、复购工具</w:t>
            </w:r>
          </w:p>
        </w:tc>
        <w:tc>
          <w:tcPr>
            <w:tcW w:type="dxa" w:w="23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持续履约表现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成熟陪玩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提升单位时间收入和长期口碑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品牌主页、服务组合、重点活动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贡献毛利、复购与低售后</w:t>
            </w:r>
          </w:p>
        </w:tc>
      </w:tr>
    </w:tbl>
    <w:p>
      <w:pPr>
        <w:spacing w:after="40"/>
      </w:pPr>
    </w:p>
    <w:p>
      <w:pPr>
        <w:pStyle w:val="Heading2"/>
      </w:pPr>
      <w:r>
        <w:t>7.3 服务质量闭环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b w:val="0"/>
          <w:i w:val="0"/>
          <w:color w:val="172333"/>
        </w:rPr>
        <w:t>审核只是起点。平台应持续记录响应、拒单、超时、完成、复购、评价、退款、投诉和申诉，以周度复盘修正规则。任何降权、暂停或封禁必须有原因、证据和申诉入口。</w:t>
      </w:r>
    </w:p>
    <w:p>
      <w:r>
        <w:br w:type="page"/>
      </w:r>
    </w:p>
    <w:p>
      <w:pPr>
        <w:pStyle w:val="Heading1"/>
      </w:pPr>
      <w:r>
        <w:t>8. 买家增长与复购</w:t>
      </w:r>
    </w:p>
    <w:p>
      <w:pPr>
        <w:pStyle w:val="Heading2"/>
      </w:pPr>
      <w:r>
        <w:t>8.1 增长原则</w:t>
      </w:r>
    </w:p>
    <w:p>
      <w:pPr>
        <w:spacing w:before="100" w:after="180" w:line="293" w:lineRule="auto"/>
        <w:ind w:left="173" w:right="173"/>
        <w:shd w:fill="E8EEF5"/>
      </w:pPr>
      <w:r>
        <w:rPr>
          <w:rFonts w:ascii="Calibri" w:hAnsi="Calibri" w:eastAsia="Arial Unicode MS"/>
          <w:b/>
          <w:color w:val="2E74B5"/>
        </w:rPr>
        <w:t xml:space="preserve">原则  </w:t>
      </w:r>
      <w:r>
        <w:rPr>
          <w:rFonts w:ascii="Calibri" w:hAnsi="Calibri" w:eastAsia="Arial Unicode MS"/>
          <w:color w:val="172333"/>
        </w:rPr>
        <w:t>先验证自然成交和复购，再扩大付费获客；没有真实渠道成本、转化和复购数据时，不设置虚假的获客规模或预算回报。</w:t>
      </w:r>
    </w:p>
    <w:p>
      <w:pPr>
        <w:pStyle w:val="Heading2"/>
      </w:pPr>
      <w:r>
        <w:t>8.2 获客实验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内容渠道：陪玩实战片段、技巧、服务展示和真实用户反馈。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社群渠道：游戏群、校园与城市圈层，但必须遵守平台和未成年人规则。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陪玩自带流量：为陪玩提供合规分享页和归因，不鼓励站外收款。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转介绍：奖励应与真实完成订单和有效复购绑定，防止刷单。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合作渠道：俱乐部、赛事、电竞馆和内容创作者，先小范围验证。</w:t>
      </w:r>
    </w:p>
    <w:p>
      <w:pPr>
        <w:pStyle w:val="Heading2"/>
      </w:pPr>
      <w:r>
        <w:t>8.3 每个渠道必须记录的数据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b w:val="0"/>
          <w:i w:val="0"/>
          <w:color w:val="172333"/>
        </w:rPr>
        <w:t>曝光、访问、注册、有效订单预览、支付订单、完成订单、退款/投诉、30 日复购、渠道费用和新增首付买家。CAC 只按真实费用 ÷ 新增首付买家计算，不用注册量代替。</w:t>
      </w:r>
    </w:p>
    <w:p>
      <w:pPr>
        <w:pStyle w:val="Heading2"/>
      </w:pPr>
      <w:r>
        <w:t>8.4 复购抓手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收藏陪玩和服务、历史订单快捷复购、常用时段预约。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履约后合理提醒评价和再次预约，不进行骚扰式推送。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优质陪玩的可约时段、服务变化和回归提醒。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售后问题优先解决，避免用优惠券掩盖服务质量。</w:t>
      </w:r>
    </w:p>
    <w:p>
      <w:r>
        <w:br w:type="page"/>
      </w:r>
    </w:p>
    <w:p>
      <w:pPr>
        <w:pStyle w:val="Heading1"/>
      </w:pPr>
      <w:r>
        <w:t>9. 就业与陪玩成长计划</w:t>
      </w:r>
    </w:p>
    <w:p>
      <w:pPr>
        <w:pStyle w:val="Heading2"/>
      </w:pPr>
      <w:r>
        <w:t>9.1 就业价值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b w:val="0"/>
          <w:i w:val="0"/>
          <w:color w:val="172333"/>
        </w:rPr>
        <w:t>熊崽电竞希望把个人的游戏技能、沟通能力和可支配时间转化为透明、可持续的服务收入，为年轻人、自由职业者和具备游戏能力的人群创造更多灵活就业机会。</w:t>
      </w:r>
    </w:p>
    <w:p>
      <w:pPr>
        <w:spacing w:before="100" w:after="180" w:line="293" w:lineRule="auto"/>
        <w:ind w:left="173" w:right="173"/>
        <w:shd w:fill="FFF6DE"/>
      </w:pPr>
      <w:r>
        <w:rPr>
          <w:rFonts w:ascii="Calibri" w:hAnsi="Calibri" w:eastAsia="Arial Unicode MS"/>
          <w:b/>
          <w:color w:val="A56B00"/>
        </w:rPr>
        <w:t xml:space="preserve">边界说明  </w:t>
      </w:r>
      <w:r>
        <w:rPr>
          <w:rFonts w:ascii="Calibri" w:hAnsi="Calibri" w:eastAsia="Arial Unicode MS"/>
          <w:color w:val="172333"/>
        </w:rPr>
        <w:t>平台提供交易机会和经营工具，不应在缺乏法律依据时把所有陪玩直接表述为公司员工。平台与陪玩的合同、税务、劳动关系或灵活就业关系须由专业人员根据实际管理方式审查。</w:t>
      </w:r>
    </w:p>
    <w:p>
      <w:pPr>
        <w:pStyle w:val="Heading2"/>
      </w:pPr>
      <w:r>
        <w:t>9.2 陪玩成长体系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入驻：身份、技能、资料、内容与规则审核。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起步：完成培训，建立服务规格和可约时段。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经营：通过数据看板改善曝光、响应、履约和复购。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成长：形成个人标签、稳定买家与更高单位时间产出。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成熟：具备月入过万元的可验证经营能力，并参与新陪玩辅导。</w:t>
      </w:r>
    </w:p>
    <w:p>
      <w:pPr>
        <w:pStyle w:val="Heading2"/>
      </w:pPr>
      <w:r>
        <w:t>9.3 就业成效如何统计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b w:val="0"/>
          <w:i w:val="0"/>
          <w:color w:val="172333"/>
        </w:rPr>
        <w:t>统计有效陪玩数、当月有结算陪玩数、陪玩结算总额、收入分布、持续经营时间、90 日留存和月结算过万元人数。所有指标必须来自完成订单与真实结算，不使用审核通过数代替就业成果。</w:t>
      </w:r>
    </w:p>
    <w:p>
      <w:r>
        <w:br w:type="page"/>
      </w:r>
    </w:p>
    <w:p>
      <w:pPr>
        <w:pStyle w:val="Heading1"/>
      </w:pPr>
      <w:r>
        <w:t>10. 阶段路线图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b w:val="0"/>
          <w:i w:val="0"/>
          <w:color w:val="172333"/>
        </w:rPr>
        <w:t>本计划不虚构完成日期。路线图采用“通过条件”而不是固定日历；团队在真实人力、渠道和合规条件明确后补充负责人和日期。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7E5"/>
          <w:left w:val="single" w:sz="6" w:space="0" w:color="CBD7E5"/>
          <w:bottom w:val="single" w:sz="6" w:space="0" w:color="CBD7E5"/>
          <w:right w:val="single" w:sz="6" w:space="0" w:color="CBD7E5"/>
          <w:insideH w:val="single" w:sz="6" w:space="0" w:color="CBD7E5"/>
          <w:insideV w:val="single" w:sz="6" w:space="0" w:color="CBD7E5"/>
        </w:tblBorders>
      </w:tblPr>
      <w:tblGrid>
        <w:gridCol w:w="1700"/>
        <w:gridCol w:w="3000"/>
        <w:gridCol w:w="2800"/>
        <w:gridCol w:w="1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核心任务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通过条件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进入下一阶段前不得忽略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阶段 0：生产就绪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关闭真实短信、支付、退款、打款、存储、内容安全、实时消息、监控备份等 P0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真实渠道演练、账务一致、真机主链路通过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不得使用 Mock 代替生产</w:t>
            </w:r>
          </w:p>
        </w:tc>
      </w:tr>
      <w:tr>
        <w:trPr>
          <w:cantSplit/>
        </w:trPr>
        <w:tc>
          <w:tcPr>
            <w:tcW w:type="dxa" w:w="17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阶段 1：小范围闭环</w:t>
            </w:r>
          </w:p>
        </w:tc>
        <w:tc>
          <w:tcPr>
            <w:tcW w:type="dxa" w:w="30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邀请制供给与买家，验证发现、支付、履约、售后、复购</w:t>
            </w:r>
          </w:p>
        </w:tc>
        <w:tc>
          <w:tcPr>
            <w:tcW w:type="dxa" w:w="28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出现稳定真实订单，关键异常可处理</w:t>
            </w:r>
          </w:p>
        </w:tc>
        <w:tc>
          <w:tcPr>
            <w:tcW w:type="dxa" w:w="18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不得用刷单制造 GMV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阶段 2：月度 GMV 100 万元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扩大有效供给和获客，维持 25 元左右客单与 10% 抽佣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月度 GMV 达标且账务、履约、售后和现金流可持续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达标不等于自动盈利</w:t>
            </w:r>
          </w:p>
        </w:tc>
      </w:tr>
      <w:tr>
        <w:trPr>
          <w:cantSplit/>
        </w:trPr>
        <w:tc>
          <w:tcPr>
            <w:tcW w:type="dxa" w:w="17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阶段 3：全国扩张</w:t>
            </w:r>
          </w:p>
        </w:tc>
        <w:tc>
          <w:tcPr>
            <w:tcW w:type="dxa" w:w="30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复制供给审核、运营、客服、风控与渠道模型；评估更多游戏</w:t>
            </w:r>
          </w:p>
        </w:tc>
        <w:tc>
          <w:tcPr>
            <w:tcW w:type="dxa" w:w="28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多个区域可重复获得供给和买家，治理成本可控</w:t>
            </w:r>
          </w:p>
        </w:tc>
        <w:tc>
          <w:tcPr>
            <w:tcW w:type="dxa" w:w="18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不因追求规模牺牲安全和服务</w:t>
            </w:r>
          </w:p>
        </w:tc>
      </w:tr>
    </w:tbl>
    <w:p>
      <w:pPr>
        <w:spacing w:after="40"/>
      </w:pPr>
    </w:p>
    <w:p>
      <w:pPr>
        <w:pStyle w:val="Heading2"/>
      </w:pPr>
      <w:r>
        <w:t>10.1 全国最大平台的衡量方式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b w:val="0"/>
          <w:i w:val="0"/>
          <w:color w:val="172333"/>
        </w:rPr>
        <w:t>未来若公开使用“全国最大”，必须先确定并持续披露可核验口径，例如月度 GMV、月付费买家、有效陪玩、完成订单、陪玩结算总额、覆盖游戏或区域。不能只选择对自己有利的单一指标，也不能把愿景当成现状。</w:t>
      </w:r>
    </w:p>
    <w:p>
      <w:r>
        <w:br w:type="page"/>
      </w:r>
    </w:p>
    <w:p>
      <w:pPr>
        <w:pStyle w:val="Heading1"/>
      </w:pPr>
      <w:r>
        <w:t>11. 产品与技术实施</w:t>
      </w:r>
    </w:p>
    <w:p>
      <w:pPr>
        <w:pStyle w:val="Heading2"/>
      </w:pPr>
      <w:r>
        <w:t>11.1 已具备的产品基础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b w:val="0"/>
          <w:i w:val="0"/>
          <w:color w:val="172333"/>
        </w:rPr>
        <w:t>现有项目已形成买家 App、同账号陪玩中心、管理员 Web 后台和统一服务端的产品结构，覆盖身份、陪玩主页、服务/SKU、预约、订单、支付抽象、退款投诉、评价、双录账、收益提现、聊天客服、通知和审核等核心领域。</w:t>
      </w:r>
    </w:p>
    <w:p>
      <w:pPr>
        <w:pStyle w:val="Heading2"/>
      </w:pPr>
      <w:r>
        <w:t>11.2 当前状态</w:t>
      </w:r>
    </w:p>
    <w:p>
      <w:pPr>
        <w:spacing w:before="100" w:after="180" w:line="293" w:lineRule="auto"/>
        <w:ind w:left="173" w:right="173"/>
        <w:shd w:fill="FFF6DE"/>
      </w:pPr>
      <w:r>
        <w:rPr>
          <w:rFonts w:ascii="Calibri" w:hAnsi="Calibri" w:eastAsia="Arial Unicode MS"/>
          <w:b/>
          <w:color w:val="A56B00"/>
        </w:rPr>
        <w:t xml:space="preserve">内部结论  </w:t>
      </w:r>
      <w:r>
        <w:rPr>
          <w:rFonts w:ascii="Calibri" w:hAnsi="Calibri" w:eastAsia="Arial Unicode MS"/>
          <w:color w:val="172333"/>
        </w:rPr>
        <w:t>现有 Stage 9 文档说明项目可进入有限预发布联调，但不可直接生产发布。该结论来自内部验收记录，本计划未重新执行全部测试。</w:t>
      </w:r>
    </w:p>
    <w:p>
      <w:pPr>
        <w:pStyle w:val="Heading2"/>
      </w:pPr>
      <w:r>
        <w:t>11.3 生产发布前 P0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真实短信、支付、退款和打款渠道接入并完成回调、补单、幂等和对账演练。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对象存储、授权上传下载、病毒扫描、图片/音频审核、CDN 与生命周期清理。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实时会话或经容量批准的轮询方案，以及 APNs/FCM 消息送达与退订。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账号换绑、注销、个人数据导出与删除策略。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生产监控、告警、日志脱敏、备份/PITR、容量压测和恢复演练。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iOS/Android 真机视觉、弱网、深链、支付回跳和无障碍验收。</w:t>
      </w:r>
    </w:p>
    <w:p>
      <w:pPr>
        <w:pStyle w:val="Heading2"/>
      </w:pPr>
      <w:r>
        <w:t>11.4 产品优先级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b w:val="0"/>
          <w:i w:val="0"/>
          <w:color w:val="172333"/>
        </w:rPr>
        <w:t>第一优先级是完成交易与收入闭环；第二优先级是提高陪玩经营效率和买家复购；第三优先级才是语音房、内容社区、会员、礼物或直播等扩展能力。</w:t>
      </w:r>
    </w:p>
    <w:p>
      <w:r>
        <w:br w:type="page"/>
      </w:r>
    </w:p>
    <w:p>
      <w:pPr>
        <w:pStyle w:val="Heading1"/>
      </w:pPr>
      <w:r>
        <w:t>12. 非融资财务计划</w:t>
      </w:r>
    </w:p>
    <w:p>
      <w:pPr>
        <w:pStyle w:val="Heading2"/>
      </w:pPr>
      <w:r>
        <w:t>12.1 资金原则</w:t>
      </w:r>
    </w:p>
    <w:p>
      <w:pPr>
        <w:spacing w:before="100" w:after="180" w:line="293" w:lineRule="auto"/>
        <w:ind w:left="173" w:right="173"/>
        <w:shd w:fill="EAF6F0"/>
      </w:pPr>
      <w:r>
        <w:rPr>
          <w:rFonts w:ascii="Calibri" w:hAnsi="Calibri" w:eastAsia="Arial Unicode MS"/>
          <w:b/>
          <w:color w:val="2D6A4F"/>
        </w:rPr>
        <w:t xml:space="preserve">非融资版  </w:t>
      </w:r>
      <w:r>
        <w:rPr>
          <w:rFonts w:ascii="Calibri" w:hAnsi="Calibri" w:eastAsia="Arial Unicode MS"/>
          <w:color w:val="172333"/>
        </w:rPr>
        <w:t>本计划不设置融资金额、估值、出让比例或资金用途。经营资金来源、已投入资金与公司现金余额由负责人补充；所有扩张必须服从现金流和服务质量。</w:t>
      </w:r>
    </w:p>
    <w:p>
      <w:pPr>
        <w:pStyle w:val="Heading2"/>
      </w:pPr>
      <w:r>
        <w:t>12.2 月度损益表模板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7E5"/>
          <w:left w:val="single" w:sz="6" w:space="0" w:color="CBD7E5"/>
          <w:bottom w:val="single" w:sz="6" w:space="0" w:color="CBD7E5"/>
          <w:right w:val="single" w:sz="6" w:space="0" w:color="CBD7E5"/>
          <w:insideH w:val="single" w:sz="6" w:space="0" w:color="CBD7E5"/>
          <w:insideV w:val="single" w:sz="6" w:space="0" w:color="CBD7E5"/>
        </w:tblBorders>
      </w:tblPr>
      <w:tblGrid>
        <w:gridCol w:w="2500"/>
        <w:gridCol w:w="4200"/>
        <w:gridCol w:w="26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计算方式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当前数值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GMV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完成并确认的有效交易金额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目标：100 万元/月</w:t>
            </w:r>
          </w:p>
        </w:tc>
      </w:tr>
      <w:tr>
        <w:trPr>
          <w:cantSplit/>
        </w:trPr>
        <w:tc>
          <w:tcPr>
            <w:tcW w:type="dxa" w:w="25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平台佣金收入</w:t>
            </w:r>
          </w:p>
        </w:tc>
        <w:tc>
          <w:tcPr>
            <w:tcW w:type="dxa" w:w="42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GMV × 10%</w:t>
            </w:r>
          </w:p>
        </w:tc>
        <w:tc>
          <w:tcPr>
            <w:tcW w:type="dxa" w:w="26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目标口径推导：10 万元/月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支付渠道费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按真实渠道合同和交易结构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待询价/待签约</w:t>
            </w:r>
          </w:p>
        </w:tc>
      </w:tr>
      <w:tr>
        <w:trPr>
          <w:cantSplit/>
        </w:trPr>
        <w:tc>
          <w:tcPr>
            <w:tcW w:type="dxa" w:w="25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退款与风险损耗</w:t>
            </w:r>
          </w:p>
        </w:tc>
        <w:tc>
          <w:tcPr>
            <w:tcW w:type="dxa" w:w="42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按真实退款、拒付、赔付和欺诈损失</w:t>
            </w:r>
          </w:p>
        </w:tc>
        <w:tc>
          <w:tcPr>
            <w:tcW w:type="dxa" w:w="26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待运营数据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云、短信、存储与推送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按真实账单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待询价/待运营数据</w:t>
            </w:r>
          </w:p>
        </w:tc>
      </w:tr>
      <w:tr>
        <w:trPr>
          <w:cantSplit/>
        </w:trPr>
        <w:tc>
          <w:tcPr>
            <w:tcW w:type="dxa" w:w="25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内容审核与客服</w:t>
            </w:r>
          </w:p>
        </w:tc>
        <w:tc>
          <w:tcPr>
            <w:tcW w:type="dxa" w:w="42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内部人员或外包真实成本</w:t>
            </w:r>
          </w:p>
        </w:tc>
        <w:tc>
          <w:tcPr>
            <w:tcW w:type="dxa" w:w="26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待确定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人员与管理成本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工资、社保、外包、办公等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待补充</w:t>
            </w:r>
          </w:p>
        </w:tc>
      </w:tr>
      <w:tr>
        <w:trPr>
          <w:cantSplit/>
        </w:trPr>
        <w:tc>
          <w:tcPr>
            <w:tcW w:type="dxa" w:w="25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税费</w:t>
            </w:r>
          </w:p>
        </w:tc>
        <w:tc>
          <w:tcPr>
            <w:tcW w:type="dxa" w:w="42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按公司主体、业务和结算方案</w:t>
            </w:r>
          </w:p>
        </w:tc>
        <w:tc>
          <w:tcPr>
            <w:tcW w:type="dxa" w:w="26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待专业意见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经营利润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佣金收入减全部真实成本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不预测</w:t>
            </w:r>
          </w:p>
        </w:tc>
      </w:tr>
    </w:tbl>
    <w:p>
      <w:pPr>
        <w:spacing w:after="40"/>
      </w:pPr>
    </w:p>
    <w:p>
      <w:pPr>
        <w:pStyle w:val="Heading2"/>
      </w:pPr>
      <w:r>
        <w:t>12.3 现金与账务控制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订单、支付、退款、佣金、陪玩收益和提现采用可对账的独立账务事实。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平台自有资金与代收待结算资金分开管理，具体账户方案由支付、财务和法律专业人员确认。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每日核对支付渠道与平台账，异常进入工单；任何人不得手工伪造支付成功。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在没有真实成本表和现金流表前，不扩大固定人员和长期合同。</w:t>
      </w:r>
    </w:p>
    <w:p>
      <w:r>
        <w:br w:type="page"/>
      </w:r>
    </w:p>
    <w:p>
      <w:pPr>
        <w:pStyle w:val="Heading1"/>
      </w:pPr>
      <w:r>
        <w:t>13. 数据体系与经营看板</w:t>
      </w:r>
    </w:p>
    <w:p>
      <w:pPr>
        <w:pStyle w:val="Heading2"/>
      </w:pPr>
      <w:r>
        <w:t>13.1 核心数据定义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7E5"/>
          <w:left w:val="single" w:sz="6" w:space="0" w:color="CBD7E5"/>
          <w:bottom w:val="single" w:sz="6" w:space="0" w:color="CBD7E5"/>
          <w:right w:val="single" w:sz="6" w:space="0" w:color="CBD7E5"/>
          <w:insideH w:val="single" w:sz="6" w:space="0" w:color="CBD7E5"/>
          <w:insideV w:val="single" w:sz="6" w:space="0" w:color="CBD7E5"/>
        </w:tblBorders>
      </w:tblPr>
      <w:tblGrid>
        <w:gridCol w:w="1900"/>
        <w:gridCol w:w="4700"/>
        <w:gridCol w:w="27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定义/公式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管理用途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GMV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完成并确认、扣除无效全额退款后的有效交易金额；最终以财务口径为准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衡量交易规模</w:t>
            </w:r>
          </w:p>
        </w:tc>
      </w:tr>
      <w:tr>
        <w:trPr>
          <w:cantSplit/>
        </w:trPr>
        <w:tc>
          <w:tcPr>
            <w:tcW w:type="dxa" w:w="19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平均客单价</w:t>
            </w:r>
          </w:p>
        </w:tc>
        <w:tc>
          <w:tcPr>
            <w:tcW w:type="dxa" w:w="47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有效 GMV ÷ 有效完成订单</w:t>
            </w:r>
          </w:p>
        </w:tc>
        <w:tc>
          <w:tcPr>
            <w:tcW w:type="dxa" w:w="27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校验 25 元左右定位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平台佣金收入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按订单佣金规则确认的收入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衡量商业收入</w:t>
            </w:r>
          </w:p>
        </w:tc>
      </w:tr>
      <w:tr>
        <w:trPr>
          <w:cantSplit/>
        </w:trPr>
        <w:tc>
          <w:tcPr>
            <w:tcW w:type="dxa" w:w="19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月付费买家</w:t>
            </w:r>
          </w:p>
        </w:tc>
        <w:tc>
          <w:tcPr>
            <w:tcW w:type="dxa" w:w="47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当月完成至少一笔有效支付的去重买家</w:t>
            </w:r>
          </w:p>
        </w:tc>
        <w:tc>
          <w:tcPr>
            <w:tcW w:type="dxa" w:w="27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衡量真实需求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有效陪玩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审核通过、存在在售服务且有可约时段的陪玩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衡量可成交供给</w:t>
            </w:r>
          </w:p>
        </w:tc>
      </w:tr>
      <w:tr>
        <w:trPr>
          <w:cantSplit/>
        </w:trPr>
        <w:tc>
          <w:tcPr>
            <w:tcW w:type="dxa" w:w="19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完成率</w:t>
            </w:r>
          </w:p>
        </w:tc>
        <w:tc>
          <w:tcPr>
            <w:tcW w:type="dxa" w:w="47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完成并确认订单 ÷ 成功支付订单</w:t>
            </w:r>
          </w:p>
        </w:tc>
        <w:tc>
          <w:tcPr>
            <w:tcW w:type="dxa" w:w="27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衡量履约质量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30 日复购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首单后 30 日内再次完成有效支付的买家占比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衡量服务价值</w:t>
            </w:r>
          </w:p>
        </w:tc>
      </w:tr>
      <w:tr>
        <w:trPr>
          <w:cantSplit/>
        </w:trPr>
        <w:tc>
          <w:tcPr>
            <w:tcW w:type="dxa" w:w="19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有效售后率</w:t>
            </w:r>
          </w:p>
        </w:tc>
        <w:tc>
          <w:tcPr>
            <w:tcW w:type="dxa" w:w="47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平台认定有效的退款/投诉订单 ÷ 完成订单</w:t>
            </w:r>
          </w:p>
        </w:tc>
        <w:tc>
          <w:tcPr>
            <w:tcW w:type="dxa" w:w="27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衡量治理成本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陪玩月结算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当月完成订单形成并可结算的陪玩收益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衡量就业与收入</w:t>
            </w:r>
          </w:p>
        </w:tc>
      </w:tr>
      <w:tr>
        <w:trPr>
          <w:cantSplit/>
        </w:trPr>
        <w:tc>
          <w:tcPr>
            <w:tcW w:type="dxa" w:w="19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CAC</w:t>
            </w:r>
          </w:p>
        </w:tc>
        <w:tc>
          <w:tcPr>
            <w:tcW w:type="dxa" w:w="47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获客相关真实费用 ÷ 新增首付买家</w:t>
            </w:r>
          </w:p>
        </w:tc>
        <w:tc>
          <w:tcPr>
            <w:tcW w:type="dxa" w:w="27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衡量增长效率</w:t>
            </w:r>
          </w:p>
        </w:tc>
      </w:tr>
    </w:tbl>
    <w:p>
      <w:pPr>
        <w:spacing w:after="40"/>
      </w:pPr>
    </w:p>
    <w:p>
      <w:pPr>
        <w:pStyle w:val="Heading2"/>
      </w:pPr>
      <w:r>
        <w:t>13.2 数据真实性规则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目标、预测、实际、公式推导必须使用不同标签。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注册、审核通过、发布服务不能替代付费、完成和结算数据。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GMV、收入、结算、退款和现金流由财务口径统一，不由运营自行修改。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所有经营周报保留来源、时间范围、筛选条件和负责人。</w:t>
      </w:r>
    </w:p>
    <w:p>
      <w:r>
        <w:br w:type="page"/>
      </w:r>
    </w:p>
    <w:p>
      <w:pPr>
        <w:pStyle w:val="Heading1"/>
      </w:pPr>
      <w:r>
        <w:t>14. 风险与治理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7E5"/>
          <w:left w:val="single" w:sz="6" w:space="0" w:color="CBD7E5"/>
          <w:bottom w:val="single" w:sz="6" w:space="0" w:color="CBD7E5"/>
          <w:right w:val="single" w:sz="6" w:space="0" w:color="CBD7E5"/>
          <w:insideH w:val="single" w:sz="6" w:space="0" w:color="CBD7E5"/>
          <w:insideV w:val="single" w:sz="6" w:space="0" w:color="CBD7E5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主要表现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应对原则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供需失衡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买家找不到合适陪玩，陪玩长期无单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先做高频时段和明确服务标签，按真实供需调整</w:t>
            </w:r>
          </w:p>
        </w:tc>
      </w:tr>
      <w:tr>
        <w:trPr>
          <w:cantSplit/>
        </w:trPr>
        <w:tc>
          <w:tcPr>
            <w:tcW w:type="dxa" w:w="19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低客单难盈利</w:t>
            </w:r>
          </w:p>
        </w:tc>
        <w:tc>
          <w:tcPr>
            <w:tcW w:type="dxa" w:w="35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10% 抽佣不足以覆盖固定和变量成本</w:t>
            </w:r>
          </w:p>
        </w:tc>
        <w:tc>
          <w:tcPr>
            <w:tcW w:type="dxa" w:w="39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控制组织规模，先取得真实成本表，再决定扩张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陪玩收入不达预期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订单分散、复购低、单位时间收入低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提供经营工具与培训，不做普遍收入承诺</w:t>
            </w:r>
          </w:p>
        </w:tc>
      </w:tr>
      <w:tr>
        <w:trPr>
          <w:cantSplit/>
        </w:trPr>
        <w:tc>
          <w:tcPr>
            <w:tcW w:type="dxa" w:w="19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履约与售后</w:t>
            </w:r>
          </w:p>
        </w:tc>
        <w:tc>
          <w:tcPr>
            <w:tcW w:type="dxa" w:w="35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拒单、超时、服务不符、恶意退款</w:t>
            </w:r>
          </w:p>
        </w:tc>
        <w:tc>
          <w:tcPr>
            <w:tcW w:type="dxa" w:w="39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时间线、证据、SLA、平台介入与申诉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内容与人身安全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骚扰、色情暗示、私下交易、未成年人风险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成年供给、内容审核、站内留痕、举报和快速处置</w:t>
            </w:r>
          </w:p>
        </w:tc>
      </w:tr>
      <w:tr>
        <w:trPr>
          <w:cantSplit/>
        </w:trPr>
        <w:tc>
          <w:tcPr>
            <w:tcW w:type="dxa" w:w="19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资金风险</w:t>
            </w:r>
          </w:p>
        </w:tc>
        <w:tc>
          <w:tcPr>
            <w:tcW w:type="dxa" w:w="35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重复回调、账务差异、退款或提现异常</w:t>
            </w:r>
          </w:p>
        </w:tc>
        <w:tc>
          <w:tcPr>
            <w:tcW w:type="dxa" w:w="39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幂等、双录账、对账、限额、审批分离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生产稳定性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错误率、延迟、任务积压、消息失败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监控、压测、备份恢复、降级和演练</w:t>
            </w:r>
          </w:p>
        </w:tc>
      </w:tr>
      <w:tr>
        <w:trPr>
          <w:cantSplit/>
        </w:trPr>
        <w:tc>
          <w:tcPr>
            <w:tcW w:type="dxa" w:w="19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6"/>
              </w:rPr>
              <w:t>单游戏集中</w:t>
            </w:r>
          </w:p>
        </w:tc>
        <w:tc>
          <w:tcPr>
            <w:tcW w:type="dxa" w:w="35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热度、版本或政策变化影响交易</w:t>
            </w:r>
          </w:p>
        </w:tc>
        <w:tc>
          <w:tcPr>
            <w:tcW w:type="dxa" w:w="39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6"/>
              </w:rPr>
              <w:t>先验证模型；扩游戏必须经过数据化阶段门</w:t>
            </w:r>
          </w:p>
        </w:tc>
      </w:tr>
    </w:tbl>
    <w:p>
      <w:pPr>
        <w:spacing w:after="40"/>
      </w:pPr>
    </w:p>
    <w:p>
      <w:pPr>
        <w:pStyle w:val="Heading2"/>
      </w:pPr>
      <w:r>
        <w:t>14.1 上线前必须确定的经营规则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10% 佣金的计算基数、退款时的佣金处理和税费口径。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陪玩接单、拒单、超时、取消、开始服务、确认完成和售后规则。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陪玩收益可结算时间、提现条件、异常冻结与申诉流程。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成年供给、买家未成年人保护、内容边界、举报和执法协作流程。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隐私、个人信息、账号注销、数据导出和删除策略。</w:t>
      </w:r>
    </w:p>
    <w:p>
      <w:r>
        <w:br w:type="page"/>
      </w:r>
    </w:p>
    <w:p>
      <w:pPr>
        <w:pStyle w:val="Heading1"/>
      </w:pPr>
      <w:r>
        <w:t>15. 管理机制与近期决策清单</w:t>
      </w:r>
    </w:p>
    <w:p>
      <w:pPr>
        <w:pStyle w:val="Heading2"/>
      </w:pPr>
      <w:r>
        <w:t>15.1 管理节奏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每日：订单异常、支付退款、提现、客服和安全事件。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每周：供给、转化、履约、复购、售后、渠道和产品问题复盘。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每月：GMV、佣金收入、陪玩结算、成本、现金流和就业成效。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每阶段：决定继续、调整或停止，不因沉没成本强行扩张。</w:t>
      </w:r>
    </w:p>
    <w:p>
      <w:pPr>
        <w:pStyle w:val="Heading2"/>
      </w:pPr>
      <w:r>
        <w:t>15.2 近期必须确认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确认公司主体、负责人、股权与代码/商标/素材知识产权归属。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确认 10% 抽佣合同、税务和陪玩结算方案。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确认成年供给与买家未成年人策略，并完成专业合规审查。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选择真实短信、支付、退款、打款、存储、内容安全和推送渠道。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确定首个试点圈层、种子陪玩名单、服务标签和买家来源。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补充真实成本表、人员配置、现金余额和上线时间。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统一 GMV、有效订单、陪玩结算和就业成效的数据口径。</w:t>
      </w:r>
    </w:p>
    <w:p>
      <w:pPr>
        <w:pStyle w:val="Heading2"/>
      </w:pPr>
      <w:r>
        <w:t>15.3 一句话经营纪律</w:t>
      </w:r>
    </w:p>
    <w:p>
      <w:pPr>
        <w:spacing w:before="100" w:after="180" w:line="293" w:lineRule="auto"/>
        <w:ind w:left="173" w:right="173"/>
        <w:shd w:fill="EAF6F0"/>
      </w:pPr>
      <w:r>
        <w:rPr>
          <w:rFonts w:ascii="Calibri" w:hAnsi="Calibri" w:eastAsia="Arial Unicode MS"/>
          <w:b/>
          <w:color w:val="2D6A4F"/>
        </w:rPr>
        <w:t xml:space="preserve">经营纪律  </w:t>
      </w:r>
      <w:r>
        <w:rPr>
          <w:rFonts w:ascii="Calibri" w:hAnsi="Calibri" w:eastAsia="Arial Unicode MS"/>
          <w:color w:val="172333"/>
        </w:rPr>
        <w:t>不融资造故事，不用假数据证明增长，不用高抽佣掩盖低效率；先让交易真实发生，让陪玩真正赚到钱，让买家愿意再次下单。</w:t>
      </w:r>
    </w:p>
    <w:p>
      <w:r>
        <w:br w:type="page"/>
      </w:r>
    </w:p>
    <w:p>
      <w:pPr>
        <w:pStyle w:val="Heading1"/>
      </w:pPr>
      <w:r>
        <w:t>附录 A｜信息来源与使用边界</w:t>
      </w:r>
    </w:p>
    <w:p>
      <w:pPr>
        <w:pStyle w:val="Heading2"/>
      </w:pPr>
      <w:r>
        <w:t>A.1 内部依据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《熊崽电竞｜和平精英 C2C 游戏陪玩交易平台 PRD V2.0》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移动端《Stage 9 最终验收与生产准备度记录》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Arial Unicode MS"/>
          <w:color w:val="172333"/>
        </w:rPr>
        <w:t>现有数据库 Schema、API、Mobile、Worker、Scheduler 和后台代码结构</w:t>
      </w:r>
    </w:p>
    <w:p>
      <w:pPr>
        <w:pStyle w:val="Heading2"/>
      </w:pPr>
      <w:r>
        <w:t>A.2 竞品公开来源</w:t>
      </w:r>
    </w:p>
    <w:p>
      <w:pPr>
        <w:pStyle w:val="SourceNote"/>
        <w:numPr>
          <w:ilvl w:val="0"/>
          <w:numId w:val="10"/>
        </w:numPr>
        <w:spacing w:after="60"/>
      </w:pPr>
      <w:hyperlink r:id="rId12">
        <w:r>
          <w:rPr>
            <w:rFonts w:ascii="Calibri" w:hAnsi="Calibri" w:eastAsia="Arial Unicode MS"/>
            <w:color w:val="2E74B5"/>
            <w:u w:val="single"/>
            <w:sz w:val="19"/>
          </w:rPr>
          <w:t>Apple App Store｜比心—找游戏陪练上比心 APP 就够了</w:t>
        </w:r>
      </w:hyperlink>
    </w:p>
    <w:p>
      <w:pPr>
        <w:pStyle w:val="SourceNote"/>
        <w:numPr>
          <w:ilvl w:val="0"/>
          <w:numId w:val="10"/>
        </w:numPr>
        <w:spacing w:after="60"/>
      </w:pPr>
      <w:hyperlink r:id="rId13">
        <w:r>
          <w:rPr>
            <w:rFonts w:ascii="Calibri" w:hAnsi="Calibri" w:eastAsia="Arial Unicode MS"/>
            <w:color w:val="2E74B5"/>
            <w:u w:val="single"/>
            <w:sz w:val="19"/>
          </w:rPr>
          <w:t>东东电竞公开产品页｜游戏大厅、动态、点单、语音与会员能力</w:t>
        </w:r>
      </w:hyperlink>
    </w:p>
    <w:p>
      <w:pPr>
        <w:pStyle w:val="SourceNote"/>
        <w:numPr>
          <w:ilvl w:val="0"/>
          <w:numId w:val="10"/>
        </w:numPr>
        <w:spacing w:after="60"/>
      </w:pPr>
      <w:hyperlink r:id="rId14">
        <w:r>
          <w:rPr>
            <w:rFonts w:ascii="Calibri" w:hAnsi="Calibri" w:eastAsia="Arial Unicode MS"/>
            <w:color w:val="2E74B5"/>
            <w:u w:val="single"/>
            <w:sz w:val="19"/>
          </w:rPr>
          <w:t>小米应用商店｜东东电竞应用介绍与版本信息</w:t>
        </w:r>
      </w:hyperlink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b w:val="0"/>
          <w:i w:val="0"/>
          <w:color w:val="5E6D7E"/>
          <w:sz w:val="19"/>
        </w:rPr>
        <w:t>竞品对标只使用公开展示能力。应用商店中的用户量、大神数量、排名、评价和竞品自我宣传未进入熊崽电竞财务或市场模型。</w:t>
      </w:r>
    </w:p>
    <w:p>
      <w:pPr>
        <w:pStyle w:val="Heading1"/>
      </w:pPr>
      <w:r>
        <w:t>附录 B｜待补真实资料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7E5"/>
          <w:left w:val="single" w:sz="6" w:space="0" w:color="CBD7E5"/>
          <w:bottom w:val="single" w:sz="6" w:space="0" w:color="CBD7E5"/>
          <w:right w:val="single" w:sz="6" w:space="0" w:color="CBD7E5"/>
          <w:insideH w:val="single" w:sz="6" w:space="0" w:color="CBD7E5"/>
          <w:insideV w:val="single" w:sz="6" w:space="0" w:color="CBD7E5"/>
        </w:tblBorders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待补资料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widowControl/>
              <w:spacing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公司主体、负责人、股权与知识产权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完成正式公司介绍、合同与法律审查</w:t>
            </w:r>
          </w:p>
        </w:tc>
      </w:tr>
      <w:tr>
        <w:trPr>
          <w:cantSplit/>
        </w:trPr>
        <w:tc>
          <w:tcPr>
            <w:tcW w:type="dxa" w:w="39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真实支付、短信、存储、审核与打款报价</w:t>
            </w:r>
          </w:p>
        </w:tc>
        <w:tc>
          <w:tcPr>
            <w:tcW w:type="dxa" w:w="54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建立可验证的单位经济和盈亏表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团队人数、工资、外包、办公和现金余额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建立月度现金流与扩张边界</w:t>
            </w:r>
          </w:p>
        </w:tc>
      </w:tr>
      <w:tr>
        <w:trPr>
          <w:cantSplit/>
        </w:trPr>
        <w:tc>
          <w:tcPr>
            <w:tcW w:type="dxa" w:w="390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种子陪玩、试点圈层与首批买家来源</w:t>
            </w:r>
          </w:p>
        </w:tc>
        <w:tc>
          <w:tcPr>
            <w:tcW w:type="dxa" w:w="54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制定上线计划与运营排班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7"/>
              </w:rPr>
              <w:t>真实订单、转化、复购、售后和结算数据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widowControl/>
              <w:spacing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color w:val="172333"/>
                <w:sz w:val="17"/>
              </w:rPr>
              <w:t>替换所有待验证项目并形成经营基线</w:t>
            </w:r>
          </w:p>
        </w:tc>
      </w:tr>
    </w:tbl>
    <w:p>
      <w:pPr>
        <w:spacing w:after="40"/>
      </w:pPr>
    </w:p>
    <w:p>
      <w:pPr>
        <w:spacing w:before="100" w:after="180" w:line="293" w:lineRule="auto"/>
        <w:ind w:left="173" w:right="173"/>
        <w:shd w:fill="FFF6DE"/>
      </w:pPr>
      <w:r>
        <w:rPr>
          <w:rFonts w:ascii="Calibri" w:hAnsi="Calibri" w:eastAsia="Arial Unicode MS"/>
          <w:b/>
          <w:color w:val="A56B00"/>
        </w:rPr>
        <w:t xml:space="preserve">免责声明  </w:t>
      </w:r>
      <w:r>
        <w:rPr>
          <w:rFonts w:ascii="Calibri" w:hAnsi="Calibri" w:eastAsia="Arial Unicode MS"/>
          <w:color w:val="172333"/>
        </w:rPr>
        <w:t>本文件是非融资经营计划，不构成收入承诺、劳动关系认定、投资、法律、税务或监管意见。对外发布前应完成财务、法律、数据与渠道核验。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5E6D7E"/>
        <w:sz w:val="17"/>
      </w:rPr>
      <w:t xml:space="preserve">第 </w:t>
    </w:r>
    <w:fldSimple w:instr="PAGE"/>
    <w:r>
      <w:rPr>
        <w:rFonts w:ascii="Calibri" w:hAnsi="Calibri" w:eastAsia="Arial Unicode MS"/>
        <w:color w:val="5E6D7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Arial Unicode MS"/>
        <w:b/>
        <w:color w:val="5E6D7E"/>
        <w:sz w:val="17"/>
      </w:rPr>
      <w:t>熊崽电竞｜商业经营计划书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Arial Unicode MS"/>
      <w:color w:val="1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basedOn w:val="Normal"/>
    <w:pPr>
      <w:spacing w:before="80" w:after="80" w:line="264" w:lineRule="auto"/>
    </w:pPr>
    <w:rPr>
      <w:color w:val="5E6D7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apps.apple.com/cn/app/id1286964732" TargetMode="External"/><Relationship Id="rId13" Type="http://schemas.openxmlformats.org/officeDocument/2006/relationships/hyperlink" Target="https://platform.ddegame.cn/" TargetMode="External"/><Relationship Id="rId14" Type="http://schemas.openxmlformats.org/officeDocument/2006/relationships/hyperlink" Target="https://app.mi.com/details?id=cn.ddegame.dd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熊崽电竞商业经营计划书 V2.0</dc:title>
  <dc:subject>非融资版游戏陪玩平台经营计划</dc:subject>
  <dc:creator>熊崽电竞项目组</dc:creator>
  <cp:keywords>商业计划书, 非融资, 游戏陪玩, 月度GMV, 陪玩就业</cp:keywords>
  <dc:description>所有数字区分确认目标、公式推导与待验证数据。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