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160" w:after="360" w:line="307" w:lineRule="auto"/>
        <w:jc w:val="center"/>
      </w:pPr>
      <w:r>
        <w:rPr>
          <w:rFonts w:ascii="Arial Unicode MS" w:hAnsi="Arial Unicode MS" w:eastAsia="Arial Unicode MS"/>
          <w:b/>
          <w:i w:val="0"/>
          <w:color w:val="1677FF"/>
          <w:sz w:val="20"/>
        </w:rPr>
        <w:t>商业计划书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 title="熊崽电竞品牌图标" descr="蓝色熊形熊崽电竞品牌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ongzai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before="240" w:after="80" w:line="307" w:lineRule="auto"/>
        <w:jc w:val="center"/>
      </w:pPr>
      <w:r>
        <w:rPr>
          <w:rFonts w:ascii="Arial Unicode MS" w:hAnsi="Arial Unicode MS" w:eastAsia="Arial Unicode MS"/>
          <w:b/>
          <w:i w:val="0"/>
          <w:color w:val="103A67"/>
          <w:sz w:val="60"/>
        </w:rPr>
        <w:t>熊崽电竞</w:t>
      </w:r>
    </w:p>
    <w:p>
      <w:pPr>
        <w:keepLines w:val="0"/>
        <w:widowControl/>
        <w:spacing w:before="0" w:after="160" w:line="307" w:lineRule="auto"/>
        <w:jc w:val="center"/>
      </w:pPr>
      <w:r>
        <w:rPr>
          <w:rFonts w:ascii="Arial Unicode MS" w:hAnsi="Arial Unicode MS" w:eastAsia="Arial Unicode MS"/>
          <w:b/>
          <w:i w:val="0"/>
          <w:color w:val="1677FF"/>
          <w:sz w:val="30"/>
        </w:rPr>
        <w:t>《和平精英》C2C 游戏陪玩交易平台</w:t>
      </w:r>
    </w:p>
    <w:p>
      <w:pPr>
        <w:keepLines w:val="0"/>
        <w:widowControl/>
        <w:spacing w:before="0" w:after="600" w:line="307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5E6D7E"/>
          <w:sz w:val="23"/>
        </w:rPr>
        <w:t>从单游戏交易闭环出发，建立可信、可治理、可结算的陪玩服务市场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9FD"/>
          </w:tcPr>
          <w:p>
            <w:pPr>
              <w:keepLines/>
              <w:spacing w:after="0"/>
              <w:jc w:val="right"/>
            </w:pPr>
            <w:r>
              <w:rPr>
                <w:rFonts w:ascii="Arial Unicode MS" w:hAnsi="Arial Unicode MS" w:eastAsia="Arial Unicode MS"/>
                <w:b/>
                <w:color w:val="5E6D7E"/>
                <w:sz w:val="19"/>
              </w:rPr>
              <w:t>文档版本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9FD"/>
          </w:tcPr>
          <w:p>
            <w:pPr>
              <w:keepLines/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9"/>
              </w:rPr>
              <w:t>V1.0｜融资与经营讨论稿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 Unicode MS" w:hAnsi="Arial Unicode MS" w:eastAsia="Arial Unicode MS"/>
                <w:b/>
                <w:color w:val="5E6D7E"/>
                <w:sz w:val="19"/>
              </w:rPr>
              <w:t>编制日期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9"/>
              </w:rPr>
              <w:t>2026 年 8 月 21 日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9FD"/>
          </w:tcPr>
          <w:p>
            <w:pPr>
              <w:keepLines/>
              <w:spacing w:after="0"/>
              <w:jc w:val="right"/>
            </w:pPr>
            <w:r>
              <w:rPr>
                <w:rFonts w:ascii="Arial Unicode MS" w:hAnsi="Arial Unicode MS" w:eastAsia="Arial Unicode MS"/>
                <w:b/>
                <w:color w:val="5E6D7E"/>
                <w:sz w:val="19"/>
              </w:rPr>
              <w:t>主体公司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9FD"/>
          </w:tcPr>
          <w:p>
            <w:pPr>
              <w:keepLines/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9"/>
              </w:rPr>
              <w:t>待补充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  <w:jc w:val="right"/>
            </w:pPr>
            <w:r>
              <w:rPr>
                <w:rFonts w:ascii="Arial Unicode MS" w:hAnsi="Arial Unicode MS" w:eastAsia="Arial Unicode MS"/>
                <w:b/>
                <w:color w:val="5E6D7E"/>
                <w:sz w:val="19"/>
              </w:rPr>
              <w:t>保密级别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9"/>
              </w:rPr>
              <w:t>内部/定向交流</w:t>
            </w:r>
          </w:p>
        </w:tc>
      </w:tr>
    </w:tbl>
    <w:p>
      <w:pPr>
        <w:keepLines w:val="0"/>
        <w:widowControl/>
        <w:spacing w:before="560" w:after="0" w:line="307" w:lineRule="auto"/>
        <w:jc w:val="center"/>
      </w:pPr>
      <w:r>
        <w:rPr>
          <w:rFonts w:ascii="Arial Unicode MS" w:hAnsi="Arial Unicode MS" w:eastAsia="Arial Unicode MS"/>
          <w:b w:val="0"/>
          <w:i/>
          <w:color w:val="5E6D7E"/>
          <w:sz w:val="17"/>
        </w:rPr>
        <w:t>说明：本文依据当前产品 PRD、代码结构和内部验收材料编制；市场与监管信息截至 2026 年 8 月。财务数据均为可调假设，不代表已实现业绩。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一句话定位  </w:t>
            </w:r>
            <w:r>
              <w:rPr>
                <w:rFonts w:ascii="Arial Unicode MS" w:hAnsi="Arial Unicode MS" w:eastAsia="Arial Unicode MS"/>
                <w:color w:val="172333"/>
              </w:rPr>
              <w:t>熊崽电竞聚焦《和平精英》，让买家在统一交易保障下完成发现、咨询、支付、履约、评价与售后，让个人陪玩把能力沉淀为可复购的服务资产。</w:t>
            </w:r>
          </w:p>
        </w:tc>
      </w:tr>
    </w:tbl>
    <w:p>
      <w:pPr>
        <w:spacing w:after="60"/>
      </w:pP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陪玩需求长期存在，但交易常分散于社群、私聊和泛娱乐平台：买家难判断服务质量，陪玩难稳定获客，争议处理与资金结算缺少统一规则。熊崽电竞以“陪玩主页—服务规格—预约订单—平台支付—履约评价—售后治理”为最小闭环，把非标准的信任交易转化为可审核、可追踪、可结算的标准化服务交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投资/立项要点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核心判断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清晰切口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MVP 只做《和平精英》，用单游戏密度验证供需与复购，不在早期稀释运营资源。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商业模式</w:t>
            </w:r>
          </w:p>
        </w:tc>
        <w:tc>
          <w:tcPr>
            <w:tcW w:type="dxa" w:w="73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以订单佣金为主；工具增值、认证与流量产品在交易密度形成后再上线。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产品基础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移动端、统一 API、管理后台、订单支付、售后、财务、聊天客服与风控数据结构已具备。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核心壁垒</w:t>
            </w:r>
          </w:p>
        </w:tc>
        <w:tc>
          <w:tcPr>
            <w:tcW w:type="dxa" w:w="73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供给审核 + 交易快照 + 状态机 + 双录账/对账 + 售后证据链 + 信用沉淀。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18 个月目标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完成生产化上线，验证城市/圈层密度、复购和单位经济，形成可复制的供给运营手册。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建议融资</w:t>
            </w:r>
          </w:p>
        </w:tc>
        <w:tc>
          <w:tcPr>
            <w:tcW w:type="dxa" w:w="73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人民币 1,200 万元，用于 18–24 个月生产化、供给运营、增长验证和合规风控。</w:t>
            </w:r>
          </w:p>
        </w:tc>
      </w:tr>
    </w:tbl>
    <w:p>
      <w:pPr>
        <w:spacing w:after="40"/>
      </w:pP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建议融资额为本计划书模型参数；应结合实际团队成本、估值和已投入资金调整。</w:t>
      </w:r>
    </w:p>
    <w:p>
      <w:pPr>
        <w:pStyle w:val="Heading2"/>
      </w:pPr>
      <w:r>
        <w:t>核心目标（基准情景）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800"/>
        <w:gridCol w:w="2187"/>
        <w:gridCol w:w="2186"/>
        <w:gridCol w:w="2187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指标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1 年</w:t>
            </w:r>
          </w:p>
        </w:tc>
        <w:tc>
          <w:tcPr>
            <w:tcW w:type="dxa" w:w="21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2 年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3 年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年度 GMV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531 万</w:t>
            </w:r>
          </w:p>
        </w:tc>
        <w:tc>
          <w:tcPr>
            <w:tcW w:type="dxa" w:w="21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2,697 万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9,801 万</w:t>
            </w:r>
          </w:p>
        </w:tc>
      </w:tr>
      <w:tr>
        <w:tc>
          <w:tcPr>
            <w:tcW w:type="dxa" w:w="28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平台净收入</w:t>
            </w:r>
          </w:p>
        </w:tc>
        <w:tc>
          <w:tcPr>
            <w:tcW w:type="dxa" w:w="2187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114 万</w:t>
            </w:r>
          </w:p>
        </w:tc>
        <w:tc>
          <w:tcPr>
            <w:tcW w:type="dxa" w:w="2186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565 万</w:t>
            </w:r>
          </w:p>
        </w:tc>
        <w:tc>
          <w:tcPr>
            <w:tcW w:type="dxa" w:w="2187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2,004 万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平均月付费买家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6,000</w:t>
            </w:r>
          </w:p>
        </w:tc>
        <w:tc>
          <w:tcPr>
            <w:tcW w:type="dxa" w:w="21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25,000</w:t>
            </w:r>
          </w:p>
        </w:tc>
        <w:tc>
          <w:tcPr>
            <w:tcW w:type="dxa" w:w="218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75,000</w:t>
            </w:r>
          </w:p>
        </w:tc>
      </w:tr>
      <w:tr>
        <w:tc>
          <w:tcPr>
            <w:tcW w:type="dxa" w:w="28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年度 EBITDA</w:t>
            </w:r>
          </w:p>
        </w:tc>
        <w:tc>
          <w:tcPr>
            <w:tcW w:type="dxa" w:w="2187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-650 万</w:t>
            </w:r>
          </w:p>
        </w:tc>
        <w:tc>
          <w:tcPr>
            <w:tcW w:type="dxa" w:w="2186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-560 万</w:t>
            </w:r>
          </w:p>
        </w:tc>
        <w:tc>
          <w:tcPr>
            <w:tcW w:type="dxa" w:w="2187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+124 万</w:t>
            </w:r>
          </w:p>
        </w:tc>
      </w:tr>
    </w:tbl>
    <w:p>
      <w:pPr>
        <w:spacing w:after="40"/>
      </w:pPr>
    </w:p>
    <w:p>
      <w:pPr>
        <w:keepLines w:val="0"/>
        <w:widowControl/>
        <w:spacing w:before="0" w:after="40" w:line="307" w:lineRule="auto"/>
      </w:pPr>
      <w:r>
        <w:rPr>
          <w:rFonts w:ascii="Arial Unicode MS" w:hAnsi="Arial Unicode MS" w:eastAsia="Arial Unicode MS"/>
          <w:b w:val="0"/>
          <w:i w:val="0"/>
          <w:color w:val="5E6D7E"/>
          <w:sz w:val="17"/>
        </w:rPr>
        <w:t>内部测算；口径、公式和敏感性见“财务计划”。</w:t>
      </w:r>
    </w:p>
    <w:p>
      <w:pPr>
        <w:pStyle w:val="Heading1"/>
      </w:pPr>
      <w:r>
        <w:t>1. 市场机会与用户痛点</w:t>
      </w:r>
    </w:p>
    <w:p>
      <w:pPr>
        <w:pStyle w:val="Heading2"/>
      </w:pPr>
      <w:r>
        <w:t>1.1 市场信号：大用户盘中的服务交易机会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中国音像与数字出版协会发布的《2025 年中国游戏产业报告》显示，2025 年国内游戏市场实际销售收入为 3,507.89 亿元，用户规模为 6.83 亿，两项指标均创历史新高。该数据证明玩家基盘和付费习惯持续存在，但不能直接等同于游戏陪玩市场规模；熊崽电竞因此采用自下而上的订单模型，而不是用游戏总收入机械推导 TAM。</w:t>
      </w: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外部来源：中国音像与数字出版协会，《2025 年中国游戏产业报告》正式发布，2025-12-19。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市场口径原则  </w:t>
            </w:r>
            <w:r>
              <w:rPr>
                <w:rFonts w:ascii="Arial Unicode MS" w:hAnsi="Arial Unicode MS" w:eastAsia="Arial Unicode MS"/>
                <w:color w:val="172333"/>
              </w:rPr>
              <w:t>先验证“一个游戏 × 一组高密度圈层 × 一套可复购服务”的交易效率，再决定是否扩品类或扩游戏。</w:t>
            </w:r>
          </w:p>
        </w:tc>
      </w:tr>
    </w:tbl>
    <w:p>
      <w:pPr>
        <w:spacing w:after="60"/>
      </w:pPr>
    </w:p>
    <w:p>
      <w:pPr>
        <w:pStyle w:val="Heading2"/>
      </w:pPr>
      <w:r>
        <w:t>1.2 三方痛点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3630"/>
        <w:gridCol w:w="423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角色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当前痛点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熊崽电竞的解决方式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买家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质量难判断、价格与服务边界模糊、私下付款风险高、售后无凭据。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实名/审核、结构化服务规格、平台订单、站内沟通、评价与投诉证据链。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陪玩</w:t>
            </w:r>
          </w:p>
        </w:tc>
        <w:tc>
          <w:tcPr>
            <w:tcW w:type="dxa" w:w="36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获客依赖群聊与中间人、个人能力难沉淀、排期冲突、收入与提现不透明。</w:t>
            </w:r>
          </w:p>
        </w:tc>
        <w:tc>
          <w:tcPr>
            <w:tcW w:type="dxa" w:w="42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公开主页、多个服务与 SKU、可用时段、订单状态、收益账本和提现记录。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平台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内容与交易混杂、资金和状态难对齐、争议处理成本高、违规供给难追责。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审核版本、交易快照、幂等状态机、双录账、审计日志、客服与风控事件。</w:t>
            </w:r>
          </w:p>
        </w:tc>
      </w:tr>
    </w:tbl>
    <w:p>
      <w:pPr>
        <w:spacing w:after="40"/>
      </w:pPr>
    </w:p>
    <w:p>
      <w:pPr>
        <w:pStyle w:val="Heading2"/>
      </w:pPr>
      <w:r>
        <w:t>1.3 为什么现在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玩家市场仍具规模与付费基础；线上娱乐服务从“内容消费”向“关系与服务消费”延伸。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监管对实名、未成年人保护、个人信息、算法透明和 APP 备案提出更明确要求，合规能力正从成本变成准入门槛。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支付、对象存储、推送和云基础设施日趋标准化，小团队可以把资源集中在交易规则、运营密度和用户信任上。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当前产品已具备核心交易与财务架构，项目重点可从“能否开发”转向“能否生产化并跑通单位经济”。</w:t>
      </w:r>
    </w:p>
    <w:p>
      <w:pPr>
        <w:pStyle w:val="Heading2"/>
      </w:pPr>
      <w:r>
        <w:t>1.4 目标市场与切入边界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4290"/>
        <w:gridCol w:w="357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层级</w:t>
            </w:r>
          </w:p>
        </w:tc>
        <w:tc>
          <w:tcPr>
            <w:tcW w:type="dxa" w:w="4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定义</w:t>
            </w:r>
          </w:p>
        </w:tc>
        <w:tc>
          <w:tcPr>
            <w:tcW w:type="dxa" w:w="35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本计划口径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TAM 背景</w:t>
            </w:r>
          </w:p>
        </w:tc>
        <w:tc>
          <w:tcPr>
            <w:tcW w:type="dxa" w:w="4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国内游戏用户与整体付费市场</w:t>
            </w:r>
          </w:p>
        </w:tc>
        <w:tc>
          <w:tcPr>
            <w:tcW w:type="dxa" w:w="35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用于说明用户基盘，不作为陪玩收入预测。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SAM</w:t>
            </w:r>
          </w:p>
        </w:tc>
        <w:tc>
          <w:tcPr>
            <w:tcW w:type="dxa" w:w="429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成年《和平精英》玩家中存在组队、上分、娱乐陪伴或教学需求的人群</w:t>
            </w:r>
          </w:p>
        </w:tc>
        <w:tc>
          <w:tcPr>
            <w:tcW w:type="dxa" w:w="357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在试点城市/高校/战队社群中通过真实注册、咨询和付费率逐步测量。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SOM</w:t>
            </w:r>
          </w:p>
        </w:tc>
        <w:tc>
          <w:tcPr>
            <w:tcW w:type="dxa" w:w="4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首批高密度圈层内可获得并可稳定履约的买家与陪玩</w:t>
            </w:r>
          </w:p>
        </w:tc>
        <w:tc>
          <w:tcPr>
            <w:tcW w:type="dxa" w:w="35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以平均月付费买家、每买家订单数、客单价的底层公式管理。</w:t>
            </w:r>
          </w:p>
        </w:tc>
      </w:tr>
    </w:tbl>
    <w:p>
      <w:pPr>
        <w:spacing w:after="40"/>
      </w:pPr>
    </w:p>
    <w:p>
      <w:pPr>
        <w:pStyle w:val="Heading1"/>
      </w:pPr>
      <w:r>
        <w:t>2. 产品方案与价值闭环</w:t>
      </w:r>
    </w:p>
    <w:p>
      <w:pPr>
        <w:pStyle w:val="Heading2"/>
      </w:pPr>
      <w:r>
        <w:t>2.1 产品形态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熊崽电竞由买家 App、同账号陪玩中心、管理员 Web 后台和统一服务端组成。普通用户默认拥有买家能力；实名认证并通过审核后，同一账号获得陪玩经营权限。管理员使用独立账号体系与 MFA，不与普通用户权限混用。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600"/>
        <w:gridCol w:w="4900"/>
        <w:gridCol w:w="28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端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主要能力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商业作用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买家 App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发现/搜索、主页与评价、收藏、咨询、预约、下单支付、履约确认、退款投诉。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降低决策成本，建立交易保障与复购路径。</w:t>
            </w:r>
          </w:p>
        </w:tc>
      </w:tr>
      <w:tr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陪玩中心</w:t>
            </w:r>
          </w:p>
        </w:tc>
        <w:tc>
          <w:tcPr>
            <w:tcW w:type="dxa" w:w="4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入驻审核、主页经营、服务/SKU、可用时段、接单履约、收益与提现。</w:t>
            </w:r>
          </w:p>
        </w:tc>
        <w:tc>
          <w:tcPr>
            <w:tcW w:type="dxa" w:w="2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把个人能力产品化，提升供给稳定性。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管理后台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供给/商品审核、客服、售后、财务对账、风险与平台配置。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控制履约、内容和资金风险，形成规模化治理。</w:t>
            </w:r>
          </w:p>
        </w:tc>
      </w:tr>
      <w:tr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统一服务端</w:t>
            </w:r>
          </w:p>
        </w:tc>
        <w:tc>
          <w:tcPr>
            <w:tcW w:type="dxa" w:w="4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身份、订单状态机、支付回调、账本、消息、通知、文件与审计。</w:t>
            </w:r>
          </w:p>
        </w:tc>
        <w:tc>
          <w:tcPr>
            <w:tcW w:type="dxa" w:w="2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建立唯一事实源，减少跨端金额与状态差异。</w:t>
            </w:r>
          </w:p>
        </w:tc>
      </w:tr>
    </w:tbl>
    <w:p>
      <w:pPr>
        <w:spacing w:after="40"/>
      </w:pPr>
    </w:p>
    <w:p>
      <w:pPr>
        <w:pStyle w:val="Heading2"/>
      </w:pPr>
      <w:r>
        <w:t>2.2 核心交易旅程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用户手机号登录并完成基础资料；陪玩先实名认证，再提交入驻审核。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陪玩创建公开主页，发布带图片、服务说明、可用时间和自定义价格的服务。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买家从首页/搜索进入陪玩主页，查看声音名片、服务、销量和评价，必要时先咨询。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买家选规格与时间，服务端重新计价并创建预约与订单；支付结果只以服务端为准。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陪玩接单、开始、完成；买家确认或系统按规则自动确认，平台生成收益与佣金。</w:t>
      </w:r>
    </w:p>
    <w:p>
      <w:pPr>
        <w:numPr>
          <w:ilvl w:val="0"/>
          <w:numId w:val="11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异常订单进入退款、投诉和客服流程；全过程保留快照、日志、消息和证据。</w:t>
      </w:r>
    </w:p>
    <w:p>
      <w:pPr>
        <w:pStyle w:val="Heading2"/>
      </w:pPr>
      <w:r>
        <w:t>2.3 MVP 的刻意取舍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聚焦  </w:t>
            </w:r>
            <w:r>
              <w:rPr>
                <w:rFonts w:ascii="Arial Unicode MS" w:hAnsi="Arial Unicode MS" w:eastAsia="Arial Unicode MS"/>
                <w:color w:val="172333"/>
              </w:rPr>
              <w:t>第一阶段只验证《和平精英》C2C 陪玩完整闭环，不做社区、直播、语音房、礼物打赏、会员积分、多游戏、AI 推荐或复杂预约。</w:t>
            </w:r>
          </w:p>
        </w:tc>
      </w:tr>
    </w:tbl>
    <w:p>
      <w:pPr>
        <w:spacing w:after="60"/>
      </w:pP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这一取舍减少了内容社区与交易平台两种完全不同的冷启动问题，也把审核、支付、履约和售后放在首位。后续扩游戏必须满足：现有游戏供需密度稳定、复购成立、治理成本可控、运营手册可复制。</w:t>
      </w:r>
    </w:p>
    <w:p>
      <w:pPr>
        <w:pStyle w:val="Heading2"/>
      </w:pPr>
      <w:r>
        <w:t>2.4 产品护城河如何形成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4530"/>
        <w:gridCol w:w="333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阶段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沉淀资产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增强机制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早期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真实供给资料、审核记录、服务规格、履约数据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人工精选与供需匹配提升成交率。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成长期</w:t>
            </w:r>
          </w:p>
        </w:tc>
        <w:tc>
          <w:tcPr>
            <w:tcW w:type="dxa" w:w="45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评价、复购、响应与取消率、售后与风险标签</w:t>
            </w:r>
          </w:p>
        </w:tc>
        <w:tc>
          <w:tcPr>
            <w:tcW w:type="dxa" w:w="33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优质供给获得更多自然流量，买家决策更快。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规模期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城市/时段/玩法的订单密度、单位经济与治理规则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排期和匹配效率提升，复制成本下降。</w:t>
            </w:r>
          </w:p>
        </w:tc>
      </w:tr>
    </w:tbl>
    <w:p>
      <w:pPr>
        <w:spacing w:after="40"/>
      </w:pPr>
    </w:p>
    <w:p>
      <w:pPr>
        <w:pStyle w:val="Heading1"/>
      </w:pPr>
      <w:r>
        <w:t>3. 商业模式与单位经济</w:t>
      </w:r>
    </w:p>
    <w:p>
      <w:pPr>
        <w:pStyle w:val="Heading2"/>
      </w:pPr>
      <w:r>
        <w:t>3.1 收入结构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1700"/>
        <w:gridCol w:w="3260"/>
        <w:gridCol w:w="290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收入项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上线顺序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建议机制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原则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订单佣金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MVP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按已完成订单 GMV 收取 15%–20%，基准模型取 18%。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只对真实完成交易计费；费率可按质量与规模分层。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经营工具</w:t>
            </w:r>
          </w:p>
        </w:tc>
        <w:tc>
          <w:tcPr>
            <w:tcW w:type="dxa" w:w="1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交易密度形成后</w:t>
            </w:r>
          </w:p>
        </w:tc>
        <w:tc>
          <w:tcPr>
            <w:tcW w:type="dxa" w:w="32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排期、数据看板、自动回复、主页增强等订阅。</w:t>
            </w:r>
          </w:p>
        </w:tc>
        <w:tc>
          <w:tcPr>
            <w:tcW w:type="dxa" w:w="2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不以付费替代审核，不承诺成交。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流量产品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增长期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明确标识的站内推荐位或活动资源包。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规则透明，禁止竞价掩盖质量信号。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认证/培训</w:t>
            </w:r>
          </w:p>
        </w:tc>
        <w:tc>
          <w:tcPr>
            <w:tcW w:type="dxa" w:w="1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可选</w:t>
            </w:r>
          </w:p>
        </w:tc>
        <w:tc>
          <w:tcPr>
            <w:tcW w:type="dxa" w:w="32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技能/服务规范认证、课程与考试。</w:t>
            </w:r>
          </w:p>
        </w:tc>
        <w:tc>
          <w:tcPr>
            <w:tcW w:type="dxa" w:w="2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认证不等同官方游戏背书。</w:t>
            </w:r>
          </w:p>
        </w:tc>
      </w:tr>
    </w:tbl>
    <w:p>
      <w:pPr>
        <w:spacing w:after="40"/>
      </w:pP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早期不建议依赖广告、礼物或虚拟币。订单佣金与平台提供的交易保障直接相关，最容易让买家、陪玩与平台目标一致；增值收入只在主交易闭环健康后启用。</w:t>
      </w:r>
    </w:p>
    <w:p>
      <w:pPr>
        <w:pStyle w:val="Heading2"/>
      </w:pPr>
      <w:r>
        <w:t>3.2 基准订单贡献模型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项目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单笔假设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说明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平均客单价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59.00 元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由一局/小时服务、段位需求和时段结构共同决定。</w:t>
            </w:r>
          </w:p>
        </w:tc>
      </w:tr>
      <w:tr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平台佣金（18%）</w:t>
            </w:r>
          </w:p>
        </w:tc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10.62 元</w:t>
            </w:r>
          </w:p>
        </w:tc>
        <w:tc>
          <w:tcPr>
            <w:tcW w:type="dxa" w:w="44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基准费率；实际需结合供给激励与税务口径。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支付/云/短信等变量成本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-1.05 元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随渠道、消息量和存储量变化。</w:t>
            </w:r>
          </w:p>
        </w:tc>
      </w:tr>
      <w:tr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退款损耗与风控准备</w:t>
            </w:r>
          </w:p>
        </w:tc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-0.45 元</w:t>
            </w:r>
          </w:p>
        </w:tc>
        <w:tc>
          <w:tcPr>
            <w:tcW w:type="dxa" w:w="44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为模型准备金，不等同实际坏账率。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单笔贡献毛利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约 9.12 元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用于覆盖获客、运营与固定成本。</w:t>
            </w:r>
          </w:p>
        </w:tc>
      </w:tr>
    </w:tbl>
    <w:p>
      <w:pPr>
        <w:spacing w:after="40"/>
      </w:pP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内部测算，不含税务差异、渠道补贴和未来增值收入。</w:t>
      </w:r>
    </w:p>
    <w:p>
      <w:pPr>
        <w:pStyle w:val="Heading2"/>
      </w:pPr>
      <w:r>
        <w:t>3.3 获客与 LTV 纪律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试点期目标：买家 12 个月内完成 6 单，对应贡献 LTV 约 55 元；混合 CAC 必须控制在 35 元以内。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成熟期目标：12 个月 9 单、贡献 LTV 约 82 元；混合 CAC 目标不高于 30 元，LTV/CAC 接近 2.7。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CAC 只统计新增首付用户，包含达人、活动、渠道佣金、优惠和对应人力；不得用注册用户稀释口径。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任何付费增长渠道必须按首单转化、30/90 日复购、售后率和贡献毛利回收期做 cohort 复盘。</w:t>
      </w:r>
    </w:p>
    <w:p>
      <w:pPr>
        <w:pStyle w:val="Heading2"/>
      </w:pPr>
      <w:r>
        <w:t>3.4 供给激励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供给侧不靠长期现金补贴堆数量，而以审核通过率、接单速度、完成率、复购和低售后率驱动阶梯权益。早期可采用“首批优质陪玩低佣/流量扶持 + 严格服务承诺”的组合，避免形成低质量供给套利。</w:t>
      </w:r>
    </w:p>
    <w:p>
      <w:pPr>
        <w:pStyle w:val="Heading1"/>
      </w:pPr>
      <w:r>
        <w:t>4. 竞争格局与差异化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竞争并不只来自同类陪玩平台，还包括社群私单、泛社交/语音娱乐平台和游戏社区。熊崽电竞不以“功能最多”竞争，而以单游戏的交易密度、可理解的服务规格和可执行的售后规则竞争。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900"/>
        <w:gridCol w:w="2100"/>
        <w:gridCol w:w="2860"/>
        <w:gridCol w:w="250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替代方案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优势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主要短板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熊崽电竞策略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社群/私单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熟人感强、价格灵活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无统一履约、资金和争议保障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用站内咨询与平台担保降低迁移阻力。</w:t>
            </w:r>
          </w:p>
        </w:tc>
      </w:tr>
      <w:tr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泛陪玩平台</w:t>
            </w:r>
          </w:p>
        </w:tc>
        <w:tc>
          <w:tcPr>
            <w:tcW w:type="dxa" w:w="21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品类与供给规模大</w:t>
            </w:r>
          </w:p>
        </w:tc>
        <w:tc>
          <w:tcPr>
            <w:tcW w:type="dxa" w:w="2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单游戏运营深度与体验差异化有限</w:t>
            </w:r>
          </w:p>
        </w:tc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集中做《和平精英》场景、规格和供给标准。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语音/直播平台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互动强、内容流量大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交易与履约边界弱，娱乐消费属性更强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坚持服务交易，不做礼物和虚拟币。</w:t>
            </w:r>
          </w:p>
        </w:tc>
      </w:tr>
      <w:tr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游戏社区/组队工具</w:t>
            </w:r>
          </w:p>
        </w:tc>
        <w:tc>
          <w:tcPr>
            <w:tcW w:type="dxa" w:w="21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用户意图接近游戏</w:t>
            </w:r>
          </w:p>
        </w:tc>
        <w:tc>
          <w:tcPr>
            <w:tcW w:type="dxa" w:w="2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商业服务、支付和售后能力弱</w:t>
            </w:r>
          </w:p>
        </w:tc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以可交易服务和长期信用沉淀补位。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差异化结论  </w:t>
            </w:r>
            <w:r>
              <w:rPr>
                <w:rFonts w:ascii="Arial Unicode MS" w:hAnsi="Arial Unicode MS" w:eastAsia="Arial Unicode MS"/>
                <w:color w:val="172333"/>
              </w:rPr>
              <w:t>“单游戏专注”不是永远只做一个游戏，而是先让供给密度、履约标准、评价与单位经济在一个场景里成立，再复制。</w:t>
            </w:r>
          </w:p>
        </w:tc>
      </w:tr>
    </w:tbl>
    <w:p>
      <w:pPr>
        <w:spacing w:after="60"/>
      </w:pPr>
    </w:p>
    <w:p>
      <w:pPr>
        <w:pStyle w:val="Heading1"/>
      </w:pPr>
      <w:r>
        <w:t>5. 市场进入与增长策略</w:t>
      </w:r>
    </w:p>
    <w:p>
      <w:pPr>
        <w:pStyle w:val="Heading2"/>
      </w:pPr>
      <w:r>
        <w:t>5.1 冷启动：先供给、后交易密度、再规模化获客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1200"/>
        <w:gridCol w:w="4300"/>
        <w:gridCol w:w="23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阶段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周期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核心动作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阶段门槛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封闭试点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0–3 个月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招募 100–200 名可审核陪玩；邀请制买家；跑通支付、履约、售后和提现演练。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核心链路成功率 ≥98%；有效供给覆盖目标时段。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城市/圈层试点</w:t>
            </w:r>
          </w:p>
        </w:tc>
        <w:tc>
          <w:tcPr>
            <w:tcW w:type="dxa" w:w="1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4–6 个月</w:t>
            </w:r>
          </w:p>
        </w:tc>
        <w:tc>
          <w:tcPr>
            <w:tcW w:type="dxa" w:w="4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高校、战队/俱乐部、内容达人合作；小规模转介绍；聚焦 2–3 个高频服务标签。</w:t>
            </w:r>
          </w:p>
        </w:tc>
        <w:tc>
          <w:tcPr>
            <w:tcW w:type="dxa" w:w="23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首单转化、30 日复购和贡献毛利达到内部阈值。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区域复制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7–12 个月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复制供给招募 SOP；扩大内容与联盟渠道；建立城市运营看板。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单城供需密度稳定，售后率不随规模恶化。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规模增长</w:t>
            </w:r>
          </w:p>
        </w:tc>
        <w:tc>
          <w:tcPr>
            <w:tcW w:type="dxa" w:w="1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13–18 个月</w:t>
            </w:r>
          </w:p>
        </w:tc>
        <w:tc>
          <w:tcPr>
            <w:tcW w:type="dxa" w:w="4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扩大自然流量、搜索与达人矩阵；尝试第二游戏前先做立项门。</w:t>
            </w:r>
          </w:p>
        </w:tc>
        <w:tc>
          <w:tcPr>
            <w:tcW w:type="dxa" w:w="23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CAC 回收期、复购和供给留存达到预算要求。</w:t>
            </w:r>
          </w:p>
        </w:tc>
      </w:tr>
    </w:tbl>
    <w:p>
      <w:pPr>
        <w:spacing w:after="40"/>
      </w:pPr>
    </w:p>
    <w:p>
      <w:pPr>
        <w:pStyle w:val="Heading2"/>
      </w:pPr>
      <w:r>
        <w:t>5.2 供给获取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种子供给：从稳定开播/接单的个人陪玩、小型工作室、校园电竞社群与战队周边招募。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审核标准：成年人、实名一致、游戏能力材料、声音/形象内容合规、服务承诺和可用时段。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上架辅导：帮助陪玩把“我会玩”拆成可购买的规格、时长、目标和边界，降低首单沟通成本。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留存机制：透明账单、准时打款、纠纷规则、数据反馈与优质供给曝光，避免只用补贴留人。</w:t>
      </w:r>
    </w:p>
    <w:p>
      <w:pPr>
        <w:pStyle w:val="Heading2"/>
      </w:pPr>
      <w:r>
        <w:t>5.3 需求获取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900"/>
        <w:gridCol w:w="4760"/>
        <w:gridCol w:w="270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渠道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内容/机制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首要衡量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短视频/直播达人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真实组队片段、服务边界、陪玩故事、玩法教学；用专属码归因。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首付 CAC、30 日复购、售后率</w:t>
            </w:r>
          </w:p>
        </w:tc>
      </w:tr>
      <w:tr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社群与校园</w:t>
            </w:r>
          </w:p>
        </w:tc>
        <w:tc>
          <w:tcPr>
            <w:tcW w:type="dxa" w:w="47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战队赛、开黑日、邀请制体验；以场景成交代替泛曝光。</w:t>
            </w:r>
          </w:p>
        </w:tc>
        <w:tc>
          <w:tcPr>
            <w:tcW w:type="dxa" w:w="2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活动付费率、群体复购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买家转介绍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完成订单后双向奖励，奖励与第二单绑定。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推荐 K 因子、奖励成本</w:t>
            </w:r>
          </w:p>
        </w:tc>
      </w:tr>
      <w:tr>
        <w:tc>
          <w:tcPr>
            <w:tcW w:type="dxa" w:w="19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供给自传播</w:t>
            </w:r>
          </w:p>
        </w:tc>
        <w:tc>
          <w:tcPr>
            <w:tcW w:type="dxa" w:w="47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陪玩主页卡片、服务链接、评价海报；禁止导向私下交易。</w:t>
            </w:r>
          </w:p>
        </w:tc>
        <w:tc>
          <w:tcPr>
            <w:tcW w:type="dxa" w:w="2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分享→咨询→付费漏斗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站内自然增长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收藏、复购入口、订单后再约、按真实质量排序。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自然订单占比、复购贡献</w:t>
            </w:r>
          </w:p>
        </w:tc>
      </w:tr>
    </w:tbl>
    <w:p>
      <w:pPr>
        <w:spacing w:after="40"/>
      </w:pPr>
    </w:p>
    <w:p>
      <w:pPr>
        <w:pStyle w:val="Heading2"/>
      </w:pPr>
      <w:r>
        <w:t>5.4 增长看板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500"/>
        <w:gridCol w:w="4680"/>
        <w:gridCol w:w="318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漏斗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核心指标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红线/解释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供给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申请→审核通过率、可售服务数、有效在线时段、陪玩 30/90 日留存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数量增长不能以降低审核标准为代价。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发现</w:t>
            </w:r>
          </w:p>
        </w:tc>
        <w:tc>
          <w:tcPr>
            <w:tcW w:type="dxa" w:w="46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主页到达率、服务详情率、咨询率、收藏率</w:t>
            </w:r>
          </w:p>
        </w:tc>
        <w:tc>
          <w:tcPr>
            <w:tcW w:type="dxa" w:w="31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需按来源和新老用户拆分。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交易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预览→下单→支付→接单→完成率、客单价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每一状态都以服务端事实为准。</w:t>
            </w:r>
          </w:p>
        </w:tc>
      </w:tr>
      <w:tr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质量</w:t>
            </w:r>
          </w:p>
        </w:tc>
        <w:tc>
          <w:tcPr>
            <w:tcW w:type="dxa" w:w="46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取消、拒单、超时、退款、投诉、客服首响、评分</w:t>
            </w:r>
          </w:p>
        </w:tc>
        <w:tc>
          <w:tcPr>
            <w:tcW w:type="dxa" w:w="31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规模增长时必须同步监测绝对量和比率。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经济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佣金收入、贡献毛利、CAC、回收期、LTV/CAC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不以 GMV 单一指标替代健康度。</w:t>
            </w:r>
          </w:p>
        </w:tc>
      </w:tr>
    </w:tbl>
    <w:p>
      <w:pPr>
        <w:spacing w:after="40"/>
      </w:pPr>
    </w:p>
    <w:p>
      <w:pPr>
        <w:pStyle w:val="Heading1"/>
      </w:pPr>
      <w:r>
        <w:t>6. 运营、信任与平台治理</w:t>
      </w:r>
    </w:p>
    <w:p>
      <w:pPr>
        <w:pStyle w:val="Heading2"/>
      </w:pPr>
      <w:r>
        <w:t>6.1 信任机制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400"/>
        <w:gridCol w:w="5280"/>
        <w:gridCol w:w="268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环节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控制机制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目标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入驻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实名、材料、版本化审核、管理员 MFA/RBAC/审计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确保人、账号与经营资格可追溯。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上架</w:t>
            </w:r>
          </w:p>
        </w:tc>
        <w:tc>
          <w:tcPr>
            <w:tcW w:type="dxa" w:w="52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服务与图片审核、价格/规格上限、历史版本保留</w:t>
            </w:r>
          </w:p>
        </w:tc>
        <w:tc>
          <w:tcPr>
            <w:tcW w:type="dxa" w:w="26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避免模糊承诺和违规内容。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交易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服务端计价、订单快照、预约冲突约束、支付回调幂等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金额与状态一致。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履约</w:t>
            </w:r>
          </w:p>
        </w:tc>
        <w:tc>
          <w:tcPr>
            <w:tcW w:type="dxa" w:w="52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站内消息、接单/开始/完成节点、超时任务</w:t>
            </w:r>
          </w:p>
        </w:tc>
        <w:tc>
          <w:tcPr>
            <w:tcW w:type="dxa" w:w="26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把争议从口述变成可核验事件。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售后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退款/投诉状态机、证据文件、客服工单、管理员操作日志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统一处理标准并沉淀风险信号。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结算</w:t>
            </w:r>
          </w:p>
        </w:tc>
        <w:tc>
          <w:tcPr>
            <w:tcW w:type="dxa" w:w="52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双录账、收入状态、负债抵扣、提现与对账</w:t>
            </w:r>
          </w:p>
        </w:tc>
        <w:tc>
          <w:tcPr>
            <w:tcW w:type="dxa" w:w="26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订单、平台佣金和陪玩收益可核对。</w:t>
            </w:r>
          </w:p>
        </w:tc>
      </w:tr>
    </w:tbl>
    <w:p>
      <w:pPr>
        <w:spacing w:after="40"/>
      </w:pPr>
    </w:p>
    <w:p>
      <w:pPr>
        <w:pStyle w:val="Heading2"/>
      </w:pPr>
      <w:r>
        <w:t>6.2 未成年人、内容与数据保护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陪玩供给仅向成年人开放；买家侧应完成年龄识别与未成年人模式/限制设计，禁止诱导沉迷和过度消费。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用户手机号、实名信息和设备凭证分级处理；敏感字段加密/哈希/脱敏，最小权限访问并保留审计。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如使用个性化排序，应提供关闭个性化推荐或不针对个人特征的选项，并维护可解释的排序规则。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APP 在境内提供互联网信息服务前应完成备案；隐私政策、第三方 SDK 清单、注销/导出与投诉渠道必须可用。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对“陪玩”可能衍生的色情擦边、私下交易、账号租售/代练、防沉迷绕过等风险建立词库、人工审核和处罚规则。</w:t>
      </w: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监管依据：未成年人网络保护条例；互联网信息服务算法推荐管理规定；网络数据安全管理条例；工信部 APP 备案通知。具体落地需由执业律师与合规负责人复核。</w:t>
      </w:r>
    </w:p>
    <w:p>
      <w:pPr>
        <w:pStyle w:val="Heading2"/>
      </w:pPr>
      <w:r>
        <w:t>6.3 客服与争议处理 SLA（建议）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400"/>
        <w:gridCol w:w="4300"/>
        <w:gridCol w:w="1700"/>
        <w:gridCol w:w="19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等级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示例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首次响应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目标处理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P0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人身安全、色情/诈骗、账户资金异常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15 分钟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立即限制风险对象，2 小时内升级负责人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P1</w:t>
            </w:r>
          </w:p>
        </w:tc>
        <w:tc>
          <w:tcPr>
            <w:tcW w:type="dxa" w:w="4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支付重复、服务未履约、重大投诉</w:t>
            </w:r>
          </w:p>
        </w:tc>
        <w:tc>
          <w:tcPr>
            <w:tcW w:type="dxa" w:w="1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30 分钟</w:t>
            </w:r>
          </w:p>
        </w:tc>
        <w:tc>
          <w:tcPr>
            <w:tcW w:type="dxa" w:w="19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24 小时内形成明确处理路径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P2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一般退款、服务质量、内容举报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 小时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48 小时内处理或告知补证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P3</w:t>
            </w:r>
          </w:p>
        </w:tc>
        <w:tc>
          <w:tcPr>
            <w:tcW w:type="dxa" w:w="4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使用咨询、资料修改、普通反馈</w:t>
            </w:r>
          </w:p>
        </w:tc>
        <w:tc>
          <w:tcPr>
            <w:tcW w:type="dxa" w:w="1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8 小时</w:t>
            </w:r>
          </w:p>
        </w:tc>
        <w:tc>
          <w:tcPr>
            <w:tcW w:type="dxa" w:w="19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 个工作日内闭环</w:t>
            </w:r>
          </w:p>
        </w:tc>
      </w:tr>
    </w:tbl>
    <w:p>
      <w:pPr>
        <w:spacing w:after="40"/>
      </w:pP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SLA 为建议目标，需与实际排班、渠道 SLA 和用户承诺一致。</w:t>
      </w:r>
    </w:p>
    <w:p>
      <w:pPr>
        <w:pStyle w:val="Heading1"/>
      </w:pPr>
      <w:r>
        <w:t>7. 技术与交付准备度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审阅结论（截至 2026-08-21）  </w:t>
            </w:r>
            <w:r>
              <w:rPr>
                <w:rFonts w:ascii="Arial Unicode MS" w:hAnsi="Arial Unicode MS" w:eastAsia="Arial Unicode MS"/>
                <w:color w:val="172333"/>
              </w:rPr>
              <w:t>项目已具备完整的业务域模型和可进入有限预发布联调的工程基础，但真实短信、支付/退款/打款、对象存储内容安全、实时聊天/推送与生产运维体系仍是上线前 P0。</w:t>
            </w:r>
          </w:p>
        </w:tc>
      </w:tr>
    </w:tbl>
    <w:p>
      <w:pPr>
        <w:spacing w:after="60"/>
      </w:pPr>
    </w:p>
    <w:p>
      <w:pPr>
        <w:pStyle w:val="Heading2"/>
      </w:pPr>
      <w:r>
        <w:t>7.1 已具备的核心能力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600"/>
        <w:gridCol w:w="5220"/>
        <w:gridCol w:w="254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领域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当前基础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商业价值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身份与权限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短信登录抽象、Web/原生会话、实名、管理员会话/MFA/RBAC、隐私与协议。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支撑可信供给与最小权限治理。</w:t>
            </w:r>
          </w:p>
        </w:tc>
      </w:tr>
      <w:tr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供给与商品</w:t>
            </w:r>
          </w:p>
        </w:tc>
        <w:tc>
          <w:tcPr>
            <w:tcW w:type="dxa" w:w="522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陪玩申请/审核、主页、服务/SKU、图片引用、可用时段、收藏与发现。</w:t>
            </w:r>
          </w:p>
        </w:tc>
        <w:tc>
          <w:tcPr>
            <w:tcW w:type="dxa" w:w="254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把非标能力结构化为可售服务。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订单与支付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服务端计价、预约、订单状态机、支付 Provider 抽象、回调幂等、超时任务。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降低超卖、错价和重复支付风险。</w:t>
            </w:r>
          </w:p>
        </w:tc>
      </w:tr>
      <w:tr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售后与评价</w:t>
            </w:r>
          </w:p>
        </w:tc>
        <w:tc>
          <w:tcPr>
            <w:tcW w:type="dxa" w:w="522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退款、投诉、证据、评价与聚合评分。</w:t>
            </w:r>
          </w:p>
        </w:tc>
        <w:tc>
          <w:tcPr>
            <w:tcW w:type="dxa" w:w="254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形成交易保障和长期信用。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财务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双录账、收益、负债抵扣、提现、对账。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建立佣金和陪玩收益的一致账务事实。</w:t>
            </w:r>
          </w:p>
        </w:tc>
      </w:tr>
      <w:tr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消息与运营</w:t>
            </w:r>
          </w:p>
        </w:tc>
        <w:tc>
          <w:tcPr>
            <w:tcW w:type="dxa" w:w="522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咨询/订单/客服会话、站内通知、客服工单、Outbox/Inbox。</w:t>
            </w:r>
          </w:p>
        </w:tc>
        <w:tc>
          <w:tcPr>
            <w:tcW w:type="dxa" w:w="254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支持履约沟通与运营触达。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移动端</w:t>
            </w:r>
          </w:p>
        </w:tc>
        <w:tc>
          <w:tcPr>
            <w:tcW w:type="dxa" w:w="5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买家与陪玩双角色主链路、订单/支付恢复、断网与状态反馈。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具备有限预发布联调基础。</w:t>
            </w:r>
          </w:p>
        </w:tc>
      </w:tr>
    </w:tbl>
    <w:p>
      <w:pPr>
        <w:spacing w:after="40"/>
      </w:pPr>
    </w:p>
    <w:p>
      <w:pPr>
        <w:pStyle w:val="Heading2"/>
      </w:pPr>
      <w:r>
        <w:t>7.2 最近一次内部验收记录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内部《Stage 9 验收》记录：Mobile 单元/契约测试 68 项通过；API 回归 50 项通过；Database 15 项通过；根项目测试 21 项通过；核心用户旅程 E2E 1 项通过；iOS/Android Expo Bundle 导出通过。该记录反映当时提交状态，不替代当前版本的持续集成结果或真实设备验收。</w:t>
      </w: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内部来源：apps/mobile/docs/stage-9-acceptance.md。计划书未重新执行全量测试。</w:t>
      </w:r>
    </w:p>
    <w:p>
      <w:pPr>
        <w:pStyle w:val="Heading2"/>
      </w:pPr>
      <w:r>
        <w:t>7.3 生产发布前 P0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P0 工作包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完成定义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真实交易渠道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短信、支付、退款、打款接入；回调验签、补单、对账、限额与灾备演练完成。</w:t>
            </w:r>
          </w:p>
        </w:tc>
      </w:tr>
      <w:tr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文件与内容安全</w:t>
            </w:r>
          </w:p>
        </w:tc>
        <w:tc>
          <w:tcPr>
            <w:tcW w:type="dxa" w:w="6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对象存储、授权上传/下载、病毒扫描、图片/音频审核、CDN 与生命周期清理完成。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实时与推送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WebSocket 或经容量批准的轮询方案；APNs/FCM 送达与退订链路完成。</w:t>
            </w:r>
          </w:p>
        </w:tc>
      </w:tr>
      <w:tr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账号权利</w:t>
            </w:r>
          </w:p>
        </w:tc>
        <w:tc>
          <w:tcPr>
            <w:tcW w:type="dxa" w:w="6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手机号换绑、账号注销、个人数据导出与删除策略可用。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生产运维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正式域名/签名、监控告警、日志脱敏、备份/PITR、容量压测、应急预案完成。</w:t>
            </w:r>
          </w:p>
        </w:tc>
      </w:tr>
      <w:tr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原生验收</w:t>
            </w:r>
          </w:p>
        </w:tc>
        <w:tc>
          <w:tcPr>
            <w:tcW w:type="dxa" w:w="68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iOS/Android 真机主链路、视觉、弱网、深链、支付回跳与无障碍验收完成。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7.4 技术策略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继续保持“服务端唯一事实源”：客户端深链、支付 SDK 返回值和本地缓存都不能直接修改订单/支付状态。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生产环境采用 PostgreSQL 16+ 作为交易与财务事实库；Outbox、Inbox、幂等键和调度任务支撑重试。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以配置管理佣金、超时、限额和审核规则，避免把运营政策写死在客户端或数据库结构里。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首阶段不过度微服务化；优先做可观测性、容量基线、备份恢复、权限审计与第三方渠道隔离。</w:t>
      </w:r>
    </w:p>
    <w:p>
      <w:pPr>
        <w:pStyle w:val="Heading1"/>
      </w:pPr>
      <w:r>
        <w:t>8. 组织与团队规划</w:t>
      </w:r>
    </w:p>
    <w:p>
      <w:pPr>
        <w:keepLines w:val="0"/>
        <w:widowControl/>
        <w:spacing w:before="0" w:after="16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</w:rPr>
        <w:t>仓库未包含创始团队履历、公司主体与股权信息，因此本节给出能力拼图和首年配置建议；融资材料发布前必须用真实人员、全职状态、过往业绩和股权结构替换。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600"/>
        <w:gridCol w:w="1600"/>
        <w:gridCol w:w="51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角色/能力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首年建议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关键责任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CEO/业务负责人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战略、融资、关键合作、经营结果与组织建设。</w:t>
            </w:r>
          </w:p>
        </w:tc>
      </w:tr>
      <w:tr>
        <w:tc>
          <w:tcPr>
            <w:tcW w:type="dxa" w:w="2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产品/运营负责人</w:t>
            </w:r>
          </w:p>
        </w:tc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</w:t>
            </w:r>
          </w:p>
        </w:tc>
        <w:tc>
          <w:tcPr>
            <w:tcW w:type="dxa" w:w="5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供需策略、交易规则、指标体系、用户研究。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技术负责人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架构、研发效率、安全、稳定性与第三方渠道。</w:t>
            </w:r>
          </w:p>
        </w:tc>
      </w:tr>
      <w:tr>
        <w:tc>
          <w:tcPr>
            <w:tcW w:type="dxa" w:w="2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后端/平台工程</w:t>
            </w:r>
          </w:p>
        </w:tc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2–3</w:t>
            </w:r>
          </w:p>
        </w:tc>
        <w:tc>
          <w:tcPr>
            <w:tcW w:type="dxa" w:w="5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交易、财务、风控、运维与数据。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移动端/前端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iOS/Android、管理后台与体验质量。</w:t>
            </w:r>
          </w:p>
        </w:tc>
      </w:tr>
      <w:tr>
        <w:tc>
          <w:tcPr>
            <w:tcW w:type="dxa" w:w="2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设计/内容</w:t>
            </w:r>
          </w:p>
        </w:tc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</w:t>
            </w:r>
          </w:p>
        </w:tc>
        <w:tc>
          <w:tcPr>
            <w:tcW w:type="dxa" w:w="5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产品设计、品牌、运营物料和内容规范。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供给与城市运营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3–5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招募、审核辅导、活动、陪玩成功。</w:t>
            </w:r>
          </w:p>
        </w:tc>
      </w:tr>
      <w:tr>
        <w:tc>
          <w:tcPr>
            <w:tcW w:type="dxa" w:w="2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客服/审核/风控</w:t>
            </w:r>
          </w:p>
        </w:tc>
        <w:tc>
          <w:tcPr>
            <w:tcW w:type="dxa" w:w="1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3–6（分阶段）</w:t>
            </w:r>
          </w:p>
        </w:tc>
        <w:tc>
          <w:tcPr>
            <w:tcW w:type="dxa" w:w="5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审核、售后、内容安全、欺诈与应急。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财务/法务/人事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外包 + 1 综合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支付结算、税务、合同、合规与行政。</w:t>
            </w:r>
          </w:p>
        </w:tc>
      </w:tr>
    </w:tbl>
    <w:p>
      <w:pPr>
        <w:spacing w:after="40"/>
      </w:pPr>
    </w:p>
    <w:p>
      <w:pPr>
        <w:pStyle w:val="Heading2"/>
      </w:pPr>
      <w:r>
        <w:t>8.1 组织原则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运营与风控共同拥有增长门槛：供给数量、GMV 不得绕过审核和售后红线。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产品、技术、客服每周共同复盘订单异常，规则变更形成版本、指标和回滚方案。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财务账务与业务订单由不同权限角色复核；生产密钥、后台权限与打款审批职责分离。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333"/>
        </w:rPr>
        <w:t>核心负责人激励与长期指标绑定：复购、贡献毛利、售后率和平台安全，而非单一 GMV。</w:t>
      </w:r>
    </w:p>
    <w:p>
      <w:pPr>
        <w:pStyle w:val="Heading2"/>
      </w:pPr>
      <w:r>
        <w:t>8.2 融资前必须补充的团队材料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资料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最低要求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核心成员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姓名、全职状态、岗位、相关产品/游戏/交易平台经验、可验证成果。</w:t>
            </w:r>
          </w:p>
        </w:tc>
      </w:tr>
      <w:tr>
        <w:tc>
          <w:tcPr>
            <w:tcW w:type="dxa" w:w="2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股权结构</w:t>
            </w:r>
          </w:p>
        </w:tc>
        <w:tc>
          <w:tcPr>
            <w:tcW w:type="dxa" w:w="69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创始人、员工期权池、历史投资人、代持/质押/对赌情况。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主体与资质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公司注册、知识产权、域名/商标、合同主体、税务与许可/备案路径。</w:t>
            </w:r>
          </w:p>
        </w:tc>
      </w:tr>
      <w:tr>
        <w:tc>
          <w:tcPr>
            <w:tcW w:type="dxa" w:w="2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投入与资产</w:t>
            </w:r>
          </w:p>
        </w:tc>
        <w:tc>
          <w:tcPr>
            <w:tcW w:type="dxa" w:w="69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已投入资金、代码/设计归属、第三方素材授权、服务器和渠道账号归属。</w:t>
            </w:r>
          </w:p>
        </w:tc>
      </w:tr>
    </w:tbl>
    <w:p>
      <w:pPr>
        <w:spacing w:after="40"/>
      </w:pPr>
    </w:p>
    <w:p>
      <w:pPr>
        <w:pStyle w:val="Heading1"/>
      </w:pPr>
      <w:r>
        <w:t>9. 财务计划与融资用途</w:t>
      </w:r>
    </w:p>
    <w:p>
      <w:pPr>
        <w:pStyle w:val="Heading2"/>
      </w:pPr>
      <w:r>
        <w:t>9.1 基准情景的底层假设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3200"/>
        <w:gridCol w:w="2053"/>
        <w:gridCol w:w="2053"/>
        <w:gridCol w:w="2054"/>
      </w:tblGrid>
      <w:tr>
        <w:trPr>
          <w:tblHeader w:val="true"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假设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1 年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2 年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3 年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平均月付费买家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6,000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25,000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75,000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每付费买家月均订单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1.25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1.45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1.65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平均客单价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59 元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62 元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66 元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佣金率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18%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18%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18%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增值收入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 万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80 万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240 万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计算公式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月付费买家 × 月均订单 × 客单价 × 12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同左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同左</w:t>
            </w:r>
          </w:p>
        </w:tc>
      </w:tr>
    </w:tbl>
    <w:p>
      <w:pPr>
        <w:spacing w:after="40"/>
      </w:pP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内部模型；不代表已存在用户、订单或收入。</w:t>
      </w:r>
    </w:p>
    <w:p>
      <w:pPr>
        <w:pStyle w:val="Heading2"/>
      </w:pPr>
      <w:r>
        <w:t>9.2 三年损益摘要（人民币万元）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3200"/>
        <w:gridCol w:w="2053"/>
        <w:gridCol w:w="2053"/>
        <w:gridCol w:w="2054"/>
      </w:tblGrid>
      <w:tr>
        <w:trPr>
          <w:tblHeader w:val="true"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项目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1 年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2 年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第 3 年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GMV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531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2,697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9,801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佣金收入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96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485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1,764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增值收入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80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240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平台净收入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114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565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2,004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直接成本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24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95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320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毛利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90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470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1,684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研发与基础设施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320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390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480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运营/客服/审核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180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310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480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市场与销售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150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260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430</w:t>
            </w:r>
          </w:p>
        </w:tc>
      </w:tr>
      <w:tr>
        <w:tc>
          <w:tcPr>
            <w:tcW w:type="dxa" w:w="3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管理/合规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90</w:t>
            </w:r>
          </w:p>
        </w:tc>
        <w:tc>
          <w:tcPr>
            <w:tcW w:type="dxa" w:w="2053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70</w:t>
            </w:r>
          </w:p>
        </w:tc>
        <w:tc>
          <w:tcPr>
            <w:tcW w:type="dxa" w:w="2054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170</w:t>
            </w:r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EBITDA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-650</w:t>
            </w:r>
          </w:p>
        </w:tc>
        <w:tc>
          <w:tcPr>
            <w:tcW w:type="dxa" w:w="205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-560</w:t>
            </w:r>
          </w:p>
        </w:tc>
        <w:tc>
          <w:tcPr>
            <w:tcW w:type="dxa" w:w="20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+124</w:t>
            </w:r>
          </w:p>
        </w:tc>
      </w:tr>
    </w:tbl>
    <w:p>
      <w:pPr>
        <w:spacing w:after="40"/>
      </w:pP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四舍五入可能造成尾差；未计融资成本、所得税、折旧摊销及潜在股份支付。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03A67"/>
          <w:sz w:val="19"/>
        </w:rPr>
        <w:t>基准情景：GMV、净收入与 EBITDA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8336"/>
            <wp:docPr id="2" name="Picture 2" title="三年财务基准情景图" descr="第1年至第3年的 GMV、平台净收入与 EBITDA 柱状图；单位为人民币百万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lan_financi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Source"/>
      </w:pPr>
      <w:r>
        <w:rPr>
          <w:rFonts w:ascii="Arial Unicode MS" w:hAnsi="Arial Unicode MS" w:eastAsia="Arial Unicode MS"/>
          <w:color w:val="5E6D7E"/>
          <w:sz w:val="17"/>
        </w:rPr>
        <w:t>图示单位：人民币百万元。</w:t>
      </w:r>
    </w:p>
    <w:p>
      <w:pPr>
        <w:pStyle w:val="Heading2"/>
      </w:pPr>
      <w:r>
        <w:t>9.3 第三年敏感性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300"/>
        <w:gridCol w:w="1700"/>
        <w:gridCol w:w="1800"/>
        <w:gridCol w:w="1500"/>
        <w:gridCol w:w="3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情景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年度 GMV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平台净收入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EBITDA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主要触发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保守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5,500 万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1,140 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-400 万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付费买家/频次低于计划，CAC 较高。</w:t>
            </w:r>
          </w:p>
        </w:tc>
      </w:tr>
      <w:tr>
        <w:tc>
          <w:tcPr>
            <w:tcW w:type="dxa" w:w="1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基准</w:t>
            </w:r>
          </w:p>
        </w:tc>
        <w:tc>
          <w:tcPr>
            <w:tcW w:type="dxa" w:w="17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9,801 万</w:t>
            </w:r>
          </w:p>
        </w:tc>
        <w:tc>
          <w:tcPr>
            <w:tcW w:type="dxa" w:w="18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2,004 万</w:t>
            </w:r>
          </w:p>
        </w:tc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+124 万</w:t>
            </w:r>
          </w:p>
        </w:tc>
        <w:tc>
          <w:tcPr>
            <w:tcW w:type="dxa" w:w="30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供给密度、复购和 18% 佣金按计划实现。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进取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1.50 亿元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3,100 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+850 万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区域复制顺利，增值收入与自然增长占比提升。</w:t>
            </w:r>
          </w:p>
        </w:tc>
      </w:tr>
    </w:tbl>
    <w:p>
      <w:pPr>
        <w:spacing w:after="40"/>
      </w:pPr>
    </w:p>
    <w:p>
      <w:pPr>
        <w:pStyle w:val="Heading2"/>
      </w:pPr>
      <w:r>
        <w:t>9.4 融资建议与资金用途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4FF"/>
          <w:left w:val="single" w:sz="0" w:space="0" w:color="EAF4FF"/>
          <w:bottom w:val="single" w:sz="0" w:space="0" w:color="EAF4FF"/>
          <w:right w:val="single" w:sz="0" w:space="0" w:color="EAF4FF"/>
          <w:insideH w:val="single" w:sz="0" w:space="0" w:color="EAF4FF"/>
          <w:insideV w:val="single" w:sz="0" w:space="0" w:color="EA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1677FF"/>
              </w:rPr>
              <w:t xml:space="preserve">建议方案  </w:t>
            </w:r>
            <w:r>
              <w:rPr>
                <w:rFonts w:ascii="Arial Unicode MS" w:hAnsi="Arial Unicode MS" w:eastAsia="Arial Unicode MS"/>
                <w:color w:val="172333"/>
              </w:rPr>
              <w:t>融资人民币 1,200 万元，预计覆盖 18–24 个月；目标不是用补贴购买 GMV，而是完成生产化、验证单位经济并形成可复制的供给运营系统。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500"/>
        <w:gridCol w:w="1200"/>
        <w:gridCol w:w="1500"/>
        <w:gridCol w:w="41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用途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占比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金额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交付结果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产品研发与基础设施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32%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384 万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真实渠道、文件安全、实时推送、监控备份、原生发布。</w:t>
            </w:r>
          </w:p>
        </w:tc>
      </w:tr>
      <w:tr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供给与城市运营</w:t>
            </w:r>
          </w:p>
        </w:tc>
        <w:tc>
          <w:tcPr>
            <w:tcW w:type="dxa" w:w="1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25%</w:t>
            </w:r>
          </w:p>
        </w:tc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300 万</w:t>
            </w:r>
          </w:p>
        </w:tc>
        <w:tc>
          <w:tcPr>
            <w:tcW w:type="dxa" w:w="4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种子供给、审核辅导、试点运营与陪玩成功。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市场与增长实验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25%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300 万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内容/达人/社群渠道、归因、转介绍和增长验证。</w:t>
            </w:r>
          </w:p>
        </w:tc>
      </w:tr>
      <w:tr>
        <w:tc>
          <w:tcPr>
            <w:tcW w:type="dxa" w:w="2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合规、客服与风控</w:t>
            </w:r>
          </w:p>
        </w:tc>
        <w:tc>
          <w:tcPr>
            <w:tcW w:type="dxa" w:w="12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10%</w:t>
            </w:r>
          </w:p>
        </w:tc>
        <w:tc>
          <w:tcPr>
            <w:tcW w:type="dxa" w:w="15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120 万</w:t>
            </w:r>
          </w:p>
        </w:tc>
        <w:tc>
          <w:tcPr>
            <w:tcW w:type="dxa" w:w="41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法律合规、审核、客服、反欺诈和应急。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流动性与预备金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8%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96 万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8"/>
              </w:rPr>
              <w:t>渠道保证金、突发事件和经营缓冲。</w:t>
            </w:r>
          </w:p>
        </w:tc>
      </w:tr>
    </w:tbl>
    <w:p>
      <w:pPr>
        <w:spacing w:after="40"/>
      </w:pPr>
    </w:p>
    <w:p>
      <w:pPr>
        <w:pStyle w:val="Heading1"/>
      </w:pPr>
      <w:r>
        <w:t>10. 里程碑、风险与关键决策</w:t>
      </w:r>
    </w:p>
    <w:p>
      <w:pPr>
        <w:pStyle w:val="Heading2"/>
      </w:pPr>
      <w:r>
        <w:t>10.1 18 个月里程碑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1400"/>
        <w:gridCol w:w="3150"/>
        <w:gridCol w:w="2630"/>
        <w:gridCol w:w="218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时间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产品/技术</w:t>
            </w:r>
          </w:p>
        </w:tc>
        <w:tc>
          <w:tcPr>
            <w:tcW w:type="dxa" w:w="2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运营/商业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验收门槛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0–3 月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关闭真实渠道、文件安全、监控备份与真机验收 P0。</w:t>
            </w:r>
          </w:p>
        </w:tc>
        <w:tc>
          <w:tcPr>
            <w:tcW w:type="dxa" w:w="2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100–200 名种子陪玩，邀请制买家。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支付/退款/提现/售后演练；零金额差异。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4–6 月</w:t>
            </w:r>
          </w:p>
        </w:tc>
        <w:tc>
          <w:tcPr>
            <w:tcW w:type="dxa" w:w="315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正式发布，完善风控、客服看板和归因。</w:t>
            </w:r>
          </w:p>
        </w:tc>
        <w:tc>
          <w:tcPr>
            <w:tcW w:type="dxa" w:w="26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2–3 个圈层试点，打磨服务标签。</w:t>
            </w:r>
          </w:p>
        </w:tc>
        <w:tc>
          <w:tcPr>
            <w:tcW w:type="dxa" w:w="21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首单转化、30 日复购、售后率达到内部门槛。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7–12 月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提升性能与自动化审核辅助。</w:t>
            </w:r>
          </w:p>
        </w:tc>
        <w:tc>
          <w:tcPr>
            <w:tcW w:type="dxa" w:w="2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复制到更多圈层/城市，扩大自然增长。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平均月付费买家接近 6,000；贡献模型成立。</w:t>
            </w:r>
          </w:p>
        </w:tc>
      </w:tr>
      <w:tr>
        <w:tc>
          <w:tcPr>
            <w:tcW w:type="dxa" w:w="14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13–18 月</w:t>
            </w:r>
          </w:p>
        </w:tc>
        <w:tc>
          <w:tcPr>
            <w:tcW w:type="dxa" w:w="315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数据平台与供给经营工具。</w:t>
            </w:r>
          </w:p>
        </w:tc>
        <w:tc>
          <w:tcPr>
            <w:tcW w:type="dxa" w:w="263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区域复制；评估第二游戏。</w:t>
            </w:r>
          </w:p>
        </w:tc>
        <w:tc>
          <w:tcPr>
            <w:tcW w:type="dxa" w:w="21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CAC 回收、供给留存、复购和治理成本可复制。</w:t>
            </w:r>
          </w:p>
        </w:tc>
      </w:tr>
    </w:tbl>
    <w:p>
      <w:pPr>
        <w:spacing w:after="40"/>
      </w:pPr>
    </w:p>
    <w:p>
      <w:pPr>
        <w:pStyle w:val="Heading2"/>
      </w:pPr>
      <w:r>
        <w:t>10.2 主要风险与缓释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风险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预警指标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缓释措施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供需冷启动失败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有效时段覆盖低、咨询响应慢、下单转化低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先供给后买家；只做高频时段与少数服务标签；城市/圈层密度门槛。</w:t>
            </w:r>
          </w:p>
        </w:tc>
      </w:tr>
      <w:tr>
        <w:tc>
          <w:tcPr>
            <w:tcW w:type="dxa" w:w="2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获客成本过高</w:t>
            </w:r>
          </w:p>
        </w:tc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CAC 回收期拉长、首单补贴依赖</w:t>
            </w:r>
          </w:p>
        </w:tc>
        <w:tc>
          <w:tcPr>
            <w:tcW w:type="dxa" w:w="40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内容/社群/转介绍并行；按 cohort 关停低质量渠道。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履约和售后恶化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拒单/超时/退款/投诉上升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阶梯权益、超时处罚、服务承诺模板、客服 SLA 与复盘。</w:t>
            </w:r>
          </w:p>
        </w:tc>
      </w:tr>
      <w:tr>
        <w:tc>
          <w:tcPr>
            <w:tcW w:type="dxa" w:w="2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内容与人身安全</w:t>
            </w:r>
          </w:p>
        </w:tc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违规词、私下交易、骚扰举报</w:t>
            </w:r>
          </w:p>
        </w:tc>
        <w:tc>
          <w:tcPr>
            <w:tcW w:type="dxa" w:w="40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成年供给、内容审核、站内留痕、快速限制和执法协作流程。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支付与资金风险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账务差异、重复回调、提现异常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Provider 隔离、幂等、双录账、对账、限额和审批分离。</w:t>
            </w:r>
          </w:p>
        </w:tc>
      </w:tr>
      <w:tr>
        <w:tc>
          <w:tcPr>
            <w:tcW w:type="dxa" w:w="2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生产稳定性</w:t>
            </w:r>
          </w:p>
        </w:tc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错误率、P95、任务积压、推送失败</w:t>
            </w:r>
          </w:p>
        </w:tc>
        <w:tc>
          <w:tcPr>
            <w:tcW w:type="dxa" w:w="40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可观测性、容量压测、备份恢复、降级和演练。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监管变化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备案/未保/算法/数据要求变化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合规负责人 + 外部律师；产品开关、规则版本和审计证据。</w:t>
            </w:r>
          </w:p>
        </w:tc>
      </w:tr>
      <w:tr>
        <w:tc>
          <w:tcPr>
            <w:tcW w:type="dxa" w:w="23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单游戏集中</w:t>
            </w:r>
          </w:p>
        </w:tc>
        <w:tc>
          <w:tcPr>
            <w:tcW w:type="dxa" w:w="3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游戏热度与政策冲击</w:t>
            </w:r>
          </w:p>
        </w:tc>
        <w:tc>
          <w:tcPr>
            <w:tcW w:type="dxa" w:w="40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先验证运营模型；第二游戏设立数据化立项门，不盲目扩张。</w:t>
            </w:r>
          </w:p>
        </w:tc>
      </w:tr>
    </w:tbl>
    <w:p>
      <w:pPr>
        <w:spacing w:after="40"/>
      </w:pPr>
    </w:p>
    <w:p>
      <w:pPr>
        <w:pStyle w:val="Heading2"/>
      </w:pPr>
      <w:r>
        <w:t>10.3 当前最重要的六个决策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确认公司主体、创始团队、股权与代码/商标/素材知识产权归属。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确认成年供给与买家未成年人策略，并完成法律合规评审。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选择真实短信、支付、退款、打款、对象存储、内容安全和推送渠道。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确定首个试点城市/圈层、种子供给名单、服务标签与首批买家来源。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冻结佣金、退款、超时、投诉和提现规则，以及对应用户协议与客服口径。</w:t>
      </w:r>
    </w:p>
    <w:p>
      <w:pPr>
        <w:numPr>
          <w:ilvl w:val="0"/>
          <w:numId w:val="13"/>
        </w:numPr>
        <w:spacing w:after="100" w:line="290" w:lineRule="auto"/>
      </w:pPr>
      <w:r>
        <w:rPr>
          <w:rFonts w:ascii="Arial Unicode MS" w:hAnsi="Arial Unicode MS" w:eastAsia="Arial Unicode MS"/>
          <w:color w:val="172333"/>
        </w:rPr>
        <w:t>批准基准预算、18 个月里程碑和“继续/调整/停止”阶段门。</w:t>
      </w:r>
    </w:p>
    <w:p>
      <w:pPr>
        <w:pStyle w:val="Heading1"/>
      </w:pPr>
      <w:r>
        <w:t>附录 A｜关键 KPI 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2000"/>
        <w:gridCol w:w="4380"/>
        <w:gridCol w:w="298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KPI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定义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管理用途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有效供给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审核通过、至少一个在售服务且未来 7 天有可约时段的陪玩。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衡量真实可成交供给，而非注册数。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月付费买家</w:t>
            </w:r>
          </w:p>
        </w:tc>
        <w:tc>
          <w:tcPr>
            <w:tcW w:type="dxa" w:w="43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当月完成至少一笔成功支付且未全额退款的去重买家。</w:t>
            </w:r>
          </w:p>
        </w:tc>
        <w:tc>
          <w:tcPr>
            <w:tcW w:type="dxa" w:w="29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财务模型核心驱动。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支付转化率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成功支付订单数 ÷ 有效订单预览用户数。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定位价格、信任与支付阻力。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完成率</w:t>
            </w:r>
          </w:p>
        </w:tc>
        <w:tc>
          <w:tcPr>
            <w:tcW w:type="dxa" w:w="43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完成并确认订单数 ÷ 成功支付订单数。</w:t>
            </w:r>
          </w:p>
        </w:tc>
        <w:tc>
          <w:tcPr>
            <w:tcW w:type="dxa" w:w="29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核心履约质量。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30 日复购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首单后 30 日内再次成功支付的买家占比。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验证服务价值与 LTV。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有效售后率</w:t>
            </w:r>
          </w:p>
        </w:tc>
        <w:tc>
          <w:tcPr>
            <w:tcW w:type="dxa" w:w="43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进入退款/投诉且平台认定有效的订单 ÷ 完成订单。</w:t>
            </w:r>
          </w:p>
        </w:tc>
        <w:tc>
          <w:tcPr>
            <w:tcW w:type="dxa" w:w="29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衡量质量与治理成本。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贡献毛利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平台净收入减支付、短信、云资源、退款损耗等直接变量成本。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决定可承受 CAC。</w:t>
            </w:r>
          </w:p>
        </w:tc>
      </w:tr>
      <w:tr>
        <w:tc>
          <w:tcPr>
            <w:tcW w:type="dxa" w:w="20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CAC</w:t>
            </w:r>
          </w:p>
        </w:tc>
        <w:tc>
          <w:tcPr>
            <w:tcW w:type="dxa" w:w="43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获客相关费用 ÷ 新增首付买家。</w:t>
            </w:r>
          </w:p>
        </w:tc>
        <w:tc>
          <w:tcPr>
            <w:tcW w:type="dxa" w:w="298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评价增长效率。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7"/>
              </w:rPr>
              <w:t>供给 90 日留存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首个在售日后第 90 天仍为有效供给的比例。</w:t>
            </w:r>
          </w:p>
        </w:tc>
        <w:tc>
          <w:tcPr>
            <w:tcW w:type="dxa" w:w="2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7"/>
              </w:rPr>
              <w:t>评价陪玩经营价值。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附录 B｜主要资料来源</w:t>
      </w:r>
    </w:p>
    <w:p>
      <w:pPr>
        <w:pStyle w:val="SmallSource"/>
        <w:numPr>
          <w:ilvl w:val="0"/>
          <w:numId w:val="10"/>
        </w:numPr>
        <w:spacing w:before="0" w:after="20" w:line="240" w:lineRule="auto"/>
      </w:pPr>
      <w:hyperlink r:id="rId13">
        <w:r>
          <w:rPr>
            <w:rFonts w:ascii="Arial Unicode MS" w:hAnsi="Arial Unicode MS" w:eastAsia="Arial Unicode MS"/>
            <w:color w:val="1677FF"/>
            <w:u w:val="single"/>
          </w:rPr>
          <w:t>中国音像与数字出版协会｜《2025 年中国游戏产业报告》正式发布</w:t>
        </w:r>
      </w:hyperlink>
    </w:p>
    <w:p>
      <w:pPr>
        <w:pStyle w:val="SmallSource"/>
        <w:numPr>
          <w:ilvl w:val="0"/>
          <w:numId w:val="10"/>
        </w:numPr>
        <w:spacing w:before="0" w:after="20" w:line="240" w:lineRule="auto"/>
      </w:pPr>
      <w:hyperlink r:id="rId14">
        <w:r>
          <w:rPr>
            <w:rFonts w:ascii="Arial Unicode MS" w:hAnsi="Arial Unicode MS" w:eastAsia="Arial Unicode MS"/>
            <w:color w:val="1677FF"/>
            <w:u w:val="single"/>
          </w:rPr>
          <w:t>国务院/教育部｜《未成年人网络保护条例》</w:t>
        </w:r>
      </w:hyperlink>
    </w:p>
    <w:p>
      <w:pPr>
        <w:pStyle w:val="SmallSource"/>
        <w:numPr>
          <w:ilvl w:val="0"/>
          <w:numId w:val="10"/>
        </w:numPr>
        <w:spacing w:before="0" w:after="20" w:line="240" w:lineRule="auto"/>
      </w:pPr>
      <w:hyperlink r:id="rId15">
        <w:r>
          <w:rPr>
            <w:rFonts w:ascii="Arial Unicode MS" w:hAnsi="Arial Unicode MS" w:eastAsia="Arial Unicode MS"/>
            <w:color w:val="1677FF"/>
            <w:u w:val="single"/>
          </w:rPr>
          <w:t>国家互联网信息办公室｜《互联网信息服务算法推荐管理规定》</w:t>
        </w:r>
      </w:hyperlink>
    </w:p>
    <w:p>
      <w:pPr>
        <w:pStyle w:val="SmallSource"/>
        <w:numPr>
          <w:ilvl w:val="0"/>
          <w:numId w:val="10"/>
        </w:numPr>
        <w:spacing w:before="0" w:after="20" w:line="240" w:lineRule="auto"/>
      </w:pPr>
      <w:hyperlink r:id="rId16">
        <w:r>
          <w:rPr>
            <w:rFonts w:ascii="Arial Unicode MS" w:hAnsi="Arial Unicode MS" w:eastAsia="Arial Unicode MS"/>
            <w:color w:val="1677FF"/>
            <w:u w:val="single"/>
          </w:rPr>
          <w:t>中国政府网｜《网络数据安全管理条例》</w:t>
        </w:r>
      </w:hyperlink>
    </w:p>
    <w:p>
      <w:pPr>
        <w:pStyle w:val="SmallSource"/>
        <w:numPr>
          <w:ilvl w:val="0"/>
          <w:numId w:val="10"/>
        </w:numPr>
        <w:spacing w:before="0" w:after="20" w:line="240" w:lineRule="auto"/>
      </w:pPr>
      <w:hyperlink r:id="rId17">
        <w:r>
          <w:rPr>
            <w:rFonts w:ascii="Arial Unicode MS" w:hAnsi="Arial Unicode MS" w:eastAsia="Arial Unicode MS"/>
            <w:color w:val="1677FF"/>
            <w:u w:val="single"/>
          </w:rPr>
          <w:t>工业和信息化部｜关于开展移动互联网应用程序备案工作的通知</w:t>
        </w:r>
      </w:hyperlink>
    </w:p>
    <w:p>
      <w:pPr>
        <w:pStyle w:val="Heading1"/>
        <w:spacing w:before="200" w:after="100"/>
      </w:pPr>
      <w:r>
        <w:t>附录 C｜内部依据与待补资料</w:t>
      </w:r>
    </w:p>
    <w:p>
      <w:pPr>
        <w:keepLines w:val="0"/>
        <w:widowControl/>
        <w:spacing w:before="0" w:after="80" w:line="307" w:lineRule="auto"/>
      </w:pPr>
      <w:r>
        <w:rPr>
          <w:rFonts w:ascii="Arial Unicode MS" w:hAnsi="Arial Unicode MS" w:eastAsia="Arial Unicode MS"/>
          <w:b w:val="0"/>
          <w:i w:val="0"/>
          <w:color w:val="172333"/>
          <w:sz w:val="18"/>
        </w:rPr>
        <w:t>内部依据包括：PRD V2.0、数据库 Schema，以及身份、商品、订单支付、售后、财务、客服通知、文件存储和移动端 Stage 9 验收文档。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8E8"/>
          <w:left w:val="single" w:sz="6" w:space="0" w:color="C9D8E8"/>
          <w:bottom w:val="single" w:sz="6" w:space="0" w:color="C9D8E8"/>
          <w:right w:val="single" w:sz="6" w:space="0" w:color="C9D8E8"/>
          <w:insideH w:val="single" w:sz="6" w:space="0" w:color="C9D8E8"/>
          <w:insideV w:val="single" w:sz="6" w:space="0" w:color="C9D8E8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待补资料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F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03A67"/>
                <w:sz w:val="18"/>
              </w:rPr>
              <w:t>用途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6"/>
              </w:rPr>
              <w:t>公司全称、注册地址、股权结构、融资历史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6"/>
              </w:rPr>
              <w:t>封面、公司介绍、投资条款与法律尽调。</w:t>
            </w:r>
          </w:p>
        </w:tc>
      </w:tr>
      <w:tr>
        <w:tc>
          <w:tcPr>
            <w:tcW w:type="dxa" w:w="3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6"/>
              </w:rPr>
              <w:t>创始团队真实履历与全职状态</w:t>
            </w:r>
          </w:p>
        </w:tc>
        <w:tc>
          <w:tcPr>
            <w:tcW w:type="dxa" w:w="57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6"/>
              </w:rPr>
              <w:t>团队章节与关键人风险判断。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6"/>
              </w:rPr>
              <w:t>已投入资金、合作方、测试用户、试点圈层与种子供给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6"/>
              </w:rPr>
              <w:t>验证执行基础，并校准市场进入与审核产能。</w:t>
            </w:r>
          </w:p>
        </w:tc>
      </w:tr>
      <w:tr>
        <w:tc>
          <w:tcPr>
            <w:tcW w:type="dxa" w:w="360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6"/>
              </w:rPr>
              <w:t>真实渠道报价与税务意见</w:t>
            </w:r>
          </w:p>
        </w:tc>
        <w:tc>
          <w:tcPr>
            <w:tcW w:type="dxa" w:w="5760"/>
            <w:shd w:fill="F5F9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6"/>
              </w:rPr>
              <w:t>替换短信、支付、存储、审核、打款和税费假设。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03A67"/>
                <w:sz w:val="16"/>
              </w:rPr>
              <w:t>目标融资金额、估值、出让比例与资金到账计划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333"/>
                <w:sz w:val="16"/>
              </w:rPr>
              <w:t>形成正式融资版本。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E2"/>
          <w:left w:val="single" w:sz="0" w:space="0" w:color="FFF7E2"/>
          <w:bottom w:val="single" w:sz="0" w:space="0" w:color="FFF7E2"/>
          <w:right w:val="single" w:sz="0" w:space="0" w:color="FFF7E2"/>
          <w:insideH w:val="single" w:sz="0" w:space="0" w:color="FFF7E2"/>
          <w:insideV w:val="single" w:sz="0" w:space="0" w:color="FFF7E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2"/>
            <w:tcBorders/>
          </w:tcPr>
          <w:p>
            <w:pPr>
              <w:keepLines/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9A6A00"/>
              </w:rPr>
              <w:t xml:space="preserve">免责声明  </w:t>
            </w:r>
            <w:r>
              <w:rPr>
                <w:rFonts w:ascii="Arial Unicode MS" w:hAnsi="Arial Unicode MS" w:eastAsia="Arial Unicode MS"/>
                <w:color w:val="172333"/>
              </w:rPr>
              <w:t>本文件为商业讨论与内部规划材料，不构成投资、法律、税务或监管意见。所有预测均受市场、团队、渠道与政策变化影响；对外使用前应完成财务、法律和数据核验。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81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E6D7E"/>
        <w:sz w:val="17"/>
      </w:rPr>
      <w:t xml:space="preserve">第 </w:t>
    </w:r>
    <w:fldSimple w:instr="PAGE"/>
    <w:r>
      <w:rPr>
        <w:rFonts w:ascii="Arial Unicode MS" w:hAnsi="Arial Unicode MS" w:eastAsia="Arial Unicode MS"/>
        <w:color w:val="5E6D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5E6D7E"/>
        <w:sz w:val="17"/>
      </w:rPr>
      <w:t>熊崽电竞｜商业计划书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0">
    <w:abstractNumId w:val="9"/>
  </w: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07" w:lineRule="auto"/>
      <w:jc w:val="both"/>
    </w:pPr>
    <w:rPr>
      <w:rFonts w:ascii="Arial Unicode MS" w:hAnsi="Arial Unicode MS" w:eastAsia="Arial Unicode MS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3A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03A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03A6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E6D7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basedOn w:val="Normal"/>
    <w:pPr>
      <w:spacing w:before="60" w:after="100" w:line="269" w:lineRule="auto"/>
    </w:pPr>
    <w:rPr>
      <w:rFonts w:ascii="Arial Unicode MS" w:hAnsi="Arial Unicode MS" w:eastAsia="Arial Unicode MS"/>
      <w:color w:val="5E6D7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cadpa.org.cn/3277/202512/41770.html" TargetMode="External"/><Relationship Id="rId14" Type="http://schemas.openxmlformats.org/officeDocument/2006/relationships/hyperlink" Target="https://www.moe.gov.cn/jyb_xxgk/moe_1777/moe_1778/202310/t20231025_1087333.html" TargetMode="External"/><Relationship Id="rId15" Type="http://schemas.openxmlformats.org/officeDocument/2006/relationships/hyperlink" Target="https://www.cac.gov.cn/2022-01/04/c_1642894606364259.htm" TargetMode="External"/><Relationship Id="rId16" Type="http://schemas.openxmlformats.org/officeDocument/2006/relationships/hyperlink" Target="https://app.www.gov.cn/govdata/gov/202409/30/520076/article.html" TargetMode="External"/><Relationship Id="rId17" Type="http://schemas.openxmlformats.org/officeDocument/2006/relationships/hyperlink" Target="https://www.miit.gov.cn/zwgk/zcwj/wjfb/tz/art/2023/art_920db564162e4312916a01bed6540ad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熊崽电竞商业计划书 V1.0</dc:title>
  <dc:subject>《和平精英》C2C 游戏陪玩交易平台</dc:subject>
  <dc:creator>熊崽电竞项目组</dc:creator>
  <cp:keywords>商业计划书, C2C, 游戏陪玩, 和平精英, 熊崽电竞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