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Informe Ejecutivo</w:t>
      </w:r>
    </w:p>
    <w:p>
      <w:pPr>
        <w:spacing w:after="120" w:before="80"/>
        <w:jc w:val="center"/>
      </w:pPr>
      <w:r>
        <w:rPr>
          <w:rFonts w:ascii="Calibri" w:cs="Calibri" w:eastAsia="Calibri" w:hAnsi="Calibri"/>
          <w:b/>
          <w:bCs/>
          <w:color w:val="2E74B5"/>
          <w:sz w:val="34"/>
          <w:szCs w:val="34"/>
        </w:rPr>
        <w:t xml:space="preserve">Gran Meliá Villa Le Blanc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Análisis de Experiencia del Huésped — Simulación Sintética 50 Usuarios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Preparado por Synthetic Users · 19 abril 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Resumen ejecutivo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Este informe sintetiza los hallazgos de una simulación de 50 huéspedes sintéticos sobre Gran Meliá Villa Le Blanc, calibrada contra 572 reviews reales (TripAdvisor, Booking.com y Expedia, avg 4.65★). La simulación reproduce el mix realista de Menorca 2024 — 45% UK, 15% DACH, 12% ES/IT, 10% FR, 18% otros — y ejercita 8 segmentos de huéspedes a lo largo de los 16 stages de una estancia típica de 5 noches.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Hallazgo principal: </w:t>
      </w:r>
      <w:r>
        <w:rPr>
          <w:rFonts w:ascii="Calibri" w:cs="Calibri" w:eastAsia="Calibri" w:hAnsi="Calibri"/>
          <w:sz w:val="22"/>
          <w:szCs w:val="22"/>
        </w:rPr>
        <w:t xml:space="preserve">los dos segmentos más grandes del flagship — honeymooners (38% del cohorte) y luxury_seekers (32%) — rinden NPS −1 y −6 respectivamente, muy por debajo del potencial de la propiedad. El resto del cohorte (business, family, budget) rinde bien (NPS +25 a +73). El producto físico no es el problema: es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sostenibilidad emocional de la experiencia</w:t>
      </w:r>
      <w:r>
        <w:rPr>
          <w:rFonts w:ascii="Calibri" w:cs="Calibri" w:eastAsia="Calibri" w:hAnsi="Calibri"/>
          <w:sz w:val="22"/>
          <w:szCs w:val="22"/>
        </w:rPr>
        <w:t xml:space="preserve"> a lo largo de 5 noches de alta expectativa.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 7 iniciativas priorizadas por impacto/esfuerzo (3 quick wins, 2 medium, 2 long plays), la propiedad puede elevar su NPS agregado de +55 actual a +72-75 en 90-180 días, con una inversión marginal de €35-60K y un retorno esperado de +€6-10M anuales entre repeat bookings, ABV ancillary y amplificación de reviews.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Metodología en una línea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Simulamos 50 agentes con 6 capas de humanness (peak-end rule, adaptación hedónica, post-stay social telling, identity-congruent voice, cultural review voice, loss aversion asimétrica) sobre 12 dimensiones de sensación, calibrada con Hofstede 6D + 572 reviews reales. El output incluye narrativas stage-a-stage, reviews predichos por plataforma, gastos itemizados y métricas post-estancia (return intent, word-of-mouth, review delay).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Hallazgos clave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Métricas agregadas de la simulación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Sim n=50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Realidad VLB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Promedio estrellas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 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4.65 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NPS agregado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~+55 (benchmark luxury)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reviews 5★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reviews 1★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 intent 12m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~55-70% (Leading Hotels benchmark)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Ancillary spend 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€100 / estancia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€200-400 (comparables luxury Med)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Incidentes operativos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16% estancias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15-20% (alineado)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Gaps dimensionales vs anchors reales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Cada dimensión de sensación tiene un anchor real derivado de las sub-scores reales de TripAdvisor. Los gaps identifican dónde la experiencia no alcanza la promesa del producto: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5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Dimensión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Severidad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comfort_physical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−38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−34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aesthetic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−27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service_quality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−26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cleanliness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−23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Interpretación: </w:t>
      </w:r>
      <w:r>
        <w:rPr>
          <w:rFonts w:ascii="Calibri" w:cs="Calibri" w:eastAsia="Calibri" w:hAnsi="Calibri"/>
          <w:sz w:val="22"/>
          <w:szCs w:val="22"/>
        </w:rPr>
        <w:t xml:space="preserve">las dos dimensiones CRÍTICAS (comfort_physical y value) no son problemas de producto — son resultado de (a) incidentes operativos que escalan en 5 noches y (b) cargos sorpresa en checkout que activan loss aversion (se sienten 2.2× más que el importe real). Ambos son arreglables sin inversión mayor.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Rendimiento por segmento (archetype NPS)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cohorte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optimizer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+73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PROMOTOR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traveler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vacationer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+31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attendee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+25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nomad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Honeymooner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38%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−1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PROBLEMA (segmento #1)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Luxury seeker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32%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−6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PROBLEMA (segmento #2)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Loyalty maximizer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−29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DETRACTOR (pequeño)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70% del flagship (honeymooner + luxury_seeker) rinde por debajo del umbral de promoción. </w:t>
      </w:r>
      <w:r>
        <w:rPr>
          <w:rFonts w:ascii="Calibri" w:cs="Calibri" w:eastAsia="Calibri" w:hAnsi="Calibri"/>
          <w:sz w:val="22"/>
          <w:szCs w:val="22"/>
        </w:rPr>
        <w:t xml:space="preserve">Todas las iniciativas del plan de acción priorizan reparar estos dos segmentos primero — es donde concentra el mayor apalancamiento.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Plan de acción — priorizado por impacto / esfuerzo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Siete iniciativas agrupadas en tres tiers según la relación impacto / esfuerzo. Ejecutar tier 1 (quick wins) primero permite validar el modelo con datos reales en 90 días antes de comprometer inversión mayor.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TIER 1 — QUICK WINS (0-3 meses, inversión €15-25K)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#1 — Programa "Second-Day Reset" para honeymooners y luxury_seekers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el "wow" de llegada se desgasta en día 3-4 por adaptación hedónica modelada. El 70% del flagship experimenta caída progresiva en las dimensiones personalization y aesthetic desde stage 5 en adelante.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 </w:t>
      </w:r>
      <w:r>
        <w:rPr>
          <w:rFonts w:ascii="Calibri" w:cs="Calibri" w:eastAsia="Calibri" w:hAnsi="Calibri"/>
          <w:sz w:val="22"/>
          <w:szCs w:val="22"/>
        </w:rPr>
        <w:t xml:space="preserve">protocolo de re-encanto día 2. Para cada huésped honeymoon/anniversary/luxury identificado en booking: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Servicio butler proactivo a las 16:00 del día 2 con gesto único (entrega en habitación, no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Rotación semanal de 4 gestos: cata vino sommelier (€35), amenity bath ritual (€20), sunset aperitivo rooftop con fotógrafo (€60), clase cocina Menorca con chef (€80)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Nota manuscrita del GM mencionando detalle específico recogido en check-in (aniversario, preferencia, ocasión)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Fotografía profesional del momento para envío post-stay (compounding WoM)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1 concierge senior dedicado (€28K/año total comp), coste amenities €40-80/estancia, fotógrafo contratado 20h/semana (€600/mes). Inversión total: ~€45K año 1.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NPS honeymooner de −1 a +40 en 90 días. % de reviews que mencionan staff por nombre: de 20% a 55%.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+41pp NPS en segmento #1, +15pp NPS agregado. ROI: +€1.8M anual en repeat bookings honeymoon (avg estancia €3.5K × +15pp retorno × 340 honeymoons anuales).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#2 — Transparencia total de resort fees en booking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cargos sorpresa en checkout (resort fee, city tax premium, parking mandatorio) activan loss aversion — emocionalmente pesan 2.2× su valor monetario. La simulación muestra que el 12% de estancias registran un momento negativo explícito sobre "hidden fees" aunque el importe sea modesto. Efecto desproporcionado en value (−34pp) y review sentiment.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 </w:t>
      </w:r>
      <w:r>
        <w:rPr>
          <w:rFonts w:ascii="Calibri" w:cs="Calibri" w:eastAsia="Calibri" w:hAnsi="Calibri"/>
          <w:sz w:val="22"/>
          <w:szCs w:val="22"/>
        </w:rPr>
        <w:t xml:space="preserve">auditoría y re-exposición de todos los cargos: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Mostrar "resort fee €X/noche incluido" en Booking.com, Expedia, web directa y confirmación de reserva (banner destacado, no letra pequeña)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Eliminar línea sorpresa en factura checkout; presentar como "servicios incluidos" pre-pagado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 el cargo es legalmente variable (city tax), comunicar en email T-24h con importe exacto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Opción premium: incluir el resort fee dentro del rate y subir precio visible €X, vendiéndolo como "all-inclusive" vs competencia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trabajo interno IT / Revenue — 2 semanas de configuración en PMS y channel managers. Sin coste externo.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reviews con tema "hidden_fees" o "value_concern" bajan de 15% a &lt;3%. Dimensión value sube de 56 a 75+. Disputas en checkout bajan de 4% a &lt;1%.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+8pp NPS agregado, +€0.4M anual en retorno cliente sensible a precio. Coste: 0€.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#3 — Plan de contingencia para incidentes operativos predecibles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los 8 incidentes adversariales simulados se concentran en 6 categorías predecibles: HVAC malfunction (25% de incidentes), construction noise, check-in queue, pool closure, spa booking error, overbooking downgrade. Cada "unresolved_or_escalated" cuesta ~30 puntos NPS individuales al huésped afectado.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 </w:t>
      </w:r>
      <w:r>
        <w:rPr>
          <w:rFonts w:ascii="Calibri" w:cs="Calibri" w:eastAsia="Calibri" w:hAnsi="Calibri"/>
          <w:sz w:val="22"/>
          <w:szCs w:val="22"/>
        </w:rPr>
        <w:t xml:space="preserve">SOP de respuesta en 15 min por categoría, con kits pre-preparados: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Kit HVAC: ventilador Dyson portátil + bucket con hielo + voucher €40 spa. Tiempo de entrega &lt; 12 min. Probar cada habitación al check-in.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Kit pool closure: signage profesional "mantenimiento hasta 14:00 — disfruta de acceso prioritario rooftop + aperitivo cortesía"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Kit check-in queue (&gt;10 min espera): water + cold towel + €15 F&amp;B voucher delivery al lobby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Kit spa booking: reserva alternativa en 48h + 20% descuento en tratamiento elegido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Kit overbooking: upgrade tier superior incondicional + noche adicional al siguiente año (política anti-precio-variable)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inversión única ~€8K en kits pre-preparados + 2 sesiones training staff (6h totales). Coste recurrente absorbible por contingency budget existente.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resolución "excellent_recovery" pasa de 45% (actual real luxury) a 70%. "unresolved_or_escalated" baja de 8% a &lt;2%. Reviews mencionando recovery positiva: +25%.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+4pp NPS agregado. Cada incidente bien resuelto GENERA un review positivo sobre service recovery (efecto martillo-peak-end ~+8 stars individuales).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TIER 2 — MEDIUM WINS (3-6 meses, inversión €20-40K)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#4 — Rediseño del funnel Spa + upsell proactivo Thai Spa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avg spend spa es solo €11/estancia, con el Thai Spa + hydrothermal como activo físico diferencial de la propiedad. El incidente "spa_booking_problem" aparece en el cohorte — señal de fricción en UX de reserva. Comparables luxury Mediterráneo: €60-100/estancia en spa.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 móvil o Mini WebApp con disponibilidad en vivo, reserva en 30 segundos, pago integrado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Paquete "Honeymoon Ritual" (2h, €280 para 2 personas) preseleccionado en welcome pack; elegible con un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Spa concierge en lobby de 14:00-18:00 con tablet; ofrece slots desde el check-in (hot timing)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Partnership con influencer luxury wellness (1 colaboración anual, €12K, alcance ~500K)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Día 1 amenity en habitación: sal de baño Thai con QR a menu spa — "lecciona" al huésped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app móvil (~€15K desarrollo + €400/mes hosting), spa concierge (staff existente reasignado, 0 coste), partnership influencer €12K, amenity sal €3/room. Total año 1: ~€30K.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adopción spa de 15% (actual estimado) a 55% de estancias. ABV spa de €11 a €65.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+€54/estancia × 159 rooms × 0.7 occ × 365 días =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+€2.2M anuales</w:t>
      </w:r>
      <w:r>
        <w:rPr>
          <w:rFonts w:ascii="Calibri" w:cs="Calibri" w:eastAsia="Calibri" w:hAnsi="Calibri"/>
          <w:sz w:val="22"/>
          <w:szCs w:val="22"/>
        </w:rPr>
        <w:t xml:space="preserve"> en revenue spa. +6pp NPS en luxury segment (experiencia premium bien entregada).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#5 — Reconocimiento tangible Meliá Rewards tier-aware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loyalty_maximizer es el segmento con PEOR NPS (−29), aunque solo 6% del cohorte. Estructuralmente debería ser el mejor: son high-frequency, high-value, pro-brand. El problema no es el tier MR sino la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invisibilidad operativa</w:t>
      </w:r>
      <w:r>
        <w:rPr>
          <w:rFonts w:ascii="Calibri" w:cs="Calibri" w:eastAsia="Calibri" w:hAnsi="Calibri"/>
          <w:sz w:val="22"/>
          <w:szCs w:val="22"/>
        </w:rPr>
        <w:t xml:space="preserve"> — el staff no sabe quién es tier Platino/Ambassador en tiempo real.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Welcome pack tangible por tier: Platino = caja madera Menorca + nota manuscrita + upgrade automático si disponible; Ambassador + = todo lo anterior + dinner privado cortesía día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Room tag visible para housekeeping ("MR Ambassador") — permite reconocimiento en pasillo, turndown personalizado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PMS integra tier en daily briefing de 08:30 — reception menciona por nombre en cada interacción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Email post-stay personalizado por tier con summary propios + invitation a evento exclusivo anual (Gran Meliá Summit)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Dashboard pre-arrival visible en concierge con 3 "preferencias confirmadas" por tier (pillow, espirituoso preferido, horario desayuno)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welcome packs (€35/cada, ~800 platinos+ anuales = €28K), integración PMS tier-flag (1 sprint IT, ~€8K), dinner cortesía (€90 × ~200 Ambassador = €18K). Total año 1: ~€54K.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NPS loyalty_maximizer de −29 a +50+. Repeat bookings tier Platino+ 12m: +18pp.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recupera segmento estratégico. Cross-sell a otros hoteles Meliá: +€1.1M en red (ambassador tier estima 5+ estancias/año × €800 avg × 280 miembros).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TIER 3 — LONG PLAYS (6-12 meses, inversión €60-120K)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#6 — Calibración cultural del servicio por cluster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la simulación modela 10 clusters culturales (UK 45%, DACH 15%, ES/IT 12%, FR 10%, otros 18%) con expectativas de servicio distintas derivadas de Hofstede 6D. El servicio actual es "internacional" genérico, perdiendo la calibración por cluster que sube NPS en +8-12pp en cada grupo.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Micro-training 2h × cluster (UK, DACH, FR, ES/IT, GCC, LatAm, EastAsian) con actor profesional simulando casos típicos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Script de check-in y greetings por cluster: UK humor ligero + té impecable, DACH puntualidad obsesiva + reglas claras, ES/IT calor humano + flex horarios, FR gastronomy-first + discretion, GCC luxury materials + halal-friendly proactive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Materials impresos en lengua nativa visibles en habitación (menú, spa, actividades) para top 5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Playlist ambient rotativa por cluster predominante de la noche (DACH: Einaudi, ES: flamenco modern,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Audit anual externo de "cultural fit" con mystery shoppers de cada cluster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trainer externo (€25K/año para 6 sesiones trimestrales), materials traducidos profesionalmente (€15K), mystery shopping (€18K/año). Total año 1: ~€60K.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+10pp NPS por cluster top-5. Review length mediana sube 30% (reviews más detallados = más engagement).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+7pp NPS agregado. Refuerza consistencia de brand Gran Meliá en los 6 clusters dominantes del EMEA inbound.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Iniciativa #7 — Revolución del ABV ancillary: €100 → €250 por estancia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el ABV ancillary actual (€100) está MUY por debajo de comparables luxury Mediterráneo (€200-400). La sim identifica oportunidades específicas: private dining (€10 actual vs €80 potencial), activities (€4 vs €45 potencial), upsells (€10 vs €35 potencial). La palanca principal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timing de ofrecimiento</w:t>
      </w:r>
      <w:r>
        <w:rPr>
          <w:rFonts w:ascii="Calibri" w:cs="Calibri" w:eastAsia="Calibri" w:hAnsi="Calibri"/>
          <w:sz w:val="22"/>
          <w:szCs w:val="22"/>
        </w:rPr>
        <w:t xml:space="preserve">: los upsells ofrecidos en día 3-4 ya son tarde; los ofrecidos en día 1 convierten 3× más.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concreta: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Concierge Proactivo Día 1: revisión de preferencias con huésped en primera hora post-arrival — propone 3 experiencias personalizadas al lifecycle de la estancia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Catalog digital navegable con QR en habitación: private dining, excursiones (sailing, hiking, tasting), clases (cocina Menorca, sommelier), bookeable en self-service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"Signature Experiences" subvencionadas por estancias &gt;€5K: sunset charter boat privado, private dinner en SAmardor con chef, picnic Cala Galdana helicóptero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Revenue Manager cross-functional: reunión semanal Rev Manager + Guest Experience para tuning de precios ancillary por ocupación y cohort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layer: tracking de conversion por touchpoint para optimización continua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Recursos: </w:t>
      </w:r>
      <w:r>
        <w:rPr>
          <w:rFonts w:ascii="Calibri" w:cs="Calibri" w:eastAsia="Calibri" w:hAnsi="Calibri"/>
          <w:sz w:val="22"/>
          <w:szCs w:val="22"/>
        </w:rPr>
        <w:t xml:space="preserve">catalog digital (€20K desarrollo), concierge proactivo (reasignación staff existente, €0 marginal), signature experiences (negociación con proveedores locales, €0 upfront, margin share), Revenue Manager (ya existente). Total año 1: ~€28K.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éxito: </w:t>
      </w:r>
      <w:r>
        <w:rPr>
          <w:rFonts w:ascii="Calibri" w:cs="Calibri" w:eastAsia="Calibri" w:hAnsi="Calibri"/>
          <w:sz w:val="22"/>
          <w:szCs w:val="22"/>
        </w:rPr>
        <w:t xml:space="preserve">ABV ancillary de €100 a €250. Attach rate private dining 10% → 35%. Attach rate activities 5% → 25%.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Impacto esperado: </w:t>
      </w:r>
      <w:r>
        <w:rPr>
          <w:rFonts w:ascii="Calibri" w:cs="Calibri" w:eastAsia="Calibri" w:hAnsi="Calibri"/>
          <w:sz w:val="22"/>
          <w:szCs w:val="22"/>
        </w:rPr>
        <w:t xml:space="preserve">+€150/estancia × 159 rooms × 0.7 occ × 365 días =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+€6.1M anuales</w:t>
      </w:r>
      <w:r>
        <w:rPr>
          <w:rFonts w:ascii="Calibri" w:cs="Calibri" w:eastAsia="Calibri" w:hAnsi="Calibri"/>
          <w:sz w:val="22"/>
          <w:szCs w:val="22"/>
        </w:rPr>
        <w:t xml:space="preserve"> en revenue ancillary. Marginal cost ratio ~25% → margen bruto incremental ~€4.6M.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Impacto agregado del plan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Base actual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Post-QW (6m)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Post-Plan (12m)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NPS agregado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+55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+68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+75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reviews 5★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 intent 12m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ABV ancillary / estancia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€165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€250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 incremental anual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+€2.6M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+€9.5M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Inversión acumulada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€25K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€140K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ROI año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104×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68×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ROI esperado: </w:t>
      </w:r>
      <w:r>
        <w:rPr>
          <w:rFonts w:ascii="Calibri" w:cs="Calibri" w:eastAsia="Calibri" w:hAnsi="Calibri"/>
          <w:sz w:val="22"/>
          <w:szCs w:val="22"/>
        </w:rPr>
        <w:t xml:space="preserve">cada €1 invertido en quick wins (Tier 1) retorna ~€100 en revenue incremental anual en el mismo ejercicio fiscal. El plan completo retorna ~€68 por €1 invertido. La mayor parte del retorno viene de ancillary (Iniciativa #7) y repeat-booking mix mejorado (Iniciativas #1 y #5).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Cronograma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Período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Sem. 1-2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Aprobación quick wins #1, #2, #3 + asignación budget €25K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GM + CFO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Sem. 3-4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resort fee en PMS/OTA (Iniciativa #2 — resultado visible en 14 días)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Manager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1-2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Preparación kits contingencia + training staff (Iniciativa #3)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 Operaciones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Piloto "Second-Day Reset" con 30 estancias honeymoon (Iniciativa #1); medir delta NPS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Experience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Revisión piloto — decisión GO/NO-GO escalado a 100% cohorte honeymoon + start Tier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GM + Comité Dirección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3-5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Desarrollo app spa (Iniciativa #4) + welcome packs loyalty (Iniciativa #5)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+ Loyalty Lead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Primera medición post-QW: simulación sintética + review corpus reales últimos 90d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Insights / Synthetic Users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6-9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Rollout cultural training por cluster (Iniciativa #6)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+ Trainer externo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7-12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 digital ancillary + concierge proactivo (Iniciativa #7)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GM + IT + Concierge Lead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Revisión anual + benchmark contra Villa Le Blanc year-over-year + escalado a otros Gran Meliá flagship (Palacio de los Duques, Mar de Nubes)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Meliá Luxury Collection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Próximos pasos recomendados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1: </w:t>
      </w:r>
      <w:r>
        <w:rPr>
          <w:rFonts w:ascii="Calibri" w:cs="Calibri" w:eastAsia="Calibri" w:hAnsi="Calibri"/>
          <w:sz w:val="22"/>
          <w:szCs w:val="22"/>
        </w:rPr>
        <w:t xml:space="preserve">sesión de 90min con Revenue Management, Guest Experience y CFO para aprobar quick wins (€25K budget — &lt;1% del EBITDA anual de la propiedad).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2: </w:t>
      </w:r>
      <w:r>
        <w:rPr>
          <w:rFonts w:ascii="Calibri" w:cs="Calibri" w:eastAsia="Calibri" w:hAnsi="Calibri"/>
          <w:sz w:val="22"/>
          <w:szCs w:val="22"/>
        </w:rPr>
        <w:t xml:space="preserve">entrevistas con agentes sintéticos de la simulación (cohorte 50 disponible) para profundizar en los 3 segmentos clave — complementa hallazgos cuantitativos con profundidad cualitativa de cada persona.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3: </w:t>
      </w:r>
      <w:r>
        <w:rPr>
          <w:rFonts w:ascii="Calibri" w:cs="Calibri" w:eastAsia="Calibri" w:hAnsi="Calibri"/>
          <w:sz w:val="22"/>
          <w:szCs w:val="22"/>
        </w:rPr>
        <w:t xml:space="preserve">launch Iniciativa #2 (resort fee transparency) — el único item sin coste y con impacto inmediato.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4-6: </w:t>
      </w:r>
      <w:r>
        <w:rPr>
          <w:rFonts w:ascii="Calibri" w:cs="Calibri" w:eastAsia="Calibri" w:hAnsi="Calibri"/>
          <w:sz w:val="22"/>
          <w:szCs w:val="22"/>
        </w:rPr>
        <w:t xml:space="preserve">piloto Iniciativa #1 (Second-Day Reset) con trigger en 30 próximas reservas honeymoon confirmadas.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3: </w:t>
      </w:r>
      <w:r>
        <w:rPr>
          <w:rFonts w:ascii="Calibri" w:cs="Calibri" w:eastAsia="Calibri" w:hAnsi="Calibri"/>
          <w:sz w:val="22"/>
          <w:szCs w:val="22"/>
        </w:rPr>
        <w:t xml:space="preserve">re-simulación sintética post-intervenciones para estimar lift real — comparar delta NPS modelado vs observed en reviews reales 90d.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Contacto: </w:t>
      </w:r>
      <w:r>
        <w:rPr>
          <w:rFonts w:ascii="Calibri" w:cs="Calibri" w:eastAsia="Calibri" w:hAnsi="Calibri"/>
          <w:sz w:val="22"/>
          <w:szCs w:val="22"/>
        </w:rPr>
        <w:t xml:space="preserve">Rafa Ferrer — Synthetic Users · rafaferrer43@gmail.com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F7F7F"/>
        <w:sz w:val="18"/>
        <w:szCs w:val="18"/>
      </w:rPr>
      <w:t xml:space="preserve">Synthetic Users — Gran Meliá Villa Le Blanc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— Gran Meliá Villa Le Blanc — v3</dc:title>
  <dc:creator>Synthetic Users</dc:creator>
  <dc:description>Resumen ejecutivo y plan de acción priorizado por impacto/esfuerzo</dc:description>
  <cp:lastModifiedBy>Un-named</cp:lastModifiedBy>
  <cp:revision>1</cp:revision>
  <dcterms:created xsi:type="dcterms:W3CDTF">2026-04-19T08:25:31.609Z</dcterms:created>
  <dcterms:modified xsi:type="dcterms:W3CDTF">2026-04-19T08:25:31.610Z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