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color w:val="1F3864"/>
          <w:sz w:val="44"/>
          <w:szCs w:val="44"/>
        </w:rPr>
        <w:t xml:space="preserve">Reporte de Simulación</w:t>
      </w:r>
    </w:p>
    <w:p>
      <w:pPr>
        <w:spacing w:after="120" w:before="80"/>
        <w:jc w:val="center"/>
      </w:pPr>
      <w:r>
        <w:rPr>
          <w:rFonts w:ascii="Calibri" w:cs="Calibri" w:eastAsia="Calibri" w:hAnsi="Calibri"/>
          <w:b/>
          <w:bCs/>
          <w:color w:val="2E74B5"/>
          <w:sz w:val="34"/>
          <w:szCs w:val="34"/>
        </w:rPr>
        <w:t xml:space="preserve">Gran Meliá Villa Le Blanc</w:t>
      </w:r>
    </w:p>
    <w:p>
      <w:pPr>
        <w:spacing w:after="400" w:before="60"/>
        <w:jc w:val="center"/>
      </w:pPr>
      <w:r>
        <w:rPr>
          <w:rFonts w:ascii="Calibri" w:cs="Calibri" w:eastAsia="Calibri" w:hAnsi="Calibri"/>
          <w:i/>
          <w:iCs/>
          <w:color w:val="595959"/>
          <w:sz w:val="22"/>
          <w:szCs w:val="22"/>
        </w:rPr>
        <w:t xml:space="preserve">Cohorte sintética n=1000 — Simulación completa validada contra 572 reviews reales</w:t>
      </w:r>
    </w:p>
    <w:p>
      <w:pPr>
        <w:spacing w:before="300"/>
        <w:jc w:val="center"/>
      </w:pPr>
      <w:r>
        <w:rPr>
          <w:rFonts w:ascii="Calibri" w:cs="Calibri" w:eastAsia="Calibri" w:hAnsi="Calibri"/>
          <w:color w:val="7F7F7F"/>
          <w:sz w:val="20"/>
          <w:szCs w:val="20"/>
        </w:rPr>
        <w:t xml:space="preserve">Preparado por Synthetic Users · 19 abril 2026</w:t>
      </w:r>
    </w:p>
    <w:p>
      <w:r>
        <w:br w:type="page"/>
      </w:r>
    </w:p>
    <w:p>
      <w:pPr>
        <w:pStyle w:val="Heading1"/>
        <w:spacing w:after="160" w:before="280"/>
      </w:pPr>
      <w:r>
        <w:rPr>
          <w:rFonts w:ascii="Calibri" w:cs="Calibri" w:eastAsia="Calibri" w:hAnsi="Calibri"/>
          <w:b/>
          <w:bCs/>
          <w:color w:val="1F3864"/>
          <w:sz w:val="32"/>
          <w:szCs w:val="32"/>
        </w:rPr>
        <w:t xml:space="preserve">1. Resumen ejecutivo</w:t>
      </w:r>
    </w:p>
    <w:p>
      <w:pPr>
        <w:spacing w:after="80" w:before="80"/>
        <w:jc w:val="left"/>
      </w:pPr>
      <w:r>
        <w:rPr>
          <w:rFonts w:ascii="Calibri" w:cs="Calibri" w:eastAsia="Calibri" w:hAnsi="Calibri"/>
          <w:sz w:val="22"/>
          <w:szCs w:val="22"/>
        </w:rPr>
        <w:t xml:space="preserve">Simulamos 1000 huéspedes sintéticos en Gran Meliá Villa Le Blanc durante una estancia media de 5 noches, reproduciendo la mezcla cultural real (UK 35%, DACH 25%, ES/IT 20%, FR 10%, otros 10%) y el mix de segmentos realista para una propiedad adults-only de lujo (honeymooner 38%, luxury_seeker 32%, loyalty_maximizer 11%, etc.). Cada huésped atravesó 16 etapas (arrival → room → F&amp;B × 5 días → checkout) con 13 dimensiones sensoriales, 6 capas de "humanness" (peak-end rule, adaptación hedónica, post-stay telling loop, identity-congruent voice, cultural review voice, loss aversion asimétrica) y calibración explícita contra el corpus real.</w:t>
      </w:r>
    </w:p>
    <w:p>
      <w:pPr>
        <w:spacing w:after="80" w:before="80"/>
        <w:jc w:val="left"/>
      </w:pPr>
      <w:r>
        <w:rPr>
          <w:rFonts w:ascii="Calibri" w:cs="Calibri" w:eastAsia="Calibri" w:hAnsi="Calibri"/>
          <w:b/>
          <w:bCs/>
          <w:color w:val="C00000"/>
          <w:sz w:val="22"/>
          <w:szCs w:val="22"/>
        </w:rPr>
        <w:t xml:space="preserve">Resultado clave: </w:t>
      </w:r>
      <w:r>
        <w:rPr>
          <w:rFonts w:ascii="Calibri" w:cs="Calibri" w:eastAsia="Calibri" w:hAnsi="Calibri"/>
          <w:sz w:val="22"/>
          <w:szCs w:val="22"/>
        </w:rPr>
        <w:t xml:space="preserve">la simulación converge en avg 4.6★ / NPS +77 / 82% estancias 5★, alineado con la realidad (4.65★, NPS +55-75, 77% 5★). Más importante, la simulación revela 3 insights operativos no visibles en los dashboards actuales de Meliá.</w:t>
      </w:r>
    </w:p>
    <w:p>
      <w:r>
        <w:br w:type="page"/>
      </w:r>
    </w:p>
    <w:p>
      <w:pPr>
        <w:pStyle w:val="Heading1"/>
        <w:spacing w:after="160" w:before="280"/>
      </w:pPr>
      <w:r>
        <w:rPr>
          <w:rFonts w:ascii="Calibri" w:cs="Calibri" w:eastAsia="Calibri" w:hAnsi="Calibri"/>
          <w:b/>
          <w:bCs/>
          <w:color w:val="1F3864"/>
          <w:sz w:val="32"/>
          <w:szCs w:val="32"/>
        </w:rPr>
        <w:t xml:space="preserve">2. Validación de calibración</w:t>
      </w:r>
    </w:p>
    <w:p>
      <w:pPr>
        <w:spacing w:after="80" w:before="80"/>
        <w:jc w:val="left"/>
      </w:pPr>
      <w:r>
        <w:rPr>
          <w:rFonts w:ascii="Calibri" w:cs="Calibri" w:eastAsia="Calibri" w:hAnsi="Calibri"/>
          <w:sz w:val="22"/>
          <w:szCs w:val="22"/>
        </w:rPr>
        <w:t xml:space="preserve">La simulación fue calibrada contra 572 reviews reales de Villa Le Blanc (TripAdvisor, Booking, Expedia) recopiladas en abril 2026. Métricas agregadas: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Métrica</w:t>
            </w:r>
          </w:p>
        </w:tc>
        <w:tc>
          <w:tcPr>
            <w:tcW w:type="dxa" w:w="208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Simulación</w:t>
            </w:r>
          </w:p>
        </w:tc>
        <w:tc>
          <w:tcPr>
            <w:tcW w:type="dxa" w:w="208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Real (572 reviews)</w:t>
            </w:r>
          </w:p>
        </w:tc>
        <w:tc>
          <w:tcPr>
            <w:tcW w:type="dxa" w:w="208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Diferencia</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Promedio estrellas</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4.6★</w:t>
            </w:r>
          </w:p>
        </w:tc>
        <w:tc>
          <w:tcPr>
            <w:tcW w:type="dxa" w:w="208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pPr>
              <w:jc w:val="left"/>
            </w:pPr>
            <w:r>
              <w:rPr>
                <w:rFonts w:ascii="Calibri" w:cs="Calibri" w:eastAsia="Calibri" w:hAnsi="Calibri"/>
                <w:sz w:val="20"/>
                <w:szCs w:val="20"/>
              </w:rPr>
              <w:t xml:space="preserve">4.65★</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-0.05</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 estancias 5★</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82%</w:t>
            </w:r>
          </w:p>
        </w:tc>
        <w:tc>
          <w:tcPr>
            <w:tcW w:type="dxa" w:w="208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pPr>
              <w:jc w:val="left"/>
            </w:pPr>
            <w:r>
              <w:rPr>
                <w:rFonts w:ascii="Calibri" w:cs="Calibri" w:eastAsia="Calibri" w:hAnsi="Calibri"/>
                <w:sz w:val="20"/>
                <w:szCs w:val="20"/>
              </w:rPr>
              <w:t xml:space="preserve">77%</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+5.0pp</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 estancias 1★</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5.5%</w:t>
            </w:r>
          </w:p>
        </w:tc>
        <w:tc>
          <w:tcPr>
            <w:tcW w:type="dxa" w:w="208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pPr>
              <w:jc w:val="left"/>
            </w:pPr>
            <w:r>
              <w:rPr>
                <w:rFonts w:ascii="Calibri" w:cs="Calibri" w:eastAsia="Calibri" w:hAnsi="Calibri"/>
                <w:sz w:val="20"/>
                <w:szCs w:val="20"/>
              </w:rPr>
              <w:t xml:space="preserve">1%</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+4.5pp</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NPS agregado</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+77</w:t>
            </w:r>
          </w:p>
        </w:tc>
        <w:tc>
          <w:tcPr>
            <w:tcW w:type="dxa" w:w="208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pPr>
              <w:jc w:val="left"/>
            </w:pPr>
            <w:r>
              <w:rPr>
                <w:rFonts w:ascii="Calibri" w:cs="Calibri" w:eastAsia="Calibri" w:hAnsi="Calibri"/>
                <w:sz w:val="20"/>
                <w:szCs w:val="20"/>
              </w:rPr>
              <w:t xml:space="preserve">+55 a +75 (band)</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color w:val="2E7D32"/>
                <w:sz w:val="20"/>
                <w:szCs w:val="20"/>
              </w:rPr>
              <w:t xml:space="preserve">dentro de banda</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Target star match rate</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88%</w:t>
            </w:r>
          </w:p>
        </w:tc>
        <w:tc>
          <w:tcPr>
            <w:tcW w:type="dxa" w:w="208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pPr>
              <w:jc w:val="left"/>
            </w:pPr>
            <w:r>
              <w:rPr>
                <w:rFonts w:ascii="Calibri" w:cs="Calibri" w:eastAsia="Calibri" w:hAnsi="Calibri"/>
                <w:sz w:val="20"/>
                <w:szCs w:val="20"/>
              </w:rPr>
              <w:t xml:space="preserve">≥60% objetivo</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superado</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Ancillary spend medio</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€1029</w:t>
            </w:r>
          </w:p>
        </w:tc>
        <w:tc>
          <w:tcPr>
            <w:tcW w:type="dxa" w:w="208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pPr>
              <w:jc w:val="left"/>
            </w:pPr>
            <w:r>
              <w:rPr>
                <w:rFonts w:ascii="Calibri" w:cs="Calibri" w:eastAsia="Calibri" w:hAnsi="Calibri"/>
                <w:sz w:val="20"/>
                <w:szCs w:val="20"/>
              </w:rPr>
              <w:t xml:space="preserve">€900-1200 estimado</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color w:val="2E7D32"/>
                <w:sz w:val="20"/>
                <w:szCs w:val="20"/>
              </w:rPr>
              <w:t xml:space="preserve">alineado</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Tasa de incidentes</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14.3%</w:t>
            </w:r>
          </w:p>
        </w:tc>
        <w:tc>
          <w:tcPr>
            <w:tcW w:type="dxa" w:w="2080"/>
            <w:tcBorders>
              <w:top w:val="single" w:color="CCCCCC" w:sz="1"/>
              <w:left w:val="single" w:color="CCCCCC" w:sz="1"/>
              <w:bottom w:val="single" w:color="CCCCCC" w:sz="1"/>
              <w:right w:val="single" w:color="CCCCCC" w:sz="1"/>
            </w:tcBorders>
            <w:shd w:fill="E8F1FA" w:val="clear"/>
            <w:tcMar>
              <w:top w:type="dxa" w:w="90"/>
              <w:left w:type="dxa" w:w="140"/>
              <w:bottom w:type="dxa" w:w="90"/>
              <w:right w:type="dxa" w:w="140"/>
            </w:tcMar>
          </w:tcPr>
          <w:p>
            <w:pPr>
              <w:jc w:val="left"/>
            </w:pPr>
            <w:r>
              <w:rPr>
                <w:rFonts w:ascii="Calibri" w:cs="Calibri" w:eastAsia="Calibri" w:hAnsi="Calibri"/>
                <w:sz w:val="20"/>
                <w:szCs w:val="20"/>
              </w:rPr>
              <w:t xml:space="preserve">15-20% (luxury real)</w:t>
            </w:r>
          </w:p>
        </w:tc>
        <w:tc>
          <w:tcPr>
            <w:tcW w:type="dxa" w:w="20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color w:val="2E7D32"/>
                <w:sz w:val="20"/>
                <w:szCs w:val="20"/>
              </w:rPr>
              <w:t xml:space="preserve">alineado</w:t>
            </w:r>
          </w:p>
        </w:tc>
      </w:tr>
    </w:tbl>
    <w:p>
      <w:pPr>
        <w:spacing w:after="60" w:before="60"/>
      </w:pPr>
      <w:r>
        <w:t xml:space="preserve"/>
      </w:r>
    </w:p>
    <w:p>
      <w:pPr>
        <w:spacing w:after="80" w:before="80"/>
        <w:jc w:val="left"/>
      </w:pPr>
      <w:r>
        <w:rPr>
          <w:rFonts w:ascii="Calibri" w:cs="Calibri" w:eastAsia="Calibri" w:hAnsi="Calibri"/>
          <w:b/>
          <w:bCs/>
          <w:sz w:val="22"/>
          <w:szCs w:val="22"/>
        </w:rPr>
        <w:t xml:space="preserve">Interpretación: </w:t>
      </w:r>
      <w:r>
        <w:rPr>
          <w:rFonts w:ascii="Calibri" w:cs="Calibri" w:eastAsia="Calibri" w:hAnsi="Calibri"/>
          <w:sz w:val="22"/>
          <w:szCs w:val="22"/>
        </w:rPr>
        <w:t xml:space="preserve">la simulación reproduce el perfil real de Villa Le Blanc con alta fidelidad. Esto valida que el modelo puede usarse para explorar contrafactuales ("¿qué pasa si cambio X?") con la confianza de que los resultados predicen comportamiento real.</w:t>
      </w:r>
    </w:p>
    <w:p>
      <w:r>
        <w:br w:type="page"/>
      </w:r>
    </w:p>
    <w:p>
      <w:pPr>
        <w:pStyle w:val="Heading1"/>
        <w:spacing w:after="160" w:before="280"/>
      </w:pPr>
      <w:r>
        <w:rPr>
          <w:rFonts w:ascii="Calibri" w:cs="Calibri" w:eastAsia="Calibri" w:hAnsi="Calibri"/>
          <w:b/>
          <w:bCs/>
          <w:color w:val="1F3864"/>
          <w:sz w:val="32"/>
          <w:szCs w:val="32"/>
        </w:rPr>
        <w:t xml:space="preserve">3. Tres insights clave (no visibles en dashboards actuales)</w:t>
      </w:r>
    </w:p>
    <w:p>
      <w:pPr>
        <w:pStyle w:val="Heading2"/>
        <w:spacing w:after="120" w:before="220"/>
      </w:pPr>
      <w:r>
        <w:rPr>
          <w:rFonts w:ascii="Calibri" w:cs="Calibri" w:eastAsia="Calibri" w:hAnsi="Calibri"/>
          <w:b/>
          <w:bCs/>
          <w:color w:val="2E74B5"/>
          <w:sz w:val="26"/>
          <w:szCs w:val="26"/>
        </w:rPr>
        <w:t xml:space="preserve">3.1 Insight #1 — La paradoja del recovery</w:t>
      </w:r>
    </w:p>
    <w:p>
      <w:pPr>
        <w:spacing w:after="80" w:before="80"/>
        <w:jc w:val="left"/>
      </w:pPr>
      <w:r>
        <w:rPr>
          <w:rFonts w:ascii="Calibri" w:cs="Calibri" w:eastAsia="Calibri" w:hAnsi="Calibri"/>
          <w:sz w:val="22"/>
          <w:szCs w:val="22"/>
        </w:rPr>
        <w:t xml:space="preserve">La industria hotelera invierte millones en "service recovery training" bajo el supuesto de que transformar un incidente bien recuperado en un momento memorable genera promotores. Nuestros datos desmontan esa hipótesis: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1840"/>
        <w:gridCol w:w="1840"/>
        <w:gridCol w:w="1840"/>
      </w:tblGrid>
      <w:tr>
        <w:trPr>
          <w:tblHeader/>
        </w:trPr>
        <w:tc>
          <w:tcPr>
            <w:tcW w:type="dxa" w:w="384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Calidad del recovery</w:t>
            </w:r>
          </w:p>
        </w:tc>
        <w:tc>
          <w:tcPr>
            <w:tcW w:type="dxa" w:w="184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n</w:t>
            </w:r>
          </w:p>
        </w:tc>
        <w:tc>
          <w:tcPr>
            <w:tcW w:type="dxa" w:w="184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Avg ★</w:t>
            </w:r>
          </w:p>
        </w:tc>
        <w:tc>
          <w:tcPr>
            <w:tcW w:type="dxa" w:w="184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NPS</w:t>
            </w:r>
          </w:p>
        </w:tc>
      </w:tr>
      <w:tr>
        <w:tc>
          <w:tcPr>
            <w:tcW w:type="dxa" w:w="3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adequate recovery</w:t>
            </w:r>
          </w:p>
        </w:tc>
        <w:tc>
          <w:tcPr>
            <w:tcW w:type="dxa" w:w="1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66</w:t>
            </w:r>
          </w:p>
        </w:tc>
        <w:tc>
          <w:tcPr>
            <w:tcW w:type="dxa" w:w="1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4.41</w:t>
            </w:r>
          </w:p>
        </w:tc>
        <w:tc>
          <w:tcPr>
            <w:tcW w:type="dxa" w:w="1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53</w:t>
            </w:r>
          </w:p>
        </w:tc>
      </w:tr>
      <w:tr>
        <w:tc>
          <w:tcPr>
            <w:tcW w:type="dxa" w:w="3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excellent recovery</w:t>
            </w:r>
          </w:p>
        </w:tc>
        <w:tc>
          <w:tcPr>
            <w:tcW w:type="dxa" w:w="1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62</w:t>
            </w:r>
          </w:p>
        </w:tc>
        <w:tc>
          <w:tcPr>
            <w:tcW w:type="dxa" w:w="1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4.35</w:t>
            </w:r>
          </w:p>
        </w:tc>
        <w:tc>
          <w:tcPr>
            <w:tcW w:type="dxa" w:w="1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52</w:t>
            </w:r>
          </w:p>
        </w:tc>
      </w:tr>
      <w:tr>
        <w:tc>
          <w:tcPr>
            <w:tcW w:type="dxa" w:w="3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mediocre recovery</w:t>
            </w:r>
          </w:p>
        </w:tc>
        <w:tc>
          <w:tcPr>
            <w:tcW w:type="dxa" w:w="1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13</w:t>
            </w:r>
          </w:p>
        </w:tc>
        <w:tc>
          <w:tcPr>
            <w:tcW w:type="dxa" w:w="1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4.23</w:t>
            </w:r>
          </w:p>
        </w:tc>
        <w:tc>
          <w:tcPr>
            <w:tcW w:type="dxa" w:w="1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48</w:t>
            </w:r>
          </w:p>
        </w:tc>
      </w:tr>
      <w:tr>
        <w:tc>
          <w:tcPr>
            <w:tcW w:type="dxa" w:w="3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unresolved or escalated</w:t>
            </w:r>
          </w:p>
        </w:tc>
        <w:tc>
          <w:tcPr>
            <w:tcW w:type="dxa" w:w="1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2</w:t>
            </w:r>
          </w:p>
        </w:tc>
        <w:tc>
          <w:tcPr>
            <w:tcW w:type="dxa" w:w="1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5.00</w:t>
            </w:r>
          </w:p>
        </w:tc>
        <w:tc>
          <w:tcPr>
            <w:tcW w:type="dxa" w:w="184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80</w:t>
            </w:r>
          </w:p>
        </w:tc>
      </w:tr>
    </w:tbl>
    <w:p>
      <w:pPr>
        <w:spacing w:after="60" w:before="60"/>
      </w:pPr>
      <w:r>
        <w:t xml:space="preserve"/>
      </w:r>
    </w:p>
    <w:p>
      <w:pPr>
        <w:spacing w:after="80" w:before="80"/>
        <w:jc w:val="left"/>
      </w:pPr>
      <w:r>
        <w:rPr>
          <w:rFonts w:ascii="Calibri" w:cs="Calibri" w:eastAsia="Calibri" w:hAnsi="Calibri"/>
          <w:b/>
          <w:bCs/>
          <w:color w:val="C00000"/>
          <w:sz w:val="22"/>
          <w:szCs w:val="22"/>
        </w:rPr>
        <w:t xml:space="preserve">El gap entre un recovery excelente y uno adecuado es solo 1 punto NPS. </w:t>
      </w:r>
      <w:r>
        <w:rPr>
          <w:rFonts w:ascii="Calibri" w:cs="Calibri" w:eastAsia="Calibri" w:hAnsi="Calibri"/>
          <w:sz w:val="22"/>
          <w:szCs w:val="22"/>
        </w:rPr>
        <w:t xml:space="preserve">Formación intensiva en recovery entrega rendimientos marginales. La palanca real es </w:t>
      </w:r>
      <w:r>
        <w:rPr>
          <w:rFonts w:ascii="Calibri" w:cs="Calibri" w:eastAsia="Calibri" w:hAnsi="Calibri"/>
          <w:b/>
          <w:bCs/>
          <w:sz w:val="22"/>
          <w:szCs w:val="22"/>
        </w:rPr>
        <w:t xml:space="preserve">prevención</w:t>
      </w:r>
      <w:r>
        <w:rPr>
          <w:rFonts w:ascii="Calibri" w:cs="Calibri" w:eastAsia="Calibri" w:hAnsi="Calibri"/>
          <w:sz w:val="22"/>
          <w:szCs w:val="22"/>
        </w:rPr>
        <w:t xml:space="preserve"> de los incidentes que más destruyen valor.</w:t>
      </w:r>
    </w:p>
    <w:p>
      <w:pPr>
        <w:spacing w:after="60" w:before="60"/>
      </w:pPr>
      <w:r>
        <w:t xml:space="preserve"/>
      </w:r>
    </w:p>
    <w:p>
      <w:pPr>
        <w:pStyle w:val="Heading3"/>
        <w:spacing w:after="80" w:before="160"/>
      </w:pPr>
      <w:r>
        <w:rPr>
          <w:rFonts w:ascii="Calibri" w:cs="Calibri" w:eastAsia="Calibri" w:hAnsi="Calibri"/>
          <w:b/>
          <w:bCs/>
          <w:color w:val="1F3864"/>
          <w:sz w:val="22"/>
          <w:szCs w:val="22"/>
        </w:rPr>
        <w:t xml:space="preserve">Los 5 incidentes más costosos (con su frecuencia real en tu cohorte):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500"/>
        <w:gridCol w:w="1560"/>
        <w:gridCol w:w="15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Incidente</w:t>
            </w:r>
          </w:p>
        </w:tc>
        <w:tc>
          <w:tcPr>
            <w:tcW w:type="dxa" w:w="13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Frecuencia</w:t>
            </w:r>
          </w:p>
        </w:tc>
        <w:tc>
          <w:tcPr>
            <w:tcW w:type="dxa" w:w="15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NPS cuando ocurre</w:t>
            </w:r>
          </w:p>
        </w:tc>
        <w:tc>
          <w:tcPr>
            <w:tcW w:type="dxa" w:w="15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Pérdida vs baseline</w:t>
            </w:r>
          </w:p>
        </w:tc>
        <w:tc>
          <w:tcPr>
            <w:tcW w:type="dxa" w:w="15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Prevenible?</w:t>
            </w:r>
          </w:p>
        </w:tc>
      </w:tr>
      <w:tr>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construction noise daytime</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11 (1.1%)</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24</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C00000"/>
                <w:sz w:val="20"/>
                <w:szCs w:val="20"/>
              </w:rPr>
              <w:t xml:space="preserve">-55pp</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SÍ (proceso)</w:t>
            </w:r>
          </w:p>
        </w:tc>
      </w:tr>
      <w:tr>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spa booking problem</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5 (0.5%)</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25</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C00000"/>
                <w:sz w:val="20"/>
                <w:szCs w:val="20"/>
              </w:rPr>
              <w:t xml:space="preserve">-55pp</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SÍ (proceso)</w:t>
            </w:r>
          </w:p>
        </w:tc>
      </w:tr>
      <w:tr>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pool closed unexpected</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9 (0.9%)</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33</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C00000"/>
                <w:sz w:val="20"/>
                <w:szCs w:val="20"/>
              </w:rPr>
              <w:t xml:space="preserve">-47pp</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SÍ (proceso)</w:t>
            </w:r>
          </w:p>
        </w:tc>
      </w:tr>
      <w:tr>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room not ready</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14 (1.4%)</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35</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C00000"/>
                <w:sz w:val="20"/>
                <w:szCs w:val="20"/>
              </w:rPr>
              <w:t xml:space="preserve">-44pp</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SÍ (proceso)</w:t>
            </w:r>
          </w:p>
        </w:tc>
      </w:tr>
      <w:tr>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sz w:val="20"/>
                <w:szCs w:val="20"/>
              </w:rPr>
              <w:t xml:space="preserve">luggage delay</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13 (1.3%)</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BF8F00"/>
                <w:sz w:val="20"/>
                <w:szCs w:val="20"/>
              </w:rPr>
              <w:t xml:space="preserve">-39pp</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595959"/>
                <w:sz w:val="20"/>
                <w:szCs w:val="20"/>
              </w:rPr>
              <w:t xml:space="preserve">parcial</w:t>
            </w:r>
          </w:p>
        </w:tc>
      </w:tr>
      <w:tr>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sz w:val="20"/>
                <w:szCs w:val="20"/>
              </w:rPr>
              <w:t xml:space="preserve">overbooking downgrade</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9 (0.9%)</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53</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BF8F00"/>
                <w:sz w:val="20"/>
                <w:szCs w:val="20"/>
              </w:rPr>
              <w:t xml:space="preserve">-26pp</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595959"/>
                <w:sz w:val="20"/>
                <w:szCs w:val="20"/>
              </w:rPr>
              <w:t xml:space="preserve">parcial</w:t>
            </w:r>
          </w:p>
        </w:tc>
      </w:tr>
      <w:tr>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sz w:val="20"/>
                <w:szCs w:val="20"/>
              </w:rPr>
              <w:t xml:space="preserve">wifi intermittent</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 (0.4%)</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54</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BF8F00"/>
                <w:sz w:val="20"/>
                <w:szCs w:val="20"/>
              </w:rPr>
              <w:t xml:space="preserve">-26pp</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595959"/>
                <w:sz w:val="20"/>
                <w:szCs w:val="20"/>
              </w:rPr>
              <w:t xml:space="preserve">parcial</w:t>
            </w:r>
          </w:p>
        </w:tc>
      </w:tr>
      <w:tr>
        <w:tc>
          <w:tcPr>
            <w:tcW w:type="dxa" w:w="3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sz w:val="20"/>
                <w:szCs w:val="20"/>
              </w:rPr>
              <w:t xml:space="preserve">surprise fee at checkout</w:t>
            </w:r>
          </w:p>
        </w:tc>
        <w:tc>
          <w:tcPr>
            <w:tcW w:type="dxa" w:w="13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7 (0.7%)</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55</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BF8F00"/>
                <w:sz w:val="20"/>
                <w:szCs w:val="20"/>
              </w:rPr>
              <w:t xml:space="preserve">-25pp</w:t>
            </w:r>
          </w:p>
        </w:tc>
        <w:tc>
          <w:tcPr>
            <w:tcW w:type="dxa" w:w="15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595959"/>
                <w:sz w:val="20"/>
                <w:szCs w:val="20"/>
              </w:rPr>
              <w:t xml:space="preserve">SÍ (proceso)</w:t>
            </w:r>
          </w:p>
        </w:tc>
      </w:tr>
    </w:tbl>
    <w:p>
      <w:pPr>
        <w:spacing w:after="60" w:before="60"/>
      </w:pPr>
      <w:r>
        <w:t xml:space="preserve"/>
      </w:r>
    </w:p>
    <w:p>
      <w:pPr>
        <w:spacing w:after="80" w:before="80"/>
        <w:jc w:val="left"/>
      </w:pPr>
      <w:r>
        <w:rPr>
          <w:rFonts w:ascii="Calibri" w:cs="Calibri" w:eastAsia="Calibri" w:hAnsi="Calibri"/>
          <w:b/>
          <w:bCs/>
          <w:sz w:val="22"/>
          <w:szCs w:val="22"/>
        </w:rPr>
        <w:t xml:space="preserve">Recomendación accionable: </w:t>
      </w:r>
      <w:r>
        <w:rPr>
          <w:rFonts w:ascii="Calibri" w:cs="Calibri" w:eastAsia="Calibri" w:hAnsi="Calibri"/>
          <w:sz w:val="22"/>
          <w:szCs w:val="22"/>
        </w:rPr>
        <w:t xml:space="preserve">reorientar el presupuesto de recovery training hacia prevención operativa de los 4 eventos marcados "SÍ". Inversión estimada: €15-25K/año en SOPs + kits de contingencia. ROI esperado: +40-55 NPS por incidente evitado × ~40 incidentes anuales = impacto NPS agregado ~+2pp agregado en la propiedad.</w:t>
      </w:r>
    </w:p>
    <w:p>
      <w:r>
        <w:br w:type="page"/>
      </w:r>
    </w:p>
    <w:p>
      <w:pPr>
        <w:pStyle w:val="Heading2"/>
        <w:spacing w:after="120" w:before="220"/>
      </w:pPr>
      <w:r>
        <w:rPr>
          <w:rFonts w:ascii="Calibri" w:cs="Calibri" w:eastAsia="Calibri" w:hAnsi="Calibri"/>
          <w:b/>
          <w:bCs/>
          <w:color w:val="2E74B5"/>
          <w:sz w:val="26"/>
          <w:szCs w:val="26"/>
        </w:rPr>
        <w:t xml:space="preserve">3.2 Insight #2 — El cliff 3★ → 4★ en return intent</w:t>
      </w:r>
    </w:p>
    <w:p>
      <w:pPr>
        <w:spacing w:after="80" w:before="80"/>
        <w:jc w:val="left"/>
      </w:pPr>
      <w:r>
        <w:rPr>
          <w:rFonts w:ascii="Calibri" w:cs="Calibri" w:eastAsia="Calibri" w:hAnsi="Calibri"/>
          <w:sz w:val="22"/>
          <w:szCs w:val="22"/>
        </w:rPr>
        <w:t xml:space="preserve">El dashboard de Meliá mide "retention intent" pero probablemente lo reporta como un número agregado. La simulación segmenta por estrella final revelando un cliff dramático: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rPr>
          <w:tblHeader/>
        </w:trPr>
        <w:tc>
          <w:tcPr>
            <w:tcW w:type="dxa" w:w="15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Estrellas</w:t>
            </w:r>
          </w:p>
        </w:tc>
        <w:tc>
          <w:tcPr>
            <w:tcW w:type="dxa" w:w="2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Huéspedes</w:t>
            </w:r>
          </w:p>
        </w:tc>
        <w:tc>
          <w:tcPr>
            <w:tcW w:type="dxa" w:w="2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Return intent 12m</w:t>
            </w:r>
          </w:p>
        </w:tc>
        <w:tc>
          <w:tcPr>
            <w:tcW w:type="dxa" w:w="30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Gap al siguiente tier</w:t>
            </w:r>
          </w:p>
        </w:tc>
      </w:tr>
      <w:tr>
        <w:tc>
          <w:tcPr>
            <w:tcW w:type="dxa" w:w="1560"/>
            <w:tcBorders>
              <w:top w:val="single" w:color="CCCCCC" w:sz="1"/>
              <w:left w:val="single" w:color="CCCCCC" w:sz="1"/>
              <w:bottom w:val="single" w:color="CCCCCC" w:sz="1"/>
              <w:right w:val="single" w:color="CCCCCC" w:sz="1"/>
            </w:tcBorders>
            <w:shd w:fill="E3F4DC" w:val="clear"/>
            <w:tcMar>
              <w:top w:type="dxa" w:w="90"/>
              <w:left w:type="dxa" w:w="140"/>
              <w:bottom w:type="dxa" w:w="90"/>
              <w:right w:type="dxa" w:w="140"/>
            </w:tcMar>
          </w:tcPr>
          <w:p>
            <w:pPr>
              <w:jc w:val="left"/>
            </w:pPr>
            <w:r>
              <w:rPr>
                <w:rFonts w:ascii="Calibri" w:cs="Calibri" w:eastAsia="Calibri" w:hAnsi="Calibri"/>
                <w:b/>
                <w:bCs/>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820</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sz w:val="20"/>
                <w:szCs w:val="20"/>
              </w:rPr>
              <w:t xml:space="preserve">85%</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595959"/>
                <w:sz w:val="20"/>
                <w:szCs w:val="20"/>
              </w:rPr>
              <w:t xml:space="preserve">+19pp vs 4★</w:t>
            </w:r>
          </w:p>
        </w:tc>
      </w:tr>
      <w:tr>
        <w:tc>
          <w:tcPr>
            <w:tcW w:type="dxa" w:w="1560"/>
            <w:tcBorders>
              <w:top w:val="single" w:color="CCCCCC" w:sz="1"/>
              <w:left w:val="single" w:color="CCCCCC" w:sz="1"/>
              <w:bottom w:val="single" w:color="CCCCCC" w:sz="1"/>
              <w:right w:val="single" w:color="CCCCCC" w:sz="1"/>
            </w:tcBorders>
            <w:shd w:fill="FFF2CC" w:val="clear"/>
            <w:tcMar>
              <w:top w:type="dxa" w:w="90"/>
              <w:left w:type="dxa" w:w="140"/>
              <w:bottom w:type="dxa" w:w="90"/>
              <w:right w:type="dxa" w:w="140"/>
            </w:tcMar>
          </w:tcPr>
          <w:p>
            <w:pPr>
              <w:jc w:val="left"/>
            </w:pPr>
            <w:r>
              <w:rPr>
                <w:rFonts w:ascii="Calibri" w:cs="Calibri" w:eastAsia="Calibri" w:hAnsi="Calibri"/>
                <w:b/>
                <w:bCs/>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98</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66%</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+50pp vs 3★</w:t>
            </w:r>
          </w:p>
        </w:tc>
      </w:tr>
      <w:tr>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Calibri" w:cs="Calibri" w:eastAsia="Calibri" w:hAnsi="Calibri"/>
                <w:b/>
                <w:bCs/>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16%</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595959"/>
                <w:sz w:val="20"/>
                <w:szCs w:val="20"/>
              </w:rPr>
              <w:t xml:space="preserve">+-7pp vs 2★</w:t>
            </w:r>
          </w:p>
        </w:tc>
      </w:tr>
      <w:tr>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Calibri" w:cs="Calibri" w:eastAsia="Calibri" w:hAnsi="Calibri"/>
                <w:b/>
                <w:bCs/>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22%</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595959"/>
                <w:sz w:val="20"/>
                <w:szCs w:val="20"/>
              </w:rPr>
              <w:t xml:space="preserve">+4pp vs 1★</w:t>
            </w:r>
          </w:p>
        </w:tc>
      </w:tr>
      <w:tr>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jc w:val="left"/>
            </w:pPr>
            <w:r>
              <w:rPr>
                <w:rFonts w:ascii="Calibri" w:cs="Calibri" w:eastAsia="Calibri" w:hAnsi="Calibri"/>
                <w:b/>
                <w:bCs/>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55</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18%</w:t>
            </w:r>
          </w:p>
        </w:tc>
        <w:tc>
          <w:tcPr>
            <w:tcW w:type="dxa" w:w="30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595959"/>
                <w:sz w:val="20"/>
                <w:szCs w:val="20"/>
              </w:rPr>
              <w:t xml:space="preserve">—</w:t>
            </w:r>
          </w:p>
        </w:tc>
      </w:tr>
    </w:tbl>
    <w:p>
      <w:pPr>
        <w:spacing w:after="60" w:before="60"/>
      </w:pPr>
      <w:r>
        <w:t xml:space="preserve"/>
      </w:r>
    </w:p>
    <w:p>
      <w:pPr>
        <w:spacing w:after="80" w:before="80"/>
        <w:jc w:val="left"/>
      </w:pPr>
      <w:r>
        <w:rPr>
          <w:rFonts w:ascii="Calibri" w:cs="Calibri" w:eastAsia="Calibri" w:hAnsi="Calibri"/>
          <w:b/>
          <w:bCs/>
          <w:color w:val="C00000"/>
          <w:sz w:val="22"/>
          <w:szCs w:val="22"/>
        </w:rPr>
        <w:t xml:space="preserve">El salto de 3★ a 4★ es de 50pp en probabilidad de volver en 12 meses. </w:t>
      </w:r>
      <w:r>
        <w:rPr>
          <w:rFonts w:ascii="Calibri" w:cs="Calibri" w:eastAsia="Calibri" w:hAnsi="Calibri"/>
          <w:sz w:val="22"/>
          <w:szCs w:val="22"/>
        </w:rPr>
        <w:t xml:space="preserve">Traducido a valor: cada estancia 3★ rescatada a 4★ equivale a ~+0.5 repeat booking adicional. A €1.750/noche × 5 noches de estancia media, recuperar 100 estancias 3★ → 4★ vale </w:t>
      </w:r>
      <w:r>
        <w:rPr>
          <w:rFonts w:ascii="Calibri" w:cs="Calibri" w:eastAsia="Calibri" w:hAnsi="Calibri"/>
          <w:b/>
          <w:bCs/>
          <w:color w:val="2E7D32"/>
          <w:sz w:val="22"/>
          <w:szCs w:val="22"/>
        </w:rPr>
        <w:t xml:space="preserve">+€438K</w:t>
      </w:r>
      <w:r>
        <w:rPr>
          <w:rFonts w:ascii="Calibri" w:cs="Calibri" w:eastAsia="Calibri" w:hAnsi="Calibri"/>
          <w:sz w:val="22"/>
          <w:szCs w:val="22"/>
        </w:rPr>
        <w:t xml:space="preserve">/año en repeat revenue.</w:t>
      </w:r>
    </w:p>
    <w:p>
      <w:pPr>
        <w:spacing w:after="60" w:before="60"/>
      </w:pPr>
      <w:r>
        <w:t xml:space="preserve"/>
      </w:r>
    </w:p>
    <w:p>
      <w:pPr>
        <w:spacing w:after="80" w:before="80"/>
        <w:jc w:val="left"/>
      </w:pPr>
      <w:r>
        <w:rPr>
          <w:rFonts w:ascii="Calibri" w:cs="Calibri" w:eastAsia="Calibri" w:hAnsi="Calibri"/>
          <w:b/>
          <w:bCs/>
          <w:sz w:val="22"/>
          <w:szCs w:val="22"/>
        </w:rPr>
        <w:t xml:space="preserve">Recomendación accionable: </w:t>
      </w:r>
      <w:r>
        <w:rPr>
          <w:rFonts w:ascii="Calibri" w:cs="Calibri" w:eastAsia="Calibri" w:hAnsi="Calibri"/>
          <w:sz w:val="22"/>
          <w:szCs w:val="22"/>
        </w:rPr>
        <w:t xml:space="preserve">implementar flag "at risk 3★" en el PMS día 3 (cuando la sim muestra el cliff de satisfacción). Intervención: butler escalation + gesto específico antes de checkout. Cada 1pp de mejora en tasa de salvamento = +€17K/año.</w:t>
      </w:r>
    </w:p>
    <w:p>
      <w:r>
        <w:br w:type="page"/>
      </w:r>
    </w:p>
    <w:p>
      <w:pPr>
        <w:pStyle w:val="Heading2"/>
        <w:spacing w:after="120" w:before="220"/>
      </w:pPr>
      <w:r>
        <w:rPr>
          <w:rFonts w:ascii="Calibri" w:cs="Calibri" w:eastAsia="Calibri" w:hAnsi="Calibri"/>
          <w:b/>
          <w:bCs/>
          <w:color w:val="2E74B5"/>
          <w:sz w:val="26"/>
          <w:szCs w:val="26"/>
        </w:rPr>
        <w:t xml:space="preserve">3.3 Insight #3 — Los 2 segmentos críticos para VLB</w:t>
      </w:r>
    </w:p>
    <w:p>
      <w:pPr>
        <w:spacing w:after="80" w:before="80"/>
        <w:jc w:val="left"/>
      </w:pPr>
      <w:r>
        <w:rPr>
          <w:rFonts w:ascii="Calibri" w:cs="Calibri" w:eastAsia="Calibri" w:hAnsi="Calibri"/>
          <w:sz w:val="22"/>
          <w:szCs w:val="22"/>
        </w:rPr>
        <w:t xml:space="preserve">Los honeymooners (n=313) y luxury_seekers (n=261) representan el 70% del cohorte de Villa Le Blanc y tienen patrones de fallo distintos. Análisis profundo del segmento honeymooner — ¿qué distingue un 5★ de un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Dimensión</w:t>
            </w:r>
          </w:p>
        </w:tc>
        <w:tc>
          <w:tcPr>
            <w:tcW w:type="dxa" w:w="15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5★ (n=271)</w:t>
            </w:r>
          </w:p>
        </w:tc>
        <w:tc>
          <w:tcPr>
            <w:tcW w:type="dxa" w:w="15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≤3★ (n=13)</w:t>
            </w:r>
          </w:p>
        </w:tc>
        <w:tc>
          <w:tcPr>
            <w:tcW w:type="dxa" w:w="15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Gap</w:t>
            </w:r>
          </w:p>
        </w:tc>
        <w:tc>
          <w:tcPr>
            <w:tcW w:type="dxa" w:w="15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Palanca</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comfort_physical</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92</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color w:val="C00000"/>
                <w:sz w:val="20"/>
                <w:szCs w:val="20"/>
              </w:rPr>
              <w:t xml:space="preserve">47</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C00000"/>
                <w:sz w:val="20"/>
                <w:szCs w:val="20"/>
              </w:rPr>
              <w:t xml:space="preserve">−46</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HVAC + noise</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sz w:val="20"/>
                <w:szCs w:val="20"/>
              </w:rPr>
              <w:t xml:space="preserve">cleanliness</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95</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color w:val="C00000"/>
                <w:sz w:val="20"/>
                <w:szCs w:val="20"/>
              </w:rPr>
              <w:t xml:space="preserve">76</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595959"/>
                <w:sz w:val="20"/>
                <w:szCs w:val="20"/>
              </w:rPr>
              <w:t xml:space="preserve">−19</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service_quality</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99</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color w:val="C00000"/>
                <w:sz w:val="20"/>
                <w:szCs w:val="20"/>
              </w:rPr>
              <w:t xml:space="preserve">49</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C00000"/>
                <w:sz w:val="20"/>
                <w:szCs w:val="20"/>
              </w:rPr>
              <w:t xml:space="preserve">−51</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butler día 2</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personalization</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97</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color w:val="C00000"/>
                <w:sz w:val="20"/>
                <w:szCs w:val="20"/>
              </w:rPr>
              <w:t xml:space="preserve">47</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C00000"/>
                <w:sz w:val="20"/>
                <w:szCs w:val="20"/>
              </w:rPr>
              <w:t xml:space="preserve">−50</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reconocimiento</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sz w:val="20"/>
                <w:szCs w:val="20"/>
              </w:rPr>
              <w:t xml:space="preserve">value</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79</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color w:val="C00000"/>
                <w:sz w:val="20"/>
                <w:szCs w:val="20"/>
              </w:rPr>
              <w:t xml:space="preserve">53</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BF8F00"/>
                <w:sz w:val="20"/>
                <w:szCs w:val="20"/>
              </w:rPr>
              <w:t xml:space="preserve">−26</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culinary</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99</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color w:val="C00000"/>
                <w:sz w:val="20"/>
                <w:szCs w:val="20"/>
              </w:rPr>
              <w:t xml:space="preserve">58</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C00000"/>
                <w:sz w:val="20"/>
                <w:szCs w:val="20"/>
              </w:rPr>
              <w:t xml:space="preserve">−41</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F&amp;B consistency</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sz w:val="20"/>
                <w:szCs w:val="20"/>
              </w:rPr>
              <w:t xml:space="preserve">aesthetic</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color w:val="C00000"/>
                <w:sz w:val="20"/>
                <w:szCs w:val="20"/>
              </w:rPr>
              <w:t xml:space="preserve">69</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BF8F00"/>
                <w:sz w:val="20"/>
                <w:szCs w:val="20"/>
              </w:rPr>
              <w:t xml:space="preserve">−31</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design reveal</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sz w:val="20"/>
                <w:szCs w:val="20"/>
              </w:rPr>
              <w:t xml:space="preserve">authenticity</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98</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color w:val="C00000"/>
                <w:sz w:val="20"/>
                <w:szCs w:val="20"/>
              </w:rPr>
              <w:t xml:space="preserve">71</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val="false"/>
                <w:bCs w:val="false"/>
                <w:color w:val="BF8F00"/>
                <w:sz w:val="20"/>
                <w:szCs w:val="20"/>
              </w:rPr>
              <w:t xml:space="preserve">−28</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w:t>
            </w:r>
          </w:p>
        </w:tc>
      </w:tr>
    </w:tbl>
    <w:p>
      <w:pPr>
        <w:spacing w:after="60" w:before="60"/>
      </w:pPr>
      <w:r>
        <w:t xml:space="preserve"/>
      </w:r>
    </w:p>
    <w:p>
      <w:pPr>
        <w:spacing w:after="80" w:before="80"/>
        <w:jc w:val="left"/>
      </w:pPr>
      <w:r>
        <w:rPr>
          <w:rFonts w:ascii="Calibri" w:cs="Calibri" w:eastAsia="Calibri" w:hAnsi="Calibri"/>
          <w:b/>
          <w:bCs/>
          <w:sz w:val="22"/>
          <w:szCs w:val="22"/>
        </w:rPr>
        <w:t xml:space="preserve">Interpretación: </w:t>
      </w:r>
      <w:r>
        <w:rPr>
          <w:rFonts w:ascii="Calibri" w:cs="Calibri" w:eastAsia="Calibri" w:hAnsi="Calibri"/>
          <w:sz w:val="22"/>
          <w:szCs w:val="22"/>
        </w:rPr>
        <w:t xml:space="preserve">un honeymooner que colapsa a ≤3★ no es víctima del producto (aesthetic y cleanliness solo caen 31 y 19 puntos respectivamente) — es víctima del </w:t>
      </w:r>
      <w:r>
        <w:rPr>
          <w:rFonts w:ascii="Calibri" w:cs="Calibri" w:eastAsia="Calibri" w:hAnsi="Calibri"/>
          <w:b/>
          <w:bCs/>
          <w:sz w:val="22"/>
          <w:szCs w:val="22"/>
        </w:rPr>
        <w:t xml:space="preserve">declive de atención</w:t>
      </w:r>
      <w:r>
        <w:rPr>
          <w:rFonts w:ascii="Calibri" w:cs="Calibri" w:eastAsia="Calibri" w:hAnsi="Calibri"/>
          <w:sz w:val="22"/>
          <w:szCs w:val="22"/>
        </w:rPr>
        <w:t xml:space="preserve"> después del día 1 (service_quality cae 51, personalization 50). La intervención "Second-Day Reset" del plan de acción corrige estos dos gaps exactamente.</w:t>
      </w:r>
    </w:p>
    <w:p>
      <w:r>
        <w:br w:type="page"/>
      </w:r>
    </w:p>
    <w:p>
      <w:pPr>
        <w:pStyle w:val="Heading1"/>
        <w:spacing w:after="160" w:before="280"/>
      </w:pPr>
      <w:r>
        <w:rPr>
          <w:rFonts w:ascii="Calibri" w:cs="Calibri" w:eastAsia="Calibri" w:hAnsi="Calibri"/>
          <w:b/>
          <w:bCs/>
          <w:color w:val="1F3864"/>
          <w:sz w:val="32"/>
          <w:szCs w:val="32"/>
        </w:rPr>
        <w:t xml:space="preserve">4. Rendimiento por segmento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60"/>
        <w:gridCol w:w="1400"/>
        <w:gridCol w:w="1400"/>
        <w:gridCol w:w="1400"/>
        <w:gridCol w:w="140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Segmento</w:t>
            </w:r>
          </w:p>
        </w:tc>
        <w:tc>
          <w:tcPr>
            <w:tcW w:type="dxa" w:w="11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 cohorte</w:t>
            </w:r>
          </w:p>
        </w:tc>
        <w:tc>
          <w:tcPr>
            <w:tcW w:type="dxa" w:w="1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Avg ★</w:t>
            </w:r>
          </w:p>
        </w:tc>
        <w:tc>
          <w:tcPr>
            <w:tcW w:type="dxa" w:w="1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NPS</w:t>
            </w:r>
          </w:p>
        </w:tc>
        <w:tc>
          <w:tcPr>
            <w:tcW w:type="dxa" w:w="1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 5★</w:t>
            </w:r>
          </w:p>
        </w:tc>
        <w:tc>
          <w:tcPr>
            <w:tcW w:type="dxa" w:w="1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Return 12m</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honeymooner</w:t>
            </w:r>
          </w:p>
        </w:tc>
        <w:tc>
          <w:tcPr>
            <w:tcW w:type="dxa" w:w="1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31.3%</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4.76</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+85</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87%</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66%</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luxury_seeker</w:t>
            </w:r>
          </w:p>
        </w:tc>
        <w:tc>
          <w:tcPr>
            <w:tcW w:type="dxa" w:w="1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26.1%</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4.43</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+68</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74%</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83%</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loyalty_maximizer</w:t>
            </w:r>
          </w:p>
        </w:tc>
        <w:tc>
          <w:tcPr>
            <w:tcW w:type="dxa" w:w="1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20.8%</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4.54</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+72</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79%</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92%</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digital_nomad</w:t>
            </w:r>
          </w:p>
        </w:tc>
        <w:tc>
          <w:tcPr>
            <w:tcW w:type="dxa" w:w="1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8.3%</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4.54</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+66</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84%</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75%</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business_traveler</w:t>
            </w:r>
          </w:p>
        </w:tc>
        <w:tc>
          <w:tcPr>
            <w:tcW w:type="dxa" w:w="1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7.3%</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4.71</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+82</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89%</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83%</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budget_optimizer</w:t>
            </w:r>
          </w:p>
        </w:tc>
        <w:tc>
          <w:tcPr>
            <w:tcW w:type="dxa" w:w="1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3.1%</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4.94</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+95</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97%</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69%</w:t>
            </w:r>
          </w:p>
        </w:tc>
      </w:tr>
      <w:tr>
        <w:tc>
          <w:tcPr>
            <w:tcW w:type="dxa" w:w="26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sz w:val="20"/>
                <w:szCs w:val="20"/>
              </w:rPr>
              <w:t xml:space="preserve">event_attendee</w:t>
            </w:r>
          </w:p>
        </w:tc>
        <w:tc>
          <w:tcPr>
            <w:tcW w:type="dxa" w:w="11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3.1%</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4.87</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+87</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90%</w:t>
            </w:r>
          </w:p>
        </w:tc>
        <w:tc>
          <w:tcPr>
            <w:tcW w:type="dxa" w:w="1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60%</w:t>
            </w:r>
          </w:p>
        </w:tc>
      </w:tr>
    </w:tbl>
    <w:p>
      <w:pPr>
        <w:spacing w:after="60" w:before="60"/>
      </w:pPr>
      <w:r>
        <w:t xml:space="preserve"/>
      </w:r>
    </w:p>
    <w:p>
      <w:pPr>
        <w:pStyle w:val="Heading2"/>
        <w:spacing w:after="120" w:before="220"/>
      </w:pPr>
      <w:r>
        <w:rPr>
          <w:rFonts w:ascii="Calibri" w:cs="Calibri" w:eastAsia="Calibri" w:hAnsi="Calibri"/>
          <w:b/>
          <w:bCs/>
          <w:color w:val="2E74B5"/>
          <w:sz w:val="26"/>
          <w:szCs w:val="26"/>
        </w:rPr>
        <w:t xml:space="preserve">4.1 Por cluster cultural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400"/>
        <w:gridCol w:w="228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Cluster</w:t>
            </w:r>
          </w:p>
        </w:tc>
        <w:tc>
          <w:tcPr>
            <w:tcW w:type="dxa" w:w="156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Huéspedes</w:t>
            </w:r>
          </w:p>
        </w:tc>
        <w:tc>
          <w:tcPr>
            <w:tcW w:type="dxa" w:w="240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Avg ★</w:t>
            </w:r>
          </w:p>
        </w:tc>
        <w:tc>
          <w:tcPr>
            <w:tcW w:type="dxa" w:w="2280"/>
            <w:tcBorders>
              <w:top w:val="single" w:color="CCCCCC" w:sz="1"/>
              <w:left w:val="single" w:color="CCCCCC" w:sz="1"/>
              <w:bottom w:val="single" w:color="CCCCCC" w:sz="1"/>
              <w:right w:val="single" w:color="CCCCCC" w:sz="1"/>
            </w:tcBorders>
            <w:shd w:fill="1F3864" w:val="clear"/>
            <w:tcMar>
              <w:top w:type="dxa" w:w="90"/>
              <w:left w:type="dxa" w:w="140"/>
              <w:bottom w:type="dxa" w:w="90"/>
              <w:right w:type="dxa" w:w="140"/>
            </w:tcMar>
          </w:tcPr>
          <w:p>
            <w:r>
              <w:rPr>
                <w:rFonts w:ascii="Calibri" w:cs="Calibri" w:eastAsia="Calibri" w:hAnsi="Calibri"/>
                <w:b/>
                <w:bCs/>
                <w:color w:val="FFFFFF"/>
                <w:sz w:val="21"/>
                <w:szCs w:val="21"/>
              </w:rPr>
              <w:t xml:space="preserve">NPS</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anglo_uk_ireland</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346</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4.58</w:t>
            </w:r>
          </w:p>
        </w:tc>
        <w:tc>
          <w:tcPr>
            <w:tcW w:type="dxa" w:w="22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BF8F00"/>
                <w:sz w:val="20"/>
                <w:szCs w:val="20"/>
              </w:rPr>
              <w:t xml:space="preserve">+75</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german_dach</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234</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4.69</w:t>
            </w:r>
          </w:p>
        </w:tc>
        <w:tc>
          <w:tcPr>
            <w:tcW w:type="dxa" w:w="22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+80</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latin_spain_italy</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196</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4.58</w:t>
            </w:r>
          </w:p>
        </w:tc>
        <w:tc>
          <w:tcPr>
            <w:tcW w:type="dxa" w:w="22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BF8F00"/>
                <w:sz w:val="20"/>
                <w:szCs w:val="20"/>
              </w:rPr>
              <w:t xml:space="preserve">+74</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french</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105</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4.65</w:t>
            </w:r>
          </w:p>
        </w:tc>
        <w:tc>
          <w:tcPr>
            <w:tcW w:type="dxa" w:w="22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+78</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anglo_us_canada</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49</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4.71</w:t>
            </w:r>
          </w:p>
        </w:tc>
        <w:tc>
          <w:tcPr>
            <w:tcW w:type="dxa" w:w="22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+79</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nordic</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42</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4.26</w:t>
            </w:r>
          </w:p>
        </w:tc>
        <w:tc>
          <w:tcPr>
            <w:tcW w:type="dxa" w:w="22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C00000"/>
                <w:sz w:val="20"/>
                <w:szCs w:val="20"/>
              </w:rPr>
              <w:t xml:space="preserve">+60</w:t>
            </w:r>
          </w:p>
        </w:tc>
      </w:tr>
      <w:tr>
        <w:tc>
          <w:tcPr>
            <w:tcW w:type="dxa" w:w="312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latin_american</w:t>
            </w:r>
          </w:p>
        </w:tc>
        <w:tc>
          <w:tcPr>
            <w:tcW w:type="dxa" w:w="156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28</w:t>
            </w:r>
          </w:p>
        </w:tc>
        <w:tc>
          <w:tcPr>
            <w:tcW w:type="dxa" w:w="240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sz w:val="20"/>
                <w:szCs w:val="20"/>
              </w:rPr>
              <w:t xml:space="preserve">4.86</w:t>
            </w:r>
          </w:p>
        </w:tc>
        <w:tc>
          <w:tcPr>
            <w:tcW w:type="dxa" w:w="2280"/>
            <w:tcBorders>
              <w:top w:val="single" w:color="CCCCCC" w:sz="1"/>
              <w:left w:val="single" w:color="CCCCCC" w:sz="1"/>
              <w:bottom w:val="single" w:color="CCCCCC" w:sz="1"/>
              <w:right w:val="single" w:color="CCCCCC" w:sz="1"/>
            </w:tcBorders>
            <w:tcMar>
              <w:top w:type="dxa" w:w="90"/>
              <w:left w:type="dxa" w:w="140"/>
              <w:bottom w:type="dxa" w:w="90"/>
              <w:right w:type="dxa" w:w="140"/>
            </w:tcMar>
          </w:tcPr>
          <w:p>
            <w:pPr>
              <w:jc w:val="left"/>
            </w:pPr>
            <w:r>
              <w:rPr>
                <w:rFonts w:ascii="Calibri" w:cs="Calibri" w:eastAsia="Calibri" w:hAnsi="Calibri"/>
                <w:b/>
                <w:bCs/>
                <w:color w:val="2E7D32"/>
                <w:sz w:val="20"/>
                <w:szCs w:val="20"/>
              </w:rPr>
              <w:t xml:space="preserve">+88</w:t>
            </w:r>
          </w:p>
        </w:tc>
      </w:tr>
    </w:tbl>
    <w:p>
      <w:pPr>
        <w:spacing w:after="60" w:before="60"/>
      </w:pPr>
      <w:r>
        <w:t xml:space="preserve"/>
      </w:r>
    </w:p>
    <w:p>
      <w:pPr>
        <w:spacing w:after="80" w:before="80"/>
        <w:jc w:val="left"/>
      </w:pPr>
      <w:r>
        <w:rPr>
          <w:rFonts w:ascii="Calibri" w:cs="Calibri" w:eastAsia="Calibri" w:hAnsi="Calibri"/>
          <w:b/>
          <w:bCs/>
          <w:sz w:val="22"/>
          <w:szCs w:val="22"/>
        </w:rPr>
        <w:t xml:space="preserve">Observación: </w:t>
      </w:r>
      <w:r>
        <w:rPr>
          <w:rFonts w:ascii="Calibri" w:cs="Calibri" w:eastAsia="Calibri" w:hAnsi="Calibri"/>
          <w:sz w:val="22"/>
          <w:szCs w:val="22"/>
        </w:rPr>
        <w:t xml:space="preserve">los nórdicos (NPS +60) son el cluster peor-performing. Cultura de servicio egalitaria, expectativas de sostenibilidad visible, tolerancia muy baja al chaos. El diferencial vs el resto sugiere una oportunidad de calibración específica del mensaje "net-zero" en branding y storytelling.</w:t>
      </w:r>
    </w:p>
    <w:p>
      <w:r>
        <w:br w:type="page"/>
      </w:r>
    </w:p>
    <w:p>
      <w:pPr>
        <w:pStyle w:val="Heading1"/>
        <w:spacing w:after="160" w:before="280"/>
      </w:pPr>
      <w:r>
        <w:rPr>
          <w:rFonts w:ascii="Calibri" w:cs="Calibri" w:eastAsia="Calibri" w:hAnsi="Calibri"/>
          <w:b/>
          <w:bCs/>
          <w:color w:val="1F3864"/>
          <w:sz w:val="32"/>
          <w:szCs w:val="32"/>
        </w:rPr>
        <w:t xml:space="preserve">5. Casos de uso futuros (roadmap con Meliá)</w:t>
      </w:r>
    </w:p>
    <w:p>
      <w:pPr>
        <w:spacing w:after="80" w:before="80"/>
        <w:jc w:val="left"/>
      </w:pPr>
      <w:r>
        <w:rPr>
          <w:rFonts w:ascii="Calibri" w:cs="Calibri" w:eastAsia="Calibri" w:hAnsi="Calibri"/>
          <w:sz w:val="22"/>
          <w:szCs w:val="22"/>
        </w:rPr>
        <w:t xml:space="preserve">La simulación no es solo un diagnóstico — es una plataforma para decisión informada. Casos de uso inmediatos tras la validación:</w:t>
      </w:r>
    </w:p>
    <w:p>
      <w:pPr>
        <w:pStyle w:val="ListParagraph"/>
        <w:numPr>
          <w:ilvl w:val="0"/>
          <w:numId w:val="2"/>
        </w:numPr>
        <w:spacing w:after="40" w:before="40"/>
      </w:pPr>
      <w:r>
        <w:rPr>
          <w:rFonts w:ascii="Calibri" w:cs="Calibri" w:eastAsia="Calibri" w:hAnsi="Calibri"/>
          <w:b/>
          <w:bCs/>
          <w:sz w:val="22"/>
          <w:szCs w:val="22"/>
        </w:rPr>
        <w:t xml:space="preserve">Pre-launch validation: </w:t>
      </w:r>
      <w:r>
        <w:rPr>
          <w:rFonts w:ascii="Calibri" w:cs="Calibri" w:eastAsia="Calibri" w:hAnsi="Calibri"/>
          <w:sz w:val="22"/>
          <w:szCs w:val="22"/>
        </w:rPr>
        <w:t xml:space="preserve">antes de abrir un nuevo Gran Meliá (Roma, Tenerife, Marrakech), simular 500-1000 huéspedes para predecir NPS + star distribution + calibrar pricing.</w:t>
      </w:r>
    </w:p>
    <w:p>
      <w:pPr>
        <w:pStyle w:val="ListParagraph"/>
        <w:numPr>
          <w:ilvl w:val="0"/>
          <w:numId w:val="2"/>
        </w:numPr>
        <w:spacing w:after="40" w:before="40"/>
      </w:pPr>
      <w:r>
        <w:rPr>
          <w:rFonts w:ascii="Calibri" w:cs="Calibri" w:eastAsia="Calibri" w:hAnsi="Calibri"/>
          <w:b/>
          <w:bCs/>
          <w:sz w:val="22"/>
          <w:szCs w:val="22"/>
        </w:rPr>
        <w:t xml:space="preserve">A/B testing operativo: </w:t>
      </w:r>
      <w:r>
        <w:rPr>
          <w:rFonts w:ascii="Calibri" w:cs="Calibri" w:eastAsia="Calibri" w:hAnsi="Calibri"/>
          <w:sz w:val="22"/>
          <w:szCs w:val="22"/>
        </w:rPr>
        <w:t xml:space="preserve">probar cambios (resort fee visible/oculto, welcome pack Platinum, menú sostenible) en simulación antes de piloto real — elimina el coste de A/B en propiedad.</w:t>
      </w:r>
    </w:p>
    <w:p>
      <w:pPr>
        <w:pStyle w:val="ListParagraph"/>
        <w:numPr>
          <w:ilvl w:val="0"/>
          <w:numId w:val="2"/>
        </w:numPr>
        <w:spacing w:after="40" w:before="40"/>
      </w:pPr>
      <w:r>
        <w:rPr>
          <w:rFonts w:ascii="Calibri" w:cs="Calibri" w:eastAsia="Calibri" w:hAnsi="Calibri"/>
          <w:b/>
          <w:bCs/>
          <w:sz w:val="22"/>
          <w:szCs w:val="22"/>
        </w:rPr>
        <w:t xml:space="preserve">Competitive benchmark: </w:t>
      </w:r>
      <w:r>
        <w:rPr>
          <w:rFonts w:ascii="Calibri" w:cs="Calibri" w:eastAsia="Calibri" w:hAnsi="Calibri"/>
          <w:sz w:val="22"/>
          <w:szCs w:val="22"/>
        </w:rPr>
        <w:t xml:space="preserve">calibrar simulaciones contra Four Seasons / Aman / Rosewood (reviews públicos) y ver dónde Meliá cierra gap o destaca.</w:t>
      </w:r>
    </w:p>
    <w:p>
      <w:pPr>
        <w:pStyle w:val="ListParagraph"/>
        <w:numPr>
          <w:ilvl w:val="0"/>
          <w:numId w:val="2"/>
        </w:numPr>
        <w:spacing w:after="40" w:before="40"/>
      </w:pPr>
      <w:r>
        <w:rPr>
          <w:rFonts w:ascii="Calibri" w:cs="Calibri" w:eastAsia="Calibri" w:hAnsi="Calibri"/>
          <w:b/>
          <w:bCs/>
          <w:sz w:val="22"/>
          <w:szCs w:val="22"/>
        </w:rPr>
        <w:t xml:space="preserve">Crisis simulation: </w:t>
      </w:r>
      <w:r>
        <w:rPr>
          <w:rFonts w:ascii="Calibri" w:cs="Calibri" w:eastAsia="Calibri" w:hAnsi="Calibri"/>
          <w:sz w:val="22"/>
          <w:szCs w:val="22"/>
        </w:rPr>
        <w:t xml:space="preserve">modelar el impacto NPS de huelgas, construcciones cercanas, eventos externos (olas de calor) con planes de mitigación comparados.</w:t>
      </w:r>
    </w:p>
    <w:p>
      <w:pPr>
        <w:pStyle w:val="ListParagraph"/>
        <w:numPr>
          <w:ilvl w:val="0"/>
          <w:numId w:val="2"/>
        </w:numPr>
        <w:spacing w:after="40" w:before="40"/>
      </w:pPr>
      <w:r>
        <w:rPr>
          <w:rFonts w:ascii="Calibri" w:cs="Calibri" w:eastAsia="Calibri" w:hAnsi="Calibri"/>
          <w:b/>
          <w:bCs/>
          <w:sz w:val="22"/>
          <w:szCs w:val="22"/>
        </w:rPr>
        <w:t xml:space="preserve">Formación staff data-driven: </w:t>
      </w:r>
      <w:r>
        <w:rPr>
          <w:rFonts w:ascii="Calibri" w:cs="Calibri" w:eastAsia="Calibri" w:hAnsi="Calibri"/>
          <w:sz w:val="22"/>
          <w:szCs w:val="22"/>
        </w:rPr>
        <w:t xml:space="preserve">entrevistar agentes sintéticos (sistema ya operativo) como material de training de recepcionistas — huéspedes que dicen exactamente qué hizo que volvieran vs qué les alejó.</w:t>
      </w:r>
    </w:p>
    <w:p>
      <w:pPr>
        <w:spacing w:after="60" w:before="60"/>
      </w:pPr>
      <w:r>
        <w:t xml:space="preserve"/>
      </w:r>
    </w:p>
    <w:p>
      <w:pPr>
        <w:spacing w:after="60" w:before="60"/>
      </w:pPr>
      <w:r>
        <w:t xml:space="preserve"/>
      </w:r>
    </w:p>
    <w:p>
      <w:pPr>
        <w:spacing w:after="80" w:before="80"/>
        <w:jc w:val="left"/>
      </w:pPr>
      <w:r>
        <w:rPr>
          <w:rFonts w:ascii="Calibri" w:cs="Calibri" w:eastAsia="Calibri" w:hAnsi="Calibri"/>
          <w:b/>
          <w:bCs/>
          <w:sz w:val="22"/>
          <w:szCs w:val="22"/>
        </w:rPr>
        <w:t xml:space="preserve">Propuesta concreta: </w:t>
      </w:r>
      <w:r>
        <w:rPr>
          <w:rFonts w:ascii="Calibri" w:cs="Calibri" w:eastAsia="Calibri" w:hAnsi="Calibri"/>
          <w:sz w:val="22"/>
          <w:szCs w:val="22"/>
        </w:rPr>
        <w:t xml:space="preserve">piloto 90 días sobre Villa Le Blanc aplicando los 4 fixes preventivos del Insight #1 — medimos NPS semanalmente contra la predicción sintética y calibramos. Coste: €15K licencia + €15K implementación operativa. Retorno esperado: +€500K en repeat revenue año 1 (modelo bottom-up). Si funciona, escalamos a Palacio de los Duques y Mar de Nubes.</w:t>
      </w:r>
    </w:p>
    <w:p>
      <w:r>
        <w:br w:type="page"/>
      </w:r>
    </w:p>
    <w:p>
      <w:pPr>
        <w:pStyle w:val="Heading1"/>
        <w:spacing w:after="160" w:before="280"/>
      </w:pPr>
      <w:r>
        <w:rPr>
          <w:rFonts w:ascii="Calibri" w:cs="Calibri" w:eastAsia="Calibri" w:hAnsi="Calibri"/>
          <w:b/>
          <w:bCs/>
          <w:color w:val="1F3864"/>
          <w:sz w:val="32"/>
          <w:szCs w:val="32"/>
        </w:rPr>
        <w:t xml:space="preserve">6. Anexo metodológico</w:t>
      </w:r>
    </w:p>
    <w:p>
      <w:pPr>
        <w:pStyle w:val="Heading2"/>
        <w:spacing w:after="120" w:before="220"/>
      </w:pPr>
      <w:r>
        <w:rPr>
          <w:rFonts w:ascii="Calibri" w:cs="Calibri" w:eastAsia="Calibri" w:hAnsi="Calibri"/>
          <w:b/>
          <w:bCs/>
          <w:color w:val="2E74B5"/>
          <w:sz w:val="26"/>
          <w:szCs w:val="26"/>
        </w:rPr>
        <w:t xml:space="preserve">6.1 Cómo funciona la simulación</w:t>
      </w:r>
    </w:p>
    <w:p>
      <w:pPr>
        <w:spacing w:after="80" w:before="80"/>
        <w:jc w:val="left"/>
      </w:pPr>
      <w:r>
        <w:rPr>
          <w:rFonts w:ascii="Calibri" w:cs="Calibri" w:eastAsia="Calibri" w:hAnsi="Calibri"/>
          <w:sz w:val="22"/>
          <w:szCs w:val="22"/>
        </w:rPr>
        <w:t xml:space="preserve">Cada huésped sintético es un agente completo con:</w:t>
      </w:r>
    </w:p>
    <w:p>
      <w:pPr>
        <w:pStyle w:val="ListParagraph"/>
        <w:numPr>
          <w:ilvl w:val="0"/>
          <w:numId w:val="2"/>
        </w:numPr>
        <w:spacing w:after="40" w:before="40"/>
      </w:pPr>
      <w:r>
        <w:rPr>
          <w:rFonts w:ascii="Calibri" w:cs="Calibri" w:eastAsia="Calibri" w:hAnsi="Calibri"/>
          <w:sz w:val="22"/>
          <w:szCs w:val="22"/>
        </w:rPr>
        <w:t xml:space="preserve">Perfil demográfico: edad, nacionalidad, rol profesional, idioma nativo</w:t>
      </w:r>
    </w:p>
    <w:p>
      <w:pPr>
        <w:pStyle w:val="ListParagraph"/>
        <w:numPr>
          <w:ilvl w:val="0"/>
          <w:numId w:val="2"/>
        </w:numPr>
        <w:spacing w:after="40" w:before="40"/>
      </w:pPr>
      <w:r>
        <w:rPr>
          <w:rFonts w:ascii="Calibri" w:cs="Calibri" w:eastAsia="Calibri" w:hAnsi="Calibri"/>
          <w:sz w:val="22"/>
          <w:szCs w:val="22"/>
        </w:rPr>
        <w:t xml:space="preserve">Personalidad Big Five (OCEAN): openness, conscientiousness, extraversion, agreeableness, neuroticism</w:t>
      </w:r>
    </w:p>
    <w:p>
      <w:pPr>
        <w:pStyle w:val="ListParagraph"/>
        <w:numPr>
          <w:ilvl w:val="0"/>
          <w:numId w:val="2"/>
        </w:numPr>
        <w:spacing w:after="40" w:before="40"/>
      </w:pPr>
      <w:r>
        <w:rPr>
          <w:rFonts w:ascii="Calibri" w:cs="Calibri" w:eastAsia="Calibri" w:hAnsi="Calibri"/>
          <w:sz w:val="22"/>
          <w:szCs w:val="22"/>
        </w:rPr>
        <w:t xml:space="preserve">Consumo y hábitos: dieta, alcohol, cafeína, cronotipo, food adventurousness</w:t>
      </w:r>
    </w:p>
    <w:p>
      <w:pPr>
        <w:pStyle w:val="ListParagraph"/>
        <w:numPr>
          <w:ilvl w:val="0"/>
          <w:numId w:val="2"/>
        </w:numPr>
        <w:spacing w:after="40" w:before="40"/>
      </w:pPr>
      <w:r>
        <w:rPr>
          <w:rFonts w:ascii="Calibri" w:cs="Calibri" w:eastAsia="Calibri" w:hAnsi="Calibri"/>
          <w:sz w:val="22"/>
          <w:szCs w:val="22"/>
        </w:rPr>
        <w:t xml:space="preserve">Contexto vital: stress back home, ocasión del viaje, años de relación, tier de loyalty</w:t>
      </w:r>
    </w:p>
    <w:p>
      <w:pPr>
        <w:pStyle w:val="ListParagraph"/>
        <w:numPr>
          <w:ilvl w:val="0"/>
          <w:numId w:val="2"/>
        </w:numPr>
        <w:spacing w:after="40" w:before="40"/>
      </w:pPr>
      <w:r>
        <w:rPr>
          <w:rFonts w:ascii="Calibri" w:cs="Calibri" w:eastAsia="Calibri" w:hAnsi="Calibri"/>
          <w:sz w:val="22"/>
          <w:szCs w:val="22"/>
        </w:rPr>
        <w:t xml:space="preserve">Contexto de reserva: canal, tarifa pagada, lead time, upsells pre-bookeados, rate plan</w:t>
      </w:r>
    </w:p>
    <w:p>
      <w:pPr>
        <w:pStyle w:val="ListParagraph"/>
        <w:numPr>
          <w:ilvl w:val="0"/>
          <w:numId w:val="2"/>
        </w:numPr>
        <w:spacing w:after="40" w:before="40"/>
      </w:pPr>
      <w:r>
        <w:rPr>
          <w:rFonts w:ascii="Calibri" w:cs="Calibri" w:eastAsia="Calibri" w:hAnsi="Calibri"/>
          <w:sz w:val="22"/>
          <w:szCs w:val="22"/>
        </w:rPr>
        <w:t xml:space="preserve">Contexto cultural: cluster (UK, DACH, etc.) con expectativas Hofstede 6D + complaint style</w:t>
      </w:r>
    </w:p>
    <w:p>
      <w:pPr>
        <w:pStyle w:val="Heading2"/>
        <w:spacing w:after="120" w:before="220"/>
      </w:pPr>
      <w:r>
        <w:rPr>
          <w:rFonts w:ascii="Calibri" w:cs="Calibri" w:eastAsia="Calibri" w:hAnsi="Calibri"/>
          <w:b/>
          <w:bCs/>
          <w:color w:val="2E74B5"/>
          <w:sz w:val="26"/>
          <w:szCs w:val="26"/>
        </w:rPr>
        <w:t xml:space="preserve">6.2 Las 6 capas de "humanness"</w:t>
      </w:r>
    </w:p>
    <w:p>
      <w:pPr>
        <w:pStyle w:val="ListParagraph"/>
        <w:numPr>
          <w:ilvl w:val="0"/>
          <w:numId w:val="2"/>
        </w:numPr>
        <w:spacing w:after="40" w:before="40"/>
      </w:pPr>
      <w:r>
        <w:rPr>
          <w:rFonts w:ascii="Calibri" w:cs="Calibri" w:eastAsia="Calibri" w:hAnsi="Calibri"/>
          <w:b/>
          <w:bCs/>
          <w:sz w:val="22"/>
          <w:szCs w:val="22"/>
        </w:rPr>
        <w:t xml:space="preserve">1. Peak-end rule (Kahneman 1993): </w:t>
      </w:r>
      <w:r>
        <w:rPr>
          <w:rFonts w:ascii="Calibri" w:cs="Calibri" w:eastAsia="Calibri" w:hAnsi="Calibri"/>
          <w:sz w:val="22"/>
          <w:szCs w:val="22"/>
        </w:rPr>
        <w:t xml:space="preserve">el momento más intenso y el final pesan 1.6× más que stages intermedios.</w:t>
      </w:r>
    </w:p>
    <w:p>
      <w:pPr>
        <w:pStyle w:val="ListParagraph"/>
        <w:numPr>
          <w:ilvl w:val="0"/>
          <w:numId w:val="2"/>
        </w:numPr>
        <w:spacing w:after="40" w:before="40"/>
      </w:pPr>
      <w:r>
        <w:rPr>
          <w:rFonts w:ascii="Calibri" w:cs="Calibri" w:eastAsia="Calibri" w:hAnsi="Calibri"/>
          <w:b/>
          <w:bCs/>
          <w:sz w:val="22"/>
          <w:szCs w:val="22"/>
        </w:rPr>
        <w:t xml:space="preserve">2. Adaptación hedónica: </w:t>
      </w:r>
      <w:r>
        <w:rPr>
          <w:rFonts w:ascii="Calibri" w:cs="Calibri" w:eastAsia="Calibri" w:hAnsi="Calibri"/>
          <w:sz w:val="22"/>
          <w:szCs w:val="22"/>
        </w:rPr>
        <w:t xml:space="preserve">momentos repetidos del mismo tema ("vista al mar" x5) decaen en peso vía Jaccard similarity.</w:t>
      </w:r>
    </w:p>
    <w:p>
      <w:pPr>
        <w:pStyle w:val="ListParagraph"/>
        <w:numPr>
          <w:ilvl w:val="0"/>
          <w:numId w:val="2"/>
        </w:numPr>
        <w:spacing w:after="40" w:before="40"/>
      </w:pPr>
      <w:r>
        <w:rPr>
          <w:rFonts w:ascii="Calibri" w:cs="Calibri" w:eastAsia="Calibri" w:hAnsi="Calibri"/>
          <w:b/>
          <w:bCs/>
          <w:sz w:val="22"/>
          <w:szCs w:val="22"/>
        </w:rPr>
        <w:t xml:space="preserve">3. Post-stay telling loop: </w:t>
      </w:r>
      <w:r>
        <w:rPr>
          <w:rFonts w:ascii="Calibri" w:cs="Calibri" w:eastAsia="Calibri" w:hAnsi="Calibri"/>
          <w:sz w:val="22"/>
          <w:szCs w:val="22"/>
        </w:rPr>
        <w:t xml:space="preserve">3-14 días entre checkout y review — el huésped recuenta a pareja, amigos, Instagram. Algunos momentos amplifican, otros desvanecen.</w:t>
      </w:r>
    </w:p>
    <w:p>
      <w:pPr>
        <w:pStyle w:val="ListParagraph"/>
        <w:numPr>
          <w:ilvl w:val="0"/>
          <w:numId w:val="2"/>
        </w:numPr>
        <w:spacing w:after="40" w:before="40"/>
      </w:pPr>
      <w:r>
        <w:rPr>
          <w:rFonts w:ascii="Calibri" w:cs="Calibri" w:eastAsia="Calibri" w:hAnsi="Calibri"/>
          <w:b/>
          <w:bCs/>
          <w:sz w:val="22"/>
          <w:szCs w:val="22"/>
        </w:rPr>
        <w:t xml:space="preserve">4. Identity-congruent voice: </w:t>
      </w:r>
      <w:r>
        <w:rPr>
          <w:rFonts w:ascii="Calibri" w:cs="Calibri" w:eastAsia="Calibri" w:hAnsi="Calibri"/>
          <w:sz w:val="22"/>
          <w:szCs w:val="22"/>
        </w:rPr>
        <w:t xml:space="preserve">11 estilos de reviewer (connoisseur, food_expert, value_auditor, storyteller, etc.) con vocabulario y detalle-focus distintos.</w:t>
      </w:r>
    </w:p>
    <w:p>
      <w:pPr>
        <w:pStyle w:val="ListParagraph"/>
        <w:numPr>
          <w:ilvl w:val="0"/>
          <w:numId w:val="2"/>
        </w:numPr>
        <w:spacing w:after="40" w:before="40"/>
      </w:pPr>
      <w:r>
        <w:rPr>
          <w:rFonts w:ascii="Calibri" w:cs="Calibri" w:eastAsia="Calibri" w:hAnsi="Calibri"/>
          <w:b/>
          <w:bCs/>
          <w:sz w:val="22"/>
          <w:szCs w:val="22"/>
        </w:rPr>
        <w:t xml:space="preserve">5. Cultural review voice: </w:t>
      </w:r>
      <w:r>
        <w:rPr>
          <w:rFonts w:ascii="Calibri" w:cs="Calibri" w:eastAsia="Calibri" w:hAnsi="Calibri"/>
          <w:sz w:val="22"/>
          <w:szCs w:val="22"/>
        </w:rPr>
        <w:t xml:space="preserve">10 clusters con directness, irony_use, superlative_use diferenciados.</w:t>
      </w:r>
    </w:p>
    <w:p>
      <w:pPr>
        <w:pStyle w:val="ListParagraph"/>
        <w:numPr>
          <w:ilvl w:val="0"/>
          <w:numId w:val="2"/>
        </w:numPr>
        <w:spacing w:after="40" w:before="40"/>
      </w:pPr>
      <w:r>
        <w:rPr>
          <w:rFonts w:ascii="Calibri" w:cs="Calibri" w:eastAsia="Calibri" w:hAnsi="Calibri"/>
          <w:b/>
          <w:bCs/>
          <w:sz w:val="22"/>
          <w:szCs w:val="22"/>
        </w:rPr>
        <w:t xml:space="preserve">6. Loss aversion asimétrica: </w:t>
      </w:r>
      <w:r>
        <w:rPr>
          <w:rFonts w:ascii="Calibri" w:cs="Calibri" w:eastAsia="Calibri" w:hAnsi="Calibri"/>
          <w:sz w:val="22"/>
          <w:szCs w:val="22"/>
        </w:rPr>
        <w:t xml:space="preserve">cargos sorpresa pesan 2.2× vs spend voluntario (Kahneman &amp; Tversky 1979).</w:t>
      </w:r>
    </w:p>
    <w:p>
      <w:pPr>
        <w:pStyle w:val="Heading2"/>
        <w:spacing w:after="120" w:before="220"/>
      </w:pPr>
      <w:r>
        <w:rPr>
          <w:rFonts w:ascii="Calibri" w:cs="Calibri" w:eastAsia="Calibri" w:hAnsi="Calibri"/>
          <w:b/>
          <w:bCs/>
          <w:color w:val="2E74B5"/>
          <w:sz w:val="26"/>
          <w:szCs w:val="26"/>
        </w:rPr>
        <w:t xml:space="preserve">6.3 Calibración</w:t>
      </w:r>
    </w:p>
    <w:p>
      <w:pPr>
        <w:spacing w:after="80" w:before="80"/>
        <w:jc w:val="left"/>
      </w:pPr>
      <w:r>
        <w:rPr>
          <w:rFonts w:ascii="Calibri" w:cs="Calibri" w:eastAsia="Calibri" w:hAnsi="Calibri"/>
          <w:sz w:val="22"/>
          <w:szCs w:val="22"/>
        </w:rPr>
        <w:t xml:space="preserve">Calibrado contra corpus real: 572 reviews (TripAdvisor 305, Booking 267, Expedia + 3 profesionales). Las sub-scores ancla son: location 4.9, rooms 4.9, sleep 4.9, cleanliness 4.9, service 4.7, value 4.5. El modelo reproduce todas con error &lt; 5%.</w:t>
      </w:r>
    </w:p>
    <w:p>
      <w:pPr>
        <w:pStyle w:val="Heading2"/>
        <w:spacing w:after="120" w:before="220"/>
      </w:pPr>
      <w:r>
        <w:rPr>
          <w:rFonts w:ascii="Calibri" w:cs="Calibri" w:eastAsia="Calibri" w:hAnsi="Calibri"/>
          <w:b/>
          <w:bCs/>
          <w:color w:val="2E74B5"/>
          <w:sz w:val="26"/>
          <w:szCs w:val="26"/>
        </w:rPr>
        <w:t xml:space="preserve">6.4 Contacto</w:t>
      </w:r>
    </w:p>
    <w:p>
      <w:pPr>
        <w:spacing w:after="80" w:before="80"/>
        <w:jc w:val="left"/>
      </w:pPr>
      <w:r>
        <w:rPr>
          <w:rFonts w:ascii="Calibri" w:cs="Calibri" w:eastAsia="Calibri" w:hAnsi="Calibri"/>
          <w:sz w:val="22"/>
          <w:szCs w:val="22"/>
        </w:rPr>
        <w:t xml:space="preserve">Rafa Ferrer — Synthetic Users · rafaferrer43@gmail.com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7F7F"/>
        <w:sz w:val="18"/>
        <w:szCs w:val="18"/>
      </w:rPr>
      <w:t xml:space="preserve">Synthetic Users — Gran Meliá Villa Le Blanc — Reporte de Simulación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Simulación — Villa Le Blanc n=1000</dc:title>
  <dc:creator>Synthetic Users</dc:creator>
  <dc:description>Análisis de cohorte sintético n=1000 validada contra 572 reviews reales</dc:description>
  <cp:lastModifiedBy>Un-named</cp:lastModifiedBy>
  <cp:revision>1</cp:revision>
  <dcterms:created xsi:type="dcterms:W3CDTF">2026-04-19T11:12:02.626Z</dcterms:created>
  <dcterms:modified xsi:type="dcterms:W3CDTF">2026-04-19T11:12:02.627Z</dcterms:modified>
</cp:coreProperties>
</file>

<file path=docProps/custom.xml><?xml version="1.0" encoding="utf-8"?>
<Properties xmlns="http://schemas.openxmlformats.org/officeDocument/2006/custom-properties" xmlns:vt="http://schemas.openxmlformats.org/officeDocument/2006/docPropsVTypes"/>
</file>