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B8935A"/>
          <w:spacing w:val="60"/>
          <w:sz w:val="16"/>
          <w:szCs w:val="16"/>
        </w:rPr>
        <w:t xml:space="preserve">SYNTHETIC USERS × MELIÁ HOTELS INTERNATIONAL</w:t>
      </w:r>
    </w:p>
    <w:p>
      <w:pPr>
        <w:spacing w:after="60" w:before="0"/>
      </w:pPr>
      <w:r>
        <w:rPr>
          <w:b/>
          <w:bCs/>
          <w:color w:val="8B1538"/>
          <w:sz w:val="36"/>
          <w:szCs w:val="36"/>
        </w:rPr>
        <w:t xml:space="preserve">Revenue decisions, predicted</w:t>
      </w:r>
    </w:p>
    <w:p>
      <w:pPr>
        <w:spacing w:after="200" w:before="0"/>
      </w:pPr>
      <w:r>
        <w:rPr>
          <w:b/>
          <w:bCs/>
          <w:i/>
          <w:iCs/>
          <w:color w:val="B8935A"/>
          <w:sz w:val="36"/>
          <w:szCs w:val="36"/>
        </w:rPr>
        <w:t xml:space="preserve">before you deploy them.</w:t>
      </w:r>
    </w:p>
    <w:p>
      <w:pPr>
        <w:spacing w:after="40" w:before="40" w:line="260"/>
        <w:jc w:val="left"/>
      </w:pPr>
      <w:r>
        <w:rPr>
          <w:b/>
          <w:bCs/>
          <w:color w:val="2C3E50"/>
          <w:sz w:val="22"/>
          <w:szCs w:val="22"/>
        </w:rPr>
        <w:t xml:space="preserve">Synthetic Users </w:t>
      </w:r>
      <w:r>
        <w:rPr>
          <w:color w:val="1A1A1A"/>
          <w:sz w:val="20"/>
          <w:szCs w:val="20"/>
        </w:rPr>
        <w:t xml:space="preserve">simulates hundreds of calibrated guests through the full journey — arrival, room, F&amp;B, checkout, review — so CROs can predict segment-level revenue outcomes in days, not quarters.</w:t>
      </w:r>
    </w:p>
    <w:p>
      <w:pPr>
        <w:spacing w:after="120" w:before="240"/>
      </w:pPr>
      <w:r>
        <w:rPr>
          <w:b/>
          <w:bCs/>
          <w:color w:val="8B1538"/>
          <w:spacing w:val="40"/>
          <w:sz w:val="16"/>
          <w:szCs w:val="16"/>
        </w:rPr>
        <w:t xml:space="preserve">PROOF — VALIDATED AGAINST REAL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shd w:fill="F5F1E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  <w:color w:val="8B1538"/>
                <w:sz w:val="36"/>
                <w:szCs w:val="36"/>
              </w:rPr>
              <w:t xml:space="preserve">91.4%</w:t>
            </w:r>
          </w:p>
          <w:p>
            <w:pPr>
              <w:spacing w:after="0" w:before="0"/>
              <w:jc w:val="center"/>
            </w:pPr>
            <w:r>
              <w:rPr>
                <w:color w:val="6B6B6B"/>
                <w:sz w:val="14"/>
                <w:szCs w:val="14"/>
              </w:rPr>
              <w:t xml:space="preserve">Theme F1 accuracy</w:t>
            </w:r>
          </w:p>
        </w:tc>
        <w:tc>
          <w:tcPr>
            <w:tcW w:type="dxa" w:w="234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shd w:fill="F5F1E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  <w:color w:val="B8935A"/>
                <w:sz w:val="36"/>
                <w:szCs w:val="36"/>
              </w:rPr>
              <w:t xml:space="preserve">100%</w:t>
            </w:r>
          </w:p>
          <w:p>
            <w:pPr>
              <w:spacing w:after="0" w:before="0"/>
              <w:jc w:val="center"/>
            </w:pPr>
            <w:r>
              <w:rPr>
                <w:color w:val="6B6B6B"/>
                <w:sz w:val="14"/>
                <w:szCs w:val="14"/>
              </w:rPr>
              <w:t xml:space="preserve">Theme recall</w:t>
            </w:r>
          </w:p>
        </w:tc>
        <w:tc>
          <w:tcPr>
            <w:tcW w:type="dxa" w:w="234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shd w:fill="F5F1E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  <w:color w:val="2C3E50"/>
                <w:sz w:val="36"/>
                <w:szCs w:val="36"/>
              </w:rPr>
              <w:t xml:space="preserve">572</w:t>
            </w:r>
          </w:p>
          <w:p>
            <w:pPr>
              <w:spacing w:after="0" w:before="0"/>
              <w:jc w:val="center"/>
            </w:pPr>
            <w:r>
              <w:rPr>
                <w:color w:val="6B6B6B"/>
                <w:sz w:val="14"/>
                <w:szCs w:val="14"/>
              </w:rPr>
              <w:t xml:space="preserve">Real reviews backtest corpus</w:t>
            </w:r>
          </w:p>
        </w:tc>
        <w:tc>
          <w:tcPr>
            <w:tcW w:type="dxa" w:w="234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shd w:fill="F5F1E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  <w:color w:val="8B1538"/>
                <w:sz w:val="36"/>
                <w:szCs w:val="36"/>
              </w:rPr>
              <w:t xml:space="preserve">14d</w:t>
            </w:r>
          </w:p>
          <w:p>
            <w:pPr>
              <w:spacing w:after="0" w:before="0"/>
              <w:jc w:val="center"/>
            </w:pPr>
            <w:r>
              <w:rPr>
                <w:color w:val="6B6B6B"/>
                <w:sz w:val="14"/>
                <w:szCs w:val="14"/>
              </w:rPr>
              <w:t xml:space="preserve">Delivery time, one property</w:t>
            </w:r>
          </w:p>
        </w:tc>
      </w:tr>
    </w:tbl>
    <w:p>
      <w:pPr>
        <w:spacing w:after="40" w:before="40" w:line="260"/>
        <w:jc w:val="left"/>
      </w:pPr>
      <w:r>
        <w:rPr>
          <w:i/>
          <w:iCs/>
          <w:color w:val="6B6B6B"/>
          <w:sz w:val="14"/>
          <w:szCs w:val="14"/>
        </w:rPr>
        <w:t xml:space="preserve">Backtest: Villa Le Blanc simulation output measured against 572 public reviews (TripAdvisor 305 + Booking 267) + 3 professional reviews. </w:t>
      </w:r>
      <w:r>
        <w:rPr>
          <w:i/>
          <w:iCs/>
          <w:color w:val="6B6B6B"/>
          <w:sz w:val="14"/>
          <w:szCs w:val="14"/>
        </w:rPr>
        <w:t xml:space="preserve">Reproducible via </w:t>
      </w:r>
      <w:r>
        <w:rPr>
          <w:rFonts w:ascii="Consolas" w:cs="Consolas" w:eastAsia="Consolas" w:hAnsi="Consolas"/>
          <w:i/>
          <w:iCs/>
          <w:color w:val="8B1538"/>
          <w:sz w:val="14"/>
          <w:szCs w:val="14"/>
        </w:rPr>
        <w:t xml:space="preserve">node scripts/backtest_villa_le_blanc.js</w:t>
      </w:r>
      <w:r>
        <w:rPr>
          <w:i/>
          <w:iCs/>
          <w:color w:val="6B6B6B"/>
          <w:sz w:val="14"/>
          <w:szCs w:val="14"/>
        </w:rPr>
        <w:t xml:space="preserve">.</w:t>
      </w:r>
    </w:p>
    <w:p>
      <w:pPr>
        <w:spacing w:after="120" w:before="280"/>
      </w:pPr>
      <w:r>
        <w:rPr>
          <w:b/>
          <w:bCs/>
          <w:color w:val="8B1538"/>
          <w:spacing w:val="40"/>
          <w:sz w:val="16"/>
          <w:szCs w:val="16"/>
        </w:rPr>
        <w:t xml:space="preserve">WHAT WE DELIVER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shd w:fill="8B153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B8935A"/>
                <w:spacing w:val="30"/>
                <w:sz w:val="14"/>
                <w:szCs w:val="14"/>
              </w:rPr>
              <w:t xml:space="preserve">1 · REVENUE UPLIFT</w:t>
            </w:r>
          </w:p>
          <w:p>
            <w:pPr>
              <w:spacing w:after="8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Quantified</w:t>
            </w:r>
          </w:p>
          <w:p>
            <w:r>
              <w:rPr>
                <w:color w:val="E5DFD3"/>
                <w:sz w:val="16"/>
                <w:szCs w:val="16"/>
              </w:rPr>
              <w:t xml:space="preserve">Predict RevPAR and ancillary lift from rate, loyalty, and ops decisions, segment by segment, before capex.</w:t>
            </w:r>
          </w:p>
        </w:tc>
        <w:tc>
          <w:tcPr>
            <w:tcW w:type="dxa" w:w="312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shd w:fill="2C3E5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B8935A"/>
                <w:spacing w:val="30"/>
                <w:sz w:val="14"/>
                <w:szCs w:val="14"/>
              </w:rPr>
              <w:t xml:space="preserve">2 · SEGMENT INSIGHT</w:t>
            </w:r>
          </w:p>
          <w:p>
            <w:pPr>
              <w:spacing w:after="8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Decomposed</w:t>
            </w:r>
          </w:p>
          <w:p>
            <w:r>
              <w:rPr>
                <w:color w:val="E5DFD3"/>
                <w:sz w:val="16"/>
                <w:szCs w:val="16"/>
              </w:rPr>
              <w:t xml:space="preserve">Where is NPS leaking. Which segment. Which friction. How much it costs. Fixability map included.</w:t>
            </w:r>
          </w:p>
        </w:tc>
        <w:tc>
          <w:tcPr>
            <w:tcW w:type="dxa" w:w="312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shd w:fill="B8935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8B1538"/>
                <w:spacing w:val="30"/>
                <w:sz w:val="14"/>
                <w:szCs w:val="14"/>
              </w:rPr>
              <w:t xml:space="preserve">3 · SPEED</w:t>
            </w:r>
          </w:p>
          <w:p>
            <w:pPr>
              <w:spacing w:after="8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14 days</w:t>
            </w:r>
          </w:p>
          <w:p>
            <w:r>
              <w:rPr>
                <w:color w:val="FFFFFF"/>
                <w:sz w:val="16"/>
                <w:szCs w:val="16"/>
              </w:rPr>
              <w:t xml:space="preserve">Brief Monday, insight in 2 weeks. Re-run counterfactuals in 48 h. No quarterly panel cycles.</w:t>
            </w:r>
          </w:p>
        </w:tc>
      </w:tr>
    </w:tbl>
    <w:p>
      <w:pPr>
        <w:spacing w:after="120" w:before="280"/>
      </w:pPr>
      <w:r>
        <w:rPr>
          <w:b/>
          <w:bCs/>
          <w:color w:val="8B1538"/>
          <w:spacing w:val="40"/>
          <w:sz w:val="16"/>
          <w:szCs w:val="16"/>
        </w:rPr>
        <w:t xml:space="preserve">CASE STUDY · VILLA LE BLANC GRAN MELIÁ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8B1538"/>
                <w:sz w:val="20"/>
                <w:szCs w:val="20"/>
              </w:rPr>
              <w:t xml:space="preserve">€934 avg spend</w:t>
            </w:r>
          </w:p>
        </w:tc>
        <w:tc>
          <w:tcPr>
            <w:tcW w:type="dxa" w:w="726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A"/>
                <w:sz w:val="16"/>
                <w:szCs w:val="16"/>
              </w:rPr>
              <w:t xml:space="preserve">Honeymooner segment — highest spender — but NPS −13. Personalization fix unlocks 40%+ retention uplift.</w:t>
            </w:r>
          </w:p>
        </w:tc>
      </w:tr>
      <w:tr>
        <w:tc>
          <w:tcPr>
            <w:tcW w:type="dxa" w:w="210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8B1538"/>
                <w:sz w:val="20"/>
                <w:szCs w:val="20"/>
              </w:rPr>
              <w:t xml:space="preserve">€48 avg spend</w:t>
            </w:r>
          </w:p>
        </w:tc>
        <w:tc>
          <w:tcPr>
            <w:tcW w:type="dxa" w:w="726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A"/>
                <w:sz w:val="16"/>
                <w:szCs w:val="16"/>
              </w:rPr>
              <w:t xml:space="preserve">Business Traveler — underserved. Executive Dinner pre-reserve protocol: +€200-400 ancillary per stay.</w:t>
            </w:r>
          </w:p>
        </w:tc>
      </w:tr>
      <w:tr>
        <w:tc>
          <w:tcPr>
            <w:tcW w:type="dxa" w:w="210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8B1538"/>
                <w:sz w:val="20"/>
                <w:szCs w:val="20"/>
              </w:rPr>
              <w:t xml:space="preserve">NPS −66</w:t>
            </w:r>
          </w:p>
        </w:tc>
        <w:tc>
          <w:tcPr>
            <w:tcW w:type="dxa" w:w="726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A"/>
                <w:sz w:val="16"/>
                <w:szCs w:val="16"/>
              </w:rPr>
              <w:t xml:space="preserve">Digital Nomad — worst segment. Wifi SLA contract unlocks 14-night+ length of stay. Low capex, compound revenue.</w:t>
            </w:r>
          </w:p>
        </w:tc>
      </w:tr>
      <w:tr>
        <w:tc>
          <w:tcPr>
            <w:tcW w:type="dxa" w:w="210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8B1538"/>
                <w:sz w:val="20"/>
                <w:szCs w:val="20"/>
              </w:rPr>
              <w:t xml:space="preserve">36 incidents</w:t>
            </w:r>
          </w:p>
        </w:tc>
        <w:tc>
          <w:tcPr>
            <w:tcW w:type="dxa" w:w="726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A1A"/>
                <w:sz w:val="16"/>
                <w:szCs w:val="16"/>
              </w:rPr>
              <w:t xml:space="preserve">Operational risks simulated across 50 stays. Full friction cluster ranking with recommended mitigations.</w:t>
            </w:r>
          </w:p>
        </w:tc>
      </w:tr>
    </w:tbl>
    <w:p>
      <w:pPr>
        <w:spacing w:after="40" w:before="40" w:line="260"/>
        <w:jc w:val="left"/>
      </w:pPr>
      <w:r>
        <w:rPr>
          <w:i/>
          <w:iCs/>
          <w:color w:val="6B6B6B"/>
          <w:sz w:val="14"/>
          <w:szCs w:val="14"/>
        </w:rPr>
        <w:t xml:space="preserve">Estimated annual uplift from addressing these 3 segments alone: </w:t>
      </w:r>
      <w:r>
        <w:rPr>
          <w:b/>
          <w:bCs/>
          <w:i/>
          <w:iCs/>
          <w:color w:val="8B1538"/>
          <w:sz w:val="14"/>
          <w:szCs w:val="14"/>
        </w:rPr>
        <w:t xml:space="preserve">€1.8-2.4M RevPAR.</w:t>
      </w:r>
    </w:p>
    <w:p>
      <w:pPr>
        <w:spacing w:after="120" w:before="280"/>
      </w:pPr>
      <w:r>
        <w:rPr>
          <w:b/>
          <w:bCs/>
          <w:color w:val="8B1538"/>
          <w:spacing w:val="40"/>
          <w:sz w:val="16"/>
          <w:szCs w:val="16"/>
        </w:rPr>
        <w:t xml:space="preserve">HOW TO ENGAGE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935A" w:sz="24"/>
              <w:left w:val="single" w:color="B8935A" w:sz="8"/>
              <w:bottom w:val="single" w:color="B8935A" w:sz="8"/>
              <w:right w:val="single" w:color="B8935A" w:sz="8"/>
            </w:tcBorders>
            <w:shd w:fill="8B153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/>
                <w:bCs/>
                <w:color w:val="B8935A"/>
                <w:spacing w:val="40"/>
                <w:sz w:val="12"/>
                <w:szCs w:val="12"/>
              </w:rPr>
              <w:t xml:space="preserve">★ START HERE</w:t>
            </w:r>
          </w:p>
          <w:p>
            <w:pPr>
              <w:spacing w:after="40" w:before="4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AUDIT</w:t>
            </w:r>
          </w:p>
          <w:p>
            <w:pPr>
              <w:spacing w:after="60" w:before="0"/>
            </w:pPr>
            <w:r>
              <w:rPr>
                <w:b/>
                <w:bCs/>
                <w:color w:val="B8935A"/>
                <w:sz w:val="16"/>
                <w:szCs w:val="16"/>
              </w:rPr>
              <w:t xml:space="preserve">€18,000 · 2 weeks</w:t>
            </w:r>
          </w:p>
          <w:p>
            <w:r>
              <w:rPr>
                <w:color w:val="E5DFD3"/>
                <w:sz w:val="14"/>
                <w:szCs w:val="14"/>
              </w:rPr>
              <w:t xml:space="preserve">One property. One modality. Revenue opportunity matrix + Model Accuracy Report.</w:t>
            </w:r>
          </w:p>
        </w:tc>
        <w:tc>
          <w:tcPr>
            <w:tcW w:type="dxa" w:w="312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/>
                <w:bCs/>
                <w:color w:val="B8935A"/>
                <w:spacing w:val="40"/>
                <w:sz w:val="12"/>
                <w:szCs w:val="12"/>
              </w:rPr>
              <w:t xml:space="preserve">PARTNERSHIP</w:t>
            </w:r>
          </w:p>
          <w:p>
            <w:pPr>
              <w:spacing w:after="40" w:before="4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PILOT</w:t>
            </w:r>
          </w:p>
          <w:p>
            <w:pPr>
              <w:spacing w:after="60" w:before="0"/>
            </w:pPr>
            <w:r>
              <w:rPr>
                <w:b/>
                <w:bCs/>
                <w:color w:val="8B1538"/>
                <w:sz w:val="16"/>
                <w:szCs w:val="16"/>
              </w:rPr>
              <w:t xml:space="preserve">€85,000 · 3 months</w:t>
            </w:r>
          </w:p>
          <w:p>
            <w:r>
              <w:rPr>
                <w:color w:val="6B6B6B"/>
                <w:sz w:val="14"/>
                <w:szCs w:val="14"/>
              </w:rPr>
              <w:t xml:space="preserve">3 properties · 3 modalities · PMS read-only access · Revenue Playbook per property.</w:t>
            </w:r>
          </w:p>
        </w:tc>
        <w:tc>
          <w:tcPr>
            <w:tcW w:type="dxa" w:w="3120"/>
            <w:tcBorders>
              <w:top w:val="single" w:color="E5DFD3" w:sz="1"/>
              <w:left w:val="single" w:color="E5DFD3" w:sz="1"/>
              <w:bottom w:val="single" w:color="E5DFD3" w:sz="1"/>
              <w:right w:val="single" w:color="E5DFD3" w:sz="1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/>
                <w:bCs/>
                <w:color w:val="B8935A"/>
                <w:spacing w:val="40"/>
                <w:sz w:val="12"/>
                <w:szCs w:val="12"/>
              </w:rPr>
              <w:t xml:space="preserve">SCALED DEPLOYMENT</w:t>
            </w:r>
          </w:p>
          <w:p>
            <w:pPr>
              <w:spacing w:after="40" w:before="4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ENTERPRISE</w:t>
            </w:r>
          </w:p>
          <w:p>
            <w:pPr>
              <w:spacing w:after="60" w:before="0"/>
            </w:pPr>
            <w:r>
              <w:rPr>
                <w:b/>
                <w:bCs/>
                <w:color w:val="8B1538"/>
                <w:sz w:val="16"/>
                <w:szCs w:val="16"/>
              </w:rPr>
              <w:t xml:space="preserve">€240K / year</w:t>
            </w:r>
          </w:p>
          <w:p>
            <w:r>
              <w:rPr>
                <w:color w:val="6B6B6B"/>
                <w:sz w:val="14"/>
                <w:szCs w:val="14"/>
              </w:rPr>
              <w:t xml:space="preserve">25+ properties · always-on dashboard · A/B counterfactual engine · quarterly recalibration.</w:t>
            </w:r>
          </w:p>
        </w:tc>
      </w:tr>
    </w:tbl>
    <w:p>
      <w:pPr>
        <w:pBdr>
          <w:top w:val="single" w:color="B8935A" w:sz="32"/>
          <w:bottom w:val="single" w:color="B8935A" w:sz="32"/>
        </w:pBdr>
        <w:spacing w:after="0" w:before="280"/>
      </w:pPr>
      <w:r>
        <w:rPr>
          <w:sz w:val="14"/>
          <w:szCs w:val="14"/>
        </w:rPr>
        <w:t xml:space="preserve"> </w:t>
      </w:r>
    </w:p>
    <w:p>
      <w:pPr>
        <w:spacing w:after="80" w:before="160"/>
      </w:pPr>
      <w:r>
        <w:rPr>
          <w:b/>
          <w:bCs/>
          <w:color w:val="8B1538"/>
          <w:spacing w:val="40"/>
          <w:sz w:val="16"/>
          <w:szCs w:val="16"/>
        </w:rPr>
        <w:t xml:space="preserve">THE ASK</w:t>
      </w:r>
    </w:p>
    <w:p>
      <w:pPr>
        <w:spacing w:after="40" w:before="40" w:line="260"/>
        <w:jc w:val="left"/>
      </w:pPr>
      <w:r>
        <w:rPr>
          <w:b/>
          <w:bCs/>
          <w:color w:val="1A1A1A"/>
          <w:sz w:val="22"/>
          <w:szCs w:val="22"/>
        </w:rPr>
        <w:t xml:space="preserve">€18K · 2 weeks · </w:t>
      </w:r>
      <w:r>
        <w:rPr>
          <w:b/>
          <w:bCs/>
          <w:color w:val="8B1538"/>
          <w:sz w:val="22"/>
          <w:szCs w:val="22"/>
        </w:rPr>
        <w:t xml:space="preserve">pick a property today — we start Monday.</w:t>
      </w:r>
    </w:p>
    <w:p>
      <w:pPr>
        <w:spacing w:after="60" w:before="120"/>
      </w:pPr>
      <w:r>
        <w:rPr>
          <w:b/>
          <w:bCs/>
          <w:color w:val="8B1538"/>
          <w:spacing w:val="30"/>
          <w:sz w:val="14"/>
          <w:szCs w:val="14"/>
        </w:rPr>
        <w:t xml:space="preserve">WHAT WE NEED FROM YOU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t xml:space="preserve">1 property to simulate first (Villa Le Blanc or your pick)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t xml:space="preserve">1 key business question (revenue / satisfaction / pricing / loyalty)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t xml:space="preserve">DPA signature for data access — we have a template ready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t xml:space="preserve">Executive sponsor (CRO or Director of Experience)</w:t>
      </w:r>
    </w:p>
    <w:p>
      <w:pPr>
        <w:pBdr>
          <w:top w:val="single" w:color="8B1538" w:sz="12"/>
        </w:pBdr>
        <w:spacing w:after="0" w:before="280"/>
      </w:pPr>
      <w:r>
        <w:rPr>
          <w:sz w:val="10"/>
          <w:szCs w:val="10"/>
        </w:rPr>
        <w:t xml:space="preserve"> </w:t>
      </w:r>
    </w:p>
    <w:p>
      <w:pPr>
        <w:spacing w:after="0" w:before="100"/>
      </w:pPr>
      <w:r>
        <w:rPr>
          <w:color w:val="6B6B6B"/>
          <w:sz w:val="12"/>
          <w:szCs w:val="12"/>
        </w:rPr>
        <w:t xml:space="preserve">Rafa Ferrer · Synthetic Users · </w:t>
      </w:r>
      <w:r>
        <w:rPr>
          <w:b/>
          <w:bCs/>
          <w:color w:val="8B1538"/>
          <w:sz w:val="12"/>
          <w:szCs w:val="12"/>
        </w:rPr>
        <w:t xml:space="preserve">rafa@syntheticusers.com</w:t>
      </w:r>
      <w:r>
        <w:rPr>
          <w:color w:val="6B6B6B"/>
          <w:sz w:val="12"/>
          <w:szCs w:val="12"/>
        </w:rPr>
        <w:t xml:space="preserve">  ·  Abril 2026  ·  Confidential</w:t>
      </w:r>
    </w:p>
    <w:sectPr>
      <w:pgSz w:w="11906" w:h="16838" w:orient="portrait"/>
      <w:pgMar w:top="10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360" w:hanging="220"/>
      </w:pPr>
      <w:rPr>
        <w:b/>
        <w:bCs/>
        <w:color w:val="8B153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Users × Meliá — One-Pager</dc:title>
  <dc:creator>Synthetic Users</dc:creator>
  <dc:description>Commercial leave-behind</dc:description>
  <cp:lastModifiedBy>Un-named</cp:lastModifiedBy>
  <cp:revision>1</cp:revision>
  <dcterms:created xsi:type="dcterms:W3CDTF">2026-04-18T11:00:26.256Z</dcterms:created>
  <dcterms:modified xsi:type="dcterms:W3CDTF">2026-04-18T11:00:26.257Z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