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28" w:type="dxa"/>
        <w:jc w:val="start"/>
        <w:tblInd w:w="-318" w:type="dxa"/>
        <w:tblLayout w:type="fixed"/>
        <w:tblCellMar>
          <w:top w:w="0" w:type="dxa"/>
          <w:start w:w="108" w:type="dxa"/>
          <w:bottom w:w="0" w:type="dxa"/>
          <w:end w:w="108" w:type="dxa"/>
        </w:tblCellMar>
      </w:tblPr>
      <w:tblGrid>
        <w:gridCol w:w="3823"/>
        <w:gridCol w:w="5805"/>
      </w:tblGrid>
      <w:tr>
        <w:trPr>
          <w:trHeight w:val="1314" w:hRule="atLeast"/>
        </w:trPr>
        <w:tc>
          <w:tcPr>
            <w:tcW w:w="3823" w:type="dxa"/>
            <w:tcBorders/>
          </w:tcPr>
          <w:p>
            <w:pPr>
              <w:pStyle w:val="Normal"/>
              <w:spacing w:lineRule="auto" w:line="276"/>
              <w:jc w:val="center"/>
              <w:rPr>
                <w:sz w:val="26"/>
                <w:szCs w:val="26"/>
              </w:rPr>
            </w:pPr>
            <w:r>
              <w:rPr>
                <w:sz w:val="26"/>
                <w:szCs w:val="26"/>
              </w:rPr>
              <w:t>SỞ Y TẾ PHÚ THỌ</w:t>
            </w:r>
          </w:p>
          <w:p>
            <w:pPr>
              <w:pStyle w:val="Normal"/>
              <w:spacing w:lineRule="auto" w:line="276"/>
              <w:jc w:val="center"/>
              <w:rPr>
                <w:b/>
                <w:sz w:val="26"/>
                <w:szCs w:val="26"/>
              </w:rPr>
            </w:pPr>
            <w:r>
              <w:rPr>
                <w:b/>
                <w:sz w:val="26"/>
                <w:szCs w:val="26"/>
              </w:rPr>
              <w:t>BỆNH VIỆN ĐA KHOA TỈNH</w:t>
            </w:r>
          </w:p>
          <w:p>
            <w:pPr>
              <w:pStyle w:val="Normal"/>
              <w:spacing w:lineRule="auto" w:line="312" w:before="120" w:after="0"/>
              <w:jc w:val="center"/>
              <w:rPr>
                <w:sz w:val="26"/>
                <w:szCs w:val="26"/>
              </w:rPr>
            </w:pPr>
            <w:r>
              <mc:AlternateContent>
                <mc:Choice Requires="wps">
                  <w:drawing>
                    <wp:anchor distT="0" distB="0" distL="114935" distR="114935" simplePos="0" relativeHeight="2" behindDoc="0" locked="0" layoutInCell="1" allowOverlap="1">
                      <wp:simplePos x="0" y="0"/>
                      <wp:positionH relativeFrom="column">
                        <wp:posOffset>511810</wp:posOffset>
                      </wp:positionH>
                      <wp:positionV relativeFrom="paragraph">
                        <wp:posOffset>14605</wp:posOffset>
                      </wp:positionV>
                      <wp:extent cx="1283970" cy="1270"/>
                      <wp:effectExtent l="635" t="5080" r="635" b="5080"/>
                      <wp:wrapNone/>
                      <wp:docPr id="1" name=""/>
                      <a:graphic xmlns:a="http://schemas.openxmlformats.org/drawingml/2006/main">
                        <a:graphicData uri="http://schemas.microsoft.com/office/word/2010/wordprocessingShape">
                          <wps:wsp>
                            <wps:cNvCnPr/>
                            <wps:spPr>
                              <a:xfrm>
                                <a:off x="0" y="0"/>
                                <a:ext cx="12841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0.3pt;margin-top:1.15pt;width:101.05pt;height:0.05pt" type="_x0000_t32">
                      <v:stroke color="black" weight="9360" joinstyle="miter" endcap="flat"/>
                      <v:fill o:detectmouseclick="t" on="false"/>
                      <w10:wrap type="none"/>
                    </v:shape>
                  </w:pict>
                </mc:Fallback>
              </mc:AlternateContent>
            </w:r>
            <w:r>
              <w:rPr>
                <w:sz w:val="26"/>
                <w:szCs w:val="26"/>
              </w:rPr>
              <w:t xml:space="preserve">Số: </w:t>
            </w:r>
            <w:r>
              <w:rPr>
                <w:sz w:val="26"/>
                <w:szCs w:val="26"/>
                <w:lang w:val="vi-VN"/>
              </w:rPr>
              <w:t xml:space="preserve">      </w:t>
            </w:r>
            <w:r>
              <w:rPr>
                <w:sz w:val="26"/>
                <w:szCs w:val="26"/>
              </w:rPr>
              <w:t>/QĐ-BV</w:t>
            </w:r>
          </w:p>
        </w:tc>
        <w:tc>
          <w:tcPr>
            <w:tcW w:w="5805" w:type="dxa"/>
            <w:tcBorders/>
          </w:tcPr>
          <w:p>
            <w:pPr>
              <w:pStyle w:val="Normal"/>
              <w:spacing w:lineRule="auto" w:line="276"/>
              <w:jc w:val="center"/>
              <w:rPr>
                <w:b/>
                <w:sz w:val="26"/>
                <w:szCs w:val="26"/>
                <w:lang w:val="fr-FR"/>
              </w:rPr>
            </w:pPr>
            <w:r>
              <w:rPr>
                <w:b/>
                <w:sz w:val="26"/>
                <w:szCs w:val="26"/>
                <w:lang w:val="fr-FR"/>
              </w:rPr>
              <w:t>CỘNG HOÀ XÃ HỘI CHỦ NGHĨA VIỆT NAM</w:t>
            </w:r>
          </w:p>
          <w:p>
            <w:pPr>
              <w:pStyle w:val="Normal"/>
              <w:spacing w:lineRule="auto" w:line="276"/>
              <w:jc w:val="center"/>
              <w:rPr>
                <w:b/>
                <w:lang w:val="fr-FR"/>
              </w:rPr>
            </w:pPr>
            <w:r>
              <mc:AlternateContent>
                <mc:Choice Requires="wps">
                  <w:drawing>
                    <wp:anchor distT="0" distB="0" distL="114935" distR="114935" simplePos="0" relativeHeight="3" behindDoc="0" locked="0" layoutInCell="1" allowOverlap="1">
                      <wp:simplePos x="0" y="0"/>
                      <wp:positionH relativeFrom="column">
                        <wp:posOffset>789940</wp:posOffset>
                      </wp:positionH>
                      <wp:positionV relativeFrom="paragraph">
                        <wp:posOffset>233045</wp:posOffset>
                      </wp:positionV>
                      <wp:extent cx="1956435" cy="1270"/>
                      <wp:effectExtent l="635" t="5080" r="635" b="5080"/>
                      <wp:wrapNone/>
                      <wp:docPr id="2" name=""/>
                      <a:graphic xmlns:a="http://schemas.openxmlformats.org/drawingml/2006/main">
                        <a:graphicData uri="http://schemas.microsoft.com/office/word/2010/wordprocessingShape">
                          <wps:wsp>
                            <wps:cNvCnPr/>
                            <wps:spPr>
                              <a:xfrm>
                                <a:off x="0" y="0"/>
                                <a:ext cx="195696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2.2pt;margin-top:18.35pt;width:154.05pt;height:0.1pt" type="_x0000_t32">
                      <v:stroke color="black" weight="9360" joinstyle="miter" endcap="flat"/>
                      <v:fill o:detectmouseclick="t" on="false"/>
                      <w10:wrap type="none"/>
                    </v:shape>
                  </w:pict>
                </mc:Fallback>
              </mc:AlternateContent>
            </w:r>
            <w:r>
              <w:rPr>
                <w:b/>
                <w:bCs/>
                <w:lang w:val="fr-FR"/>
              </w:rPr>
              <w:t>Độc lập - Tự do - Hạnh phúc</w:t>
            </w:r>
          </w:p>
          <w:p>
            <w:pPr>
              <w:pStyle w:val="Normal"/>
              <w:spacing w:lineRule="auto" w:line="312" w:before="120" w:after="0"/>
              <w:jc w:val="center"/>
              <w:rPr>
                <w:lang w:val="fr-FR"/>
              </w:rPr>
            </w:pPr>
            <w:r>
              <w:rPr>
                <w:i/>
                <w:iCs/>
                <w:lang w:val="fr-FR"/>
              </w:rPr>
              <w:t xml:space="preserve">Phú Thọ, </w:t>
            </w:r>
            <w:r>
              <w:rPr>
                <w:i/>
                <w:iCs/>
                <w:lang w:val="vi-VN"/>
              </w:rPr>
              <w:t>ngày 10</w:t>
            </w:r>
            <w:r>
              <w:rPr>
                <w:i/>
                <w:iCs/>
              </w:rPr>
              <w:t xml:space="preserve"> </w:t>
            </w:r>
            <w:r>
              <w:rPr>
                <w:i/>
                <w:iCs/>
                <w:lang w:val="fr-FR"/>
              </w:rPr>
              <w:t xml:space="preserve">tháng </w:t>
            </w:r>
            <w:r>
              <w:rPr>
                <w:i/>
                <w:iCs/>
                <w:lang w:val="vi-VN"/>
              </w:rPr>
              <w:t>02</w:t>
            </w:r>
            <w:r>
              <w:rPr>
                <w:i/>
                <w:iCs/>
                <w:lang w:val="fr-FR"/>
              </w:rPr>
              <w:t xml:space="preserve"> năm 2027</w:t>
            </w:r>
          </w:p>
        </w:tc>
      </w:tr>
    </w:tbl>
    <w:p>
      <w:pPr>
        <w:pStyle w:val="Normal"/>
        <w:spacing w:lineRule="auto" w:line="288" w:before="240" w:after="60"/>
        <w:jc w:val="center"/>
        <w:rPr>
          <w:b/>
          <w:bCs/>
        </w:rPr>
      </w:pPr>
      <w:r>
        <w:rPr>
          <w:b/>
          <w:bCs/>
        </w:rPr>
        <w:t>QUYẾT ĐỊNH</w:t>
      </w:r>
    </w:p>
    <w:p>
      <w:pPr>
        <w:pStyle w:val="Normal"/>
        <w:spacing w:lineRule="auto" w:line="288"/>
        <w:jc w:val="center"/>
        <w:rPr>
          <w:b/>
          <w:bCs/>
        </w:rPr>
      </w:pPr>
      <w:r>
        <mc:AlternateContent>
          <mc:Choice Requires="wps">
            <w:drawing>
              <wp:anchor distT="0" distB="0" distL="114935" distR="114935" simplePos="0" relativeHeight="4" behindDoc="0" locked="0" layoutInCell="1" allowOverlap="1">
                <wp:simplePos x="0" y="0"/>
                <wp:positionH relativeFrom="column">
                  <wp:posOffset>1906270</wp:posOffset>
                </wp:positionH>
                <wp:positionV relativeFrom="paragraph">
                  <wp:posOffset>478155</wp:posOffset>
                </wp:positionV>
                <wp:extent cx="1988185" cy="1270"/>
                <wp:effectExtent l="635" t="5080" r="635" b="5080"/>
                <wp:wrapNone/>
                <wp:docPr id="3" name=""/>
                <a:graphic xmlns:a="http://schemas.openxmlformats.org/drawingml/2006/main">
                  <a:graphicData uri="http://schemas.microsoft.com/office/word/2010/wordprocessingShape">
                    <wps:wsp>
                      <wps:cNvCnPr/>
                      <wps:spPr>
                        <a:xfrm>
                          <a:off x="0" y="0"/>
                          <a:ext cx="198864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0.1pt;margin-top:37.65pt;width:156.55pt;height:0.1pt" type="_x0000_t32">
                <v:stroke color="black" weight="9360" joinstyle="miter" endcap="flat"/>
                <v:fill o:detectmouseclick="t" on="false"/>
                <w10:wrap type="none"/>
              </v:shape>
            </w:pict>
          </mc:Fallback>
        </mc:AlternateContent>
      </w:r>
      <w:r>
        <w:rPr>
          <w:b/>
          <w:bCs/>
        </w:rPr>
        <w:t xml:space="preserve">Phê duyệt chủ </w:t>
      </w:r>
      <w:r>
        <w:rPr>
          <w:b/>
          <w:bCs/>
          <w:lang w:val="vi-VN"/>
        </w:rPr>
        <w:t xml:space="preserve">trương </w:t>
      </w:r>
      <w:r>
        <w:rPr>
          <w:b/>
        </w:rPr>
        <w:t>m</w:t>
      </w:r>
      <w:r>
        <w:rPr>
          <w:b/>
          <w:lang w:val="vi-VN"/>
        </w:rPr>
        <w:t>ua sắm bộ xét nghiệm định lượng virus viêm gan B, C (MOCK)</w:t>
      </w:r>
      <w:r>
        <w:rPr>
          <w:b/>
        </w:rPr>
        <w:t xml:space="preserve"> phục vụ công tác khám chữa bệnh </w:t>
      </w:r>
      <w:r>
        <w:rPr>
          <w:b/>
          <w:bCs/>
        </w:rPr>
        <w:t>tại Bệnh viện đa khoa tỉnh Phú Thọ</w:t>
      </w:r>
    </w:p>
    <w:p>
      <w:pPr>
        <w:pStyle w:val="Normal"/>
        <w:spacing w:lineRule="auto" w:line="288" w:before="240" w:after="120"/>
        <w:jc w:val="center"/>
        <w:rPr>
          <w:b/>
          <w:bCs/>
          <w:lang w:val="nl-NL"/>
        </w:rPr>
      </w:pPr>
      <w:r>
        <w:rPr>
          <w:b/>
          <w:bCs/>
          <w:lang w:val="nl-NL"/>
        </w:rPr>
        <w:t>GIÁM ĐỐC BỆNH VIỆN ĐA KHOA TỈNH PHÚ THỌ</w:t>
      </w:r>
    </w:p>
    <w:p>
      <w:pPr>
        <w:pStyle w:val="Normal"/>
        <w:spacing w:lineRule="auto" w:line="288"/>
        <w:ind w:firstLine="567" w:end="0"/>
        <w:jc w:val="both"/>
        <w:rPr>
          <w:rStyle w:val="Emphasis"/>
        </w:rPr>
      </w:pPr>
      <w:bookmarkStart w:id="0" w:name="_Hlk197503680"/>
      <w:r>
        <w:rPr>
          <w:rStyle w:val="Emphasis"/>
        </w:rPr>
        <w:t>Căn cứ Luật Đấu thầu ngày 23/06/2023, được sửa đổi bổ sung tại Luật số 57/2024/QH15 ngày 29/11/2024; Luật số 90/2025/QH15 ngày 25/6/2025;</w:t>
      </w:r>
    </w:p>
    <w:p>
      <w:pPr>
        <w:pStyle w:val="Normal"/>
        <w:spacing w:lineRule="auto" w:line="288"/>
        <w:ind w:firstLine="567" w:end="0"/>
        <w:jc w:val="both"/>
        <w:rPr>
          <w:rStyle w:val="Emphasis"/>
        </w:rPr>
      </w:pPr>
      <w:r>
        <w:rPr>
          <w:rStyle w:val="Emphasis"/>
        </w:rPr>
        <w:t>Căn cứ Luật Khám bệnh, chữa bệnh ngày 09/01/2023;</w:t>
      </w:r>
    </w:p>
    <w:p>
      <w:pPr>
        <w:pStyle w:val="Normal"/>
        <w:spacing w:lineRule="auto" w:line="288"/>
        <w:ind w:firstLine="567" w:end="0"/>
        <w:jc w:val="both"/>
        <w:rPr>
          <w:rStyle w:val="Emphasis"/>
        </w:rPr>
      </w:pPr>
      <w:r>
        <w:rPr>
          <w:rStyle w:val="Emphasis"/>
        </w:rPr>
        <w:t>Căn cứ Luật Quản lý, sử dụng tài sản công ngày 21/6/2017;</w:t>
      </w:r>
    </w:p>
    <w:p>
      <w:pPr>
        <w:pStyle w:val="Normal"/>
        <w:spacing w:lineRule="auto" w:line="288"/>
        <w:ind w:firstLine="567" w:end="0"/>
        <w:jc w:val="both"/>
        <w:rPr>
          <w:rStyle w:val="Emphasis"/>
        </w:rPr>
      </w:pPr>
      <w:r>
        <w:rPr>
          <w:rStyle w:val="Emphasis"/>
        </w:rPr>
        <w:t>Căn cứ Nghị định số 214/2025/NĐ-CP ngày 04/8/2025 của Chính phủ quy định chi tiết một số điều và biện pháp thi hành Luật Đấu thầu về lựa chọn nhà thầu;</w:t>
      </w:r>
    </w:p>
    <w:p>
      <w:pPr>
        <w:pStyle w:val="Normal"/>
        <w:spacing w:lineRule="auto" w:line="288"/>
        <w:ind w:firstLine="567" w:end="0"/>
        <w:jc w:val="both"/>
        <w:rPr>
          <w:rStyle w:val="Emphasis"/>
        </w:rPr>
      </w:pPr>
      <w:r>
        <w:rPr>
          <w:rStyle w:val="Emphasis"/>
        </w:rPr>
        <w:t xml:space="preserve"> </w:t>
      </w:r>
      <w:r>
        <w:rPr>
          <w:rStyle w:val="Emphasis"/>
        </w:rPr>
        <w:t>Căn cứ Nghị định số 96/2023/NĐ-CP ngày 30/12/2023 của Chính phủ quy định chi tiết một số điều của Luật khám bệnh, chữa bệnh;</w:t>
      </w:r>
    </w:p>
    <w:p>
      <w:pPr>
        <w:pStyle w:val="Normal"/>
        <w:spacing w:lineRule="auto" w:line="288"/>
        <w:ind w:firstLine="567" w:end="0"/>
        <w:jc w:val="both"/>
        <w:rPr>
          <w:rStyle w:val="Emphasis"/>
        </w:rPr>
      </w:pPr>
      <w:r>
        <w:rPr>
          <w:rStyle w:val="Emphasis"/>
        </w:rPr>
        <w:t xml:space="preserve">Căn cứ Nghị định số 186/2025/NĐ-CP ngày 01/7/2025 của Chính phủ quy định chi tiết một số điều của Luật Quản lý, sử dụng tài sản công; </w:t>
      </w:r>
    </w:p>
    <w:p>
      <w:pPr>
        <w:pStyle w:val="Normal"/>
        <w:spacing w:lineRule="auto" w:line="288"/>
        <w:ind w:firstLine="567" w:end="0"/>
        <w:jc w:val="both"/>
        <w:rPr>
          <w:rStyle w:val="Emphasis"/>
        </w:rPr>
      </w:pPr>
      <w:r>
        <w:rPr>
          <w:rStyle w:val="Emphasis"/>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Pr>
          <w:rStyle w:val="Emphasis"/>
          <w:rFonts w:eastAsia="Calibri"/>
        </w:rPr>
        <w:t>;</w:t>
      </w:r>
    </w:p>
    <w:p>
      <w:pPr>
        <w:pStyle w:val="Normal"/>
        <w:spacing w:lineRule="auto" w:line="288"/>
        <w:ind w:firstLine="567" w:end="0"/>
        <w:jc w:val="both"/>
        <w:rPr>
          <w:rStyle w:val="Emphasis"/>
        </w:rPr>
      </w:pPr>
      <w:r>
        <w:rPr>
          <w:rStyle w:val="Emphasis"/>
          <w:rFonts w:eastAsia="Calibri"/>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88"/>
        <w:ind w:firstLine="567" w:end="0"/>
        <w:jc w:val="both"/>
        <w:rPr>
          <w:rStyle w:val="Emphasis"/>
        </w:rPr>
      </w:pPr>
      <w:r>
        <w:rPr>
          <w:rStyle w:val="Emphasis"/>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88"/>
        <w:ind w:firstLine="567" w:end="0"/>
        <w:jc w:val="both"/>
        <w:rPr>
          <w:rStyle w:val="Emphasis"/>
        </w:rPr>
      </w:pPr>
      <w:r>
        <w:rPr>
          <w:rStyle w:val="Emphasis"/>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88"/>
        <w:ind w:firstLine="567" w:end="0"/>
        <w:jc w:val="both"/>
        <w:rPr>
          <w:rStyle w:val="Emphasis"/>
        </w:rPr>
      </w:pPr>
      <w:r>
        <w:rPr>
          <w:rStyle w:val="Emphasis"/>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312"/>
        <w:ind w:firstLine="567" w:end="0"/>
        <w:jc w:val="both"/>
        <w:rPr>
          <w:i/>
          <w:iCs/>
        </w:rPr>
      </w:pPr>
      <w:r>
        <w:rPr>
          <w:i/>
          <w:iCs/>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312"/>
        <w:ind w:firstLine="567" w:end="0"/>
        <w:jc w:val="both"/>
        <w:rPr>
          <w:i/>
          <w:iCs/>
        </w:rPr>
      </w:pPr>
      <w:r>
        <w:rPr>
          <w:i/>
          <w:iCs/>
        </w:rPr>
        <w:t xml:space="preserve">Quyết định số 47/2025/QĐ-CTUBND ngày 25/9/2025 của Chủ tịch UBND tỉnh Phú Thọ </w:t>
      </w:r>
      <w:bookmarkStart w:id="1" w:name="loai_1_name"/>
      <w:r>
        <w:rPr>
          <w:i/>
          <w:iCs/>
        </w:rPr>
        <w:t>phân cấp thẩm quyền của Chủ tịch Ủy ban nhân dân tỉnh cho người đứng đầu cơ quan, đơn vị trực thuộc thực hiện một số nội dung quản lý đầu tư công trên địa bàn tỉnh Phú Thọ</w:t>
      </w:r>
      <w:bookmarkEnd w:id="1"/>
      <w:r>
        <w:rPr>
          <w:i/>
          <w:iCs/>
        </w:rPr>
        <w:t>;</w:t>
      </w:r>
    </w:p>
    <w:p>
      <w:pPr>
        <w:pStyle w:val="Normal"/>
        <w:spacing w:lineRule="auto" w:line="288"/>
        <w:ind w:firstLine="567" w:end="0"/>
        <w:jc w:val="both"/>
        <w:rPr>
          <w:rStyle w:val="Emphasis"/>
        </w:rPr>
      </w:pPr>
      <w:r>
        <w:rPr>
          <w:rStyle w:val="Emphasis"/>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88"/>
        <w:ind w:firstLine="567" w:end="0"/>
        <w:jc w:val="both"/>
        <w:rPr>
          <w:rStyle w:val="Emphasis"/>
        </w:rPr>
      </w:pPr>
      <w:r>
        <w:rPr>
          <w:rStyle w:val="Emphasis"/>
        </w:rPr>
        <w:t>Căn cứ Quyết định số 1166/QĐ-SYT ngày 13/11/2024 của Sở Y tế Phú Thọ về việc quy định chức năng, nhiệm vụ, quyền hạn, cơ cấu tổ chức của Bệnh viện đa khoa tỉnh;</w:t>
      </w:r>
    </w:p>
    <w:p>
      <w:pPr>
        <w:pStyle w:val="Normal"/>
        <w:spacing w:lineRule="auto" w:line="288"/>
        <w:ind w:firstLine="567" w:end="0"/>
        <w:jc w:val="both"/>
        <w:rPr>
          <w:rStyle w:val="Emphasis"/>
        </w:rPr>
      </w:pPr>
      <w:r>
        <w:rPr>
          <w:rStyle w:val="Emphasis"/>
        </w:rPr>
        <w:t>Căn cứ Văn bản số 4203/SYT-KHTC ngày 25/12/2024 của Sở Y tế Phú Thọ về việc hướng dẫn một số nội dung về quản lý, sử dụng tài sản công;</w:t>
      </w:r>
    </w:p>
    <w:p>
      <w:pPr>
        <w:pStyle w:val="Normal"/>
        <w:spacing w:lineRule="auto" w:line="288"/>
        <w:ind w:firstLine="544" w:end="0"/>
        <w:jc w:val="both"/>
        <w:rPr>
          <w:i/>
        </w:rPr>
      </w:pPr>
      <w:bookmarkEnd w:id="0"/>
      <w:r>
        <w:rPr>
          <w:i/>
        </w:rPr>
        <w:t xml:space="preserve">Căn cứ phiếu đề xuất mua </w:t>
      </w:r>
      <w:r>
        <w:rPr>
          <w:i/>
          <w:lang w:val="vi-VN"/>
        </w:rPr>
        <w:t>sắm vật tư hóa chất tiêu hao phục vụ</w:t>
      </w:r>
      <w:r>
        <w:rPr>
          <w:i/>
        </w:rPr>
        <w:t xml:space="preserve"> khám chữa bệnh của khoa </w:t>
      </w:r>
      <w:r>
        <w:rPr>
          <w:i/>
          <w:lang w:val="vi-VN"/>
        </w:rPr>
        <w:t>Vi sinh</w:t>
      </w:r>
      <w:r>
        <w:rPr>
          <w:i/>
        </w:rPr>
        <w:t xml:space="preserve"> ngày </w:t>
      </w:r>
      <w:r>
        <w:rPr>
          <w:i/>
          <w:lang w:val="vi-VN"/>
        </w:rPr>
        <w:t>01/02/2027</w:t>
      </w:r>
      <w:r>
        <w:rPr>
          <w:i/>
        </w:rPr>
        <w:t>;</w:t>
      </w:r>
    </w:p>
    <w:p>
      <w:pPr>
        <w:pStyle w:val="Normal"/>
        <w:spacing w:lineRule="auto" w:line="288"/>
        <w:ind w:firstLine="544" w:end="0"/>
        <w:jc w:val="both"/>
        <w:rPr>
          <w:i/>
        </w:rPr>
      </w:pPr>
      <w:r>
        <w:rPr>
          <w:i/>
          <w:lang w:val="nl-NL"/>
        </w:rPr>
        <w:t>Xét đề nghị của Trưởng phòng Vật tư thiết bị y tế</w:t>
      </w:r>
    </w:p>
    <w:p>
      <w:pPr>
        <w:pStyle w:val="Normal"/>
        <w:spacing w:lineRule="auto" w:line="312" w:before="240" w:after="120"/>
        <w:ind w:firstLine="567" w:end="0"/>
        <w:jc w:val="center"/>
        <w:rPr>
          <w:b/>
          <w:lang w:val="nl-NL"/>
        </w:rPr>
      </w:pPr>
      <w:r>
        <w:rPr>
          <w:b/>
          <w:lang w:val="nl-NL"/>
        </w:rPr>
        <w:t>QUYẾT ĐỊNH:</w:t>
      </w:r>
    </w:p>
    <w:p>
      <w:pPr>
        <w:pStyle w:val="Normal"/>
        <w:tabs>
          <w:tab w:val="left" w:pos="630" w:leader="none"/>
          <w:tab w:val="left" w:pos="720" w:leader="none"/>
        </w:tabs>
        <w:spacing w:lineRule="auto" w:line="288" w:before="0" w:after="120"/>
        <w:ind w:firstLine="562" w:end="0"/>
        <w:jc w:val="both"/>
        <w:rPr>
          <w:bCs/>
          <w:lang w:val="vi-VN"/>
        </w:rPr>
      </w:pPr>
      <w:r>
        <w:rPr>
          <w:b/>
          <w:lang w:val="nl-NL"/>
        </w:rPr>
        <w:tab/>
        <w:t>Điều 1</w:t>
      </w:r>
      <w:r>
        <w:rPr>
          <w:bCs/>
          <w:lang w:val="nl-NL"/>
        </w:rPr>
        <w:t xml:space="preserve">. Phê duyệt chủ trương </w:t>
      </w:r>
      <w:r>
        <w:rPr>
          <w:bCs/>
          <w:lang w:val="vi-VN"/>
        </w:rPr>
        <w:t xml:space="preserve">mua </w:t>
      </w:r>
      <w:r>
        <w:rPr>
          <w:bCs/>
        </w:rPr>
        <w:t xml:space="preserve">sắm </w:t>
      </w:r>
      <w:r>
        <w:rPr>
          <w:bCs/>
          <w:lang w:val="vi-VN"/>
        </w:rPr>
        <w:t xml:space="preserve">bộ xét nghiệm định lượng virus viêm gan B, C (MOCK) </w:t>
      </w:r>
      <w:r>
        <w:rPr>
          <w:bCs/>
        </w:rPr>
        <w:t>phục vụ công tác khám chữa bệnh tại Bệnh viện đa khoa tỉnh Phú Thọ</w:t>
      </w:r>
      <w:r>
        <w:rPr>
          <w:bCs/>
          <w:lang w:val="nl-NL"/>
        </w:rPr>
        <w:t xml:space="preserve">, </w:t>
      </w:r>
      <w:r>
        <w:rPr>
          <w:bCs/>
        </w:rPr>
        <w:t xml:space="preserve">với nội dung cụ thể như </w:t>
      </w:r>
      <w:r>
        <w:rPr>
          <w:bCs/>
          <w:lang w:val="vi-VN"/>
        </w:rPr>
        <w:t>P</w:t>
      </w:r>
      <w:r>
        <w:rPr>
          <w:bCs/>
        </w:rPr>
        <w:t xml:space="preserve">hụ lục kèm </w:t>
      </w:r>
      <w:r>
        <w:rPr>
          <w:bCs/>
          <w:lang w:val="vi-VN"/>
        </w:rPr>
        <w:t>theo.</w:t>
      </w:r>
    </w:p>
    <w:p>
      <w:pPr>
        <w:pStyle w:val="Normal"/>
        <w:tabs>
          <w:tab w:val="left" w:pos="630" w:leader="none"/>
          <w:tab w:val="left" w:pos="720" w:leader="none"/>
        </w:tabs>
        <w:spacing w:lineRule="auto" w:line="288" w:before="120" w:after="0"/>
        <w:ind w:firstLine="567" w:end="0"/>
        <w:jc w:val="both"/>
        <w:rPr/>
      </w:pPr>
      <w:r>
        <w:rPr>
          <w:b/>
        </w:rPr>
        <w:t xml:space="preserve"> </w:t>
      </w:r>
      <w:r>
        <w:rPr>
          <w:b/>
        </w:rPr>
        <w:t>Điều 2</w:t>
      </w:r>
      <w:r>
        <w:rPr/>
        <w:t xml:space="preserve">. Giao Tổ chuyên gia, phòng Vật tư - thiết bị y tế, phòng Tài chính kế toán, các khoa, phòng, trung tâm và các đơn vị liên quan thực hiện các công việc tổ chức lựa chọn nhà thầu </w:t>
      </w:r>
      <w:r>
        <w:rPr>
          <w:lang w:val="vi-VN"/>
        </w:rPr>
        <w:t>cung ứng vật tư y tế</w:t>
      </w:r>
      <w:r>
        <w:rPr/>
        <w:t xml:space="preserve"> phục vụ công tác </w:t>
      </w:r>
      <w:r>
        <w:rPr>
          <w:lang w:val="vi-VN"/>
        </w:rPr>
        <w:t xml:space="preserve">khám chữa bệnh </w:t>
      </w:r>
      <w:r>
        <w:rPr/>
        <w:t>theo các quy định hiện hành của pháp luật.</w:t>
      </w:r>
    </w:p>
    <w:p>
      <w:pPr>
        <w:pStyle w:val="Normal"/>
        <w:tabs>
          <w:tab w:val="left" w:pos="630" w:leader="none"/>
          <w:tab w:val="left" w:pos="720" w:leader="none"/>
        </w:tabs>
        <w:spacing w:lineRule="auto" w:line="288" w:before="120" w:after="360"/>
        <w:ind w:firstLine="630" w:end="0"/>
        <w:jc w:val="both"/>
        <w:rPr/>
      </w:pPr>
      <w:r>
        <w:rPr>
          <w:b/>
        </w:rPr>
        <w:t>Điều 3</w:t>
      </w:r>
      <w:r>
        <w:rPr/>
        <w:t>. Quyết định này có hiệu lực kể từ ngày ký. Tổ chuyên gia, phòng Vật tư - thiết bị y tế, phòng Tài chính kế toán, các khoa, phòng, trung tâm và các đơn vị liên quan chịu trách nhiệm thi hành Quyết định này./.</w:t>
      </w:r>
    </w:p>
    <w:tbl>
      <w:tblPr>
        <w:tblW w:w="9198" w:type="dxa"/>
        <w:jc w:val="start"/>
        <w:tblInd w:w="0" w:type="dxa"/>
        <w:tblLayout w:type="fixed"/>
        <w:tblCellMar>
          <w:top w:w="0" w:type="dxa"/>
          <w:start w:w="108" w:type="dxa"/>
          <w:bottom w:w="0" w:type="dxa"/>
          <w:end w:w="108" w:type="dxa"/>
        </w:tblCellMar>
      </w:tblPr>
      <w:tblGrid>
        <w:gridCol w:w="4503"/>
        <w:gridCol w:w="4695"/>
      </w:tblGrid>
      <w:tr>
        <w:trPr/>
        <w:tc>
          <w:tcPr>
            <w:tcW w:w="4503" w:type="dxa"/>
            <w:tcBorders/>
          </w:tcPr>
          <w:p>
            <w:pPr>
              <w:pStyle w:val="Normal"/>
              <w:rPr>
                <w:b/>
                <w:i/>
                <w:iCs/>
                <w:sz w:val="24"/>
                <w:szCs w:val="24"/>
                <w:lang w:val="fr-FR"/>
              </w:rPr>
            </w:pPr>
            <w:r>
              <w:rPr>
                <w:b/>
                <w:i/>
                <w:iCs/>
                <w:sz w:val="24"/>
                <w:szCs w:val="24"/>
                <w:lang w:val="fr-FR"/>
              </w:rPr>
              <w:t>Nơi nhận:</w:t>
            </w:r>
          </w:p>
          <w:p>
            <w:pPr>
              <w:pStyle w:val="Normal"/>
              <w:rPr>
                <w:iCs/>
                <w:sz w:val="22"/>
                <w:szCs w:val="24"/>
                <w:lang w:val="fr-FR"/>
              </w:rPr>
            </w:pPr>
            <w:r>
              <w:rPr>
                <w:iCs/>
                <w:sz w:val="22"/>
                <w:szCs w:val="24"/>
                <w:lang w:val="fr-FR"/>
              </w:rPr>
              <w:t>- Như điều 3 (t/h);</w:t>
            </w:r>
          </w:p>
          <w:p>
            <w:pPr>
              <w:pStyle w:val="Normal"/>
              <w:rPr>
                <w:iCs/>
                <w:sz w:val="22"/>
                <w:szCs w:val="24"/>
                <w:lang w:val="fr-FR"/>
              </w:rPr>
            </w:pPr>
            <w:r>
              <w:rPr>
                <w:iCs/>
                <w:sz w:val="22"/>
                <w:szCs w:val="24"/>
                <w:lang w:val="fr-FR"/>
              </w:rPr>
              <w:t>- Lưu: VT, TCKT, VTYT.</w:t>
            </w:r>
          </w:p>
          <w:p>
            <w:pPr>
              <w:pStyle w:val="Normal"/>
              <w:spacing w:lineRule="auto" w:line="312"/>
              <w:jc w:val="center"/>
              <w:rPr>
                <w:b/>
                <w:bCs/>
                <w:i/>
                <w:iCs/>
                <w:lang w:val="fr-FR"/>
              </w:rPr>
            </w:pPr>
            <w:r>
              <w:rPr>
                <w:b/>
                <w:bCs/>
                <w:i/>
                <w:iCs/>
                <w:sz w:val="22"/>
                <w:szCs w:val="24"/>
                <w:lang w:val="fr-FR"/>
              </w:rPr>
            </w:r>
          </w:p>
        </w:tc>
        <w:tc>
          <w:tcPr>
            <w:tcW w:w="4695" w:type="dxa"/>
            <w:tcBorders/>
          </w:tcPr>
          <w:p>
            <w:pPr>
              <w:pStyle w:val="Normal"/>
              <w:spacing w:lineRule="auto" w:line="312"/>
              <w:jc w:val="center"/>
              <w:rPr>
                <w:b/>
              </w:rPr>
            </w:pPr>
            <w:r>
              <w:rPr>
                <w:b/>
              </w:rPr>
              <w:t>GIÁM ĐỐC</w:t>
            </w:r>
          </w:p>
          <w:p>
            <w:pPr>
              <w:pStyle w:val="Normal"/>
              <w:spacing w:lineRule="auto" w:line="312"/>
              <w:jc w:val="center"/>
              <w:rPr>
                <w:b/>
                <w:sz w:val="36"/>
              </w:rPr>
            </w:pPr>
            <w:r>
              <w:rPr>
                <w:b/>
                <w:sz w:val="36"/>
              </w:rPr>
            </w:r>
          </w:p>
          <w:p>
            <w:pPr>
              <w:pStyle w:val="Normal"/>
              <w:spacing w:lineRule="auto" w:line="312"/>
              <w:jc w:val="center"/>
              <w:rPr>
                <w:b/>
              </w:rPr>
            </w:pPr>
            <w:r>
              <w:rPr>
                <w:b/>
                <w:sz w:val="36"/>
              </w:rPr>
            </w:r>
          </w:p>
          <w:p>
            <w:pPr>
              <w:pStyle w:val="Normal"/>
              <w:spacing w:lineRule="auto" w:line="312"/>
              <w:jc w:val="center"/>
              <w:rPr>
                <w:b/>
              </w:rPr>
            </w:pPr>
            <w:r>
              <w:rPr>
                <w:b/>
              </w:rPr>
            </w:r>
          </w:p>
          <w:p>
            <w:pPr>
              <w:pStyle w:val="Normal"/>
              <w:spacing w:lineRule="auto" w:line="312"/>
              <w:jc w:val="center"/>
              <w:rPr>
                <w:b/>
                <w:bCs/>
                <w:iCs/>
              </w:rPr>
            </w:pPr>
            <w:r>
              <w:rPr>
                <w:b/>
              </w:rPr>
              <w:t>Lê Đình Thanh Sơn</w:t>
            </w:r>
          </w:p>
        </w:tc>
      </w:tr>
    </w:tbl>
    <w:p>
      <w:pPr>
        <w:pStyle w:val="Normal"/>
        <w:spacing w:lineRule="exact" w:line="440"/>
        <w:rPr/>
      </w:pPr>
      <w:r>
        <w:rPr/>
      </w:r>
    </w:p>
    <w:p>
      <w:pPr>
        <w:pStyle w:val="Normal"/>
        <w:spacing w:lineRule="exact" w:line="440"/>
        <w:rPr/>
      </w:pPr>
      <w:r>
        <w:rPr/>
      </w:r>
    </w:p>
    <w:p>
      <w:pPr>
        <w:pStyle w:val="Normal"/>
        <w:spacing w:lineRule="exact" w:line="440"/>
        <w:rPr/>
      </w:pPr>
      <w:r>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p>
    <w:p>
      <w:pPr>
        <w:pStyle w:val="Normal"/>
        <w:tabs>
          <w:tab w:val="clear" w:pos="720"/>
          <w:tab w:val="left" w:pos="900" w:leader="none"/>
        </w:tabs>
        <w:spacing w:lineRule="auto" w:line="276"/>
        <w:rPr>
          <w:b/>
        </w:rPr>
      </w:pPr>
      <w:r>
        <w:rPr>
          <w:b/>
        </w:rPr>
      </w:r>
      <w:r>
        <w:br w:type="page"/>
      </w:r>
    </w:p>
    <w:p>
      <w:pPr>
        <w:pStyle w:val="Normal"/>
        <w:tabs>
          <w:tab w:val="clear" w:pos="720"/>
          <w:tab w:val="left" w:pos="900" w:leader="none"/>
        </w:tabs>
        <w:spacing w:lineRule="auto" w:line="288" w:before="0" w:after="120"/>
        <w:jc w:val="center"/>
        <w:rPr>
          <w:b/>
        </w:rPr>
      </w:pPr>
      <w:r>
        <w:rPr>
          <w:b/>
        </w:rPr>
        <w:t xml:space="preserve">PHỤ LỤC  </w:t>
      </w:r>
    </w:p>
    <w:p>
      <w:pPr>
        <w:pStyle w:val="Normal"/>
        <w:tabs>
          <w:tab w:val="clear" w:pos="720"/>
          <w:tab w:val="left" w:pos="900" w:leader="none"/>
        </w:tabs>
        <w:spacing w:lineRule="auto" w:line="288"/>
        <w:jc w:val="center"/>
        <w:rPr>
          <w:b/>
          <w:bCs/>
          <w:iCs/>
          <w:lang w:val="vi-VN"/>
        </w:rPr>
      </w:pPr>
      <w:r>
        <w:rPr>
          <w:b/>
          <w:bCs/>
          <w:iCs/>
        </w:rPr>
        <w:t xml:space="preserve">Danh mục, số lượng, tiêu chí kỹ thuật </w:t>
      </w:r>
      <w:r>
        <w:rPr>
          <w:b/>
          <w:bCs/>
          <w:iCs/>
          <w:lang w:val="vi-VN"/>
        </w:rPr>
        <w:t xml:space="preserve">bộ xét nghiệm định lượng virus viêm gan B, C (MOCK) </w:t>
      </w:r>
      <w:r>
        <w:rPr>
          <w:b/>
          <w:bCs/>
          <w:iCs/>
        </w:rPr>
        <w:t>phục vụ công tác khám chữa bệnh</w:t>
      </w:r>
      <w:r>
        <w:rPr>
          <w:b/>
          <w:bCs/>
          <w:iCs/>
          <w:lang w:val="vi-VN"/>
        </w:rPr>
        <w:t xml:space="preserve"> tại </w:t>
      </w:r>
    </w:p>
    <w:p>
      <w:pPr>
        <w:pStyle w:val="Normal"/>
        <w:tabs>
          <w:tab w:val="clear" w:pos="720"/>
          <w:tab w:val="left" w:pos="900" w:leader="none"/>
        </w:tabs>
        <w:spacing w:lineRule="auto" w:line="288"/>
        <w:jc w:val="center"/>
        <w:rPr>
          <w:b/>
          <w:bCs/>
          <w:iCs/>
          <w:lang w:val="vi-VN"/>
        </w:rPr>
      </w:pPr>
      <w:r>
        <w:rPr>
          <w:b/>
          <w:bCs/>
          <w:iCs/>
          <w:lang w:val="vi-VN"/>
        </w:rPr>
        <w:t>Bệnh viện đa khoa tỉnh Phú Thọ</w:t>
      </w:r>
    </w:p>
    <w:p>
      <w:pPr>
        <w:pStyle w:val="Normal"/>
        <w:tabs>
          <w:tab w:val="clear" w:pos="720"/>
          <w:tab w:val="left" w:pos="900" w:leader="none"/>
        </w:tabs>
        <w:spacing w:lineRule="auto" w:line="288"/>
        <w:jc w:val="center"/>
        <w:rPr>
          <w:i/>
          <w:sz w:val="24"/>
        </w:rPr>
      </w:pPr>
      <w:r>
        <w:rPr>
          <w:i/>
          <w:sz w:val="24"/>
        </w:rPr>
        <w:t xml:space="preserve"> </w:t>
      </w:r>
      <w:r>
        <w:rPr>
          <w:i/>
          <w:sz w:val="24"/>
        </w:rPr>
        <w:t xml:space="preserve">(Kèm theo Quyết định số </w:t>
      </w:r>
      <w:r>
        <w:rPr>
          <w:i/>
          <w:sz w:val="24"/>
          <w:lang w:val="vi-VN"/>
        </w:rPr>
        <w:t xml:space="preserve"> </w:t>
      </w:r>
      <w:r>
        <w:rPr>
          <w:i/>
          <w:sz w:val="24"/>
        </w:rPr>
        <w:t xml:space="preserve"> </w:t>
      </w:r>
      <w:r>
        <w:rPr>
          <w:i/>
          <w:sz w:val="24"/>
          <w:lang w:val="vi-VN"/>
        </w:rPr>
        <w:t xml:space="preserve">   </w:t>
      </w:r>
      <w:r>
        <w:rPr>
          <w:i/>
          <w:sz w:val="24"/>
        </w:rPr>
        <w:t xml:space="preserve">/QĐ-BV ngày </w:t>
      </w:r>
      <w:r>
        <w:rPr>
          <w:i/>
          <w:sz w:val="24"/>
          <w:lang w:val="vi-VN"/>
        </w:rPr>
        <w:t>11/02/2027</w:t>
      </w:r>
      <w:r>
        <w:rPr>
          <w:i/>
          <w:sz w:val="24"/>
        </w:rPr>
        <w:t xml:space="preserve"> của Giám đốc Bệnh viện đa khoa tỉnh Phú Thọ)</w:t>
      </w:r>
    </w:p>
    <w:tbl>
      <w:tblPr>
        <w:tblW w:w="9288" w:type="dxa"/>
        <w:jc w:val="start"/>
        <w:tblInd w:w="0" w:type="dxa"/>
        <w:tblLayout w:type="fixed"/>
        <w:tblCellMar>
          <w:top w:w="0" w:type="dxa"/>
          <w:start w:w="108" w:type="dxa"/>
          <w:bottom w:w="0" w:type="dxa"/>
          <w:end w:w="108" w:type="dxa"/>
        </w:tblCellMar>
      </w:tblPr>
      <w:tblGrid>
        <w:gridCol w:w="537"/>
        <w:gridCol w:w="1899"/>
        <w:gridCol w:w="4228"/>
        <w:gridCol w:w="874"/>
        <w:gridCol w:w="851"/>
        <w:gridCol w:w="899"/>
      </w:tblGrid>
      <w:tr>
        <w:trPr>
          <w:tblHeader w:val="true"/>
          <w:trHeight w:val="674" w:hRule="atLeast"/>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 w:val="24"/>
                <w:szCs w:val="24"/>
              </w:rPr>
            </w:pPr>
            <w:r>
              <w:rPr>
                <w:b/>
                <w:sz w:val="24"/>
                <w:szCs w:val="24"/>
              </w:rPr>
              <w:t>TT</w:t>
            </w:r>
          </w:p>
        </w:tc>
        <w:tc>
          <w:tcPr>
            <w:tcW w:w="1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 w:val="24"/>
                <w:szCs w:val="24"/>
              </w:rPr>
            </w:pPr>
            <w:r>
              <w:rPr>
                <w:b/>
                <w:sz w:val="24"/>
                <w:szCs w:val="24"/>
              </w:rPr>
              <w:t xml:space="preserve">Tên vật tư </w:t>
            </w:r>
          </w:p>
          <w:p>
            <w:pPr>
              <w:pStyle w:val="Normal"/>
              <w:spacing w:lineRule="auto" w:line="276" w:before="40" w:after="40"/>
              <w:jc w:val="center"/>
              <w:rPr>
                <w:b/>
                <w:sz w:val="24"/>
                <w:szCs w:val="24"/>
              </w:rPr>
            </w:pPr>
            <w:r>
              <w:rPr>
                <w:b/>
                <w:sz w:val="24"/>
                <w:szCs w:val="24"/>
              </w:rPr>
              <w:t>y tế</w:t>
            </w:r>
          </w:p>
        </w:tc>
        <w:tc>
          <w:tcPr>
            <w:tcW w:w="42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 w:val="24"/>
                <w:szCs w:val="24"/>
              </w:rPr>
            </w:pPr>
            <w:r>
              <w:rPr>
                <w:b/>
                <w:sz w:val="24"/>
                <w:szCs w:val="24"/>
              </w:rPr>
              <w:t>Tiêu chí kỹ thuật</w:t>
            </w:r>
          </w:p>
        </w:tc>
        <w:tc>
          <w:tcPr>
            <w:tcW w:w="87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 w:val="24"/>
                <w:szCs w:val="24"/>
              </w:rPr>
            </w:pPr>
            <w:r>
              <w:rPr>
                <w:b/>
                <w:sz w:val="24"/>
                <w:szCs w:val="24"/>
              </w:rPr>
              <w:t>Quy cách</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 w:val="24"/>
                <w:szCs w:val="24"/>
              </w:rPr>
            </w:pPr>
            <w:r>
              <w:rPr>
                <w:b/>
                <w:sz w:val="24"/>
                <w:szCs w:val="24"/>
              </w:rPr>
              <w:t>Đơn vị tính</w:t>
            </w:r>
          </w:p>
        </w:tc>
        <w:tc>
          <w:tcPr>
            <w:tcW w:w="8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40" w:after="40"/>
              <w:jc w:val="center"/>
              <w:rPr>
                <w:b/>
                <w:sz w:val="24"/>
                <w:szCs w:val="24"/>
              </w:rPr>
            </w:pPr>
            <w:r>
              <w:rPr>
                <w:b/>
                <w:sz w:val="24"/>
                <w:szCs w:val="24"/>
              </w:rPr>
              <w:t>Số lượng</w:t>
            </w:r>
          </w:p>
        </w:tc>
      </w:tr>
      <w:tr>
        <w:trPr>
          <w:trHeight w:val="3143" w:hRule="atLeast"/>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4"/>
                <w:szCs w:val="24"/>
              </w:rPr>
            </w:pPr>
            <w:r>
              <w:rPr>
                <w:color w:val="000000"/>
                <w:sz w:val="24"/>
                <w:szCs w:val="24"/>
              </w:rPr>
              <w:t>1</w:t>
            </w:r>
          </w:p>
        </w:tc>
        <w:tc>
          <w:tcPr>
            <w:tcW w:w="1899" w:type="dxa"/>
            <w:tcBorders>
              <w:start w:val="single" w:sz="4" w:space="0" w:color="000000"/>
              <w:bottom w:val="single" w:sz="4" w:space="0" w:color="000000"/>
              <w:end w:val="single" w:sz="4" w:space="0" w:color="000000"/>
            </w:tcBorders>
            <w:vAlign w:val="center"/>
          </w:tcPr>
          <w:p>
            <w:pPr>
              <w:pStyle w:val="Normal"/>
              <w:rPr>
                <w:color w:val="000000"/>
                <w:sz w:val="24"/>
                <w:szCs w:val="24"/>
                <w:lang w:val="vi-VN"/>
              </w:rPr>
            </w:pPr>
            <w:r>
              <w:rPr>
                <w:color w:val="000000"/>
                <w:sz w:val="24"/>
                <w:szCs w:val="24"/>
                <w:lang w:val="vi-VN"/>
              </w:rPr>
              <w:t>Bộ xét nghiệm định lượng virus viêm gan B</w:t>
            </w:r>
          </w:p>
        </w:tc>
        <w:tc>
          <w:tcPr>
            <w:tcW w:w="4228" w:type="dxa"/>
            <w:tcBorders>
              <w:start w:val="single" w:sz="4" w:space="0" w:color="000000"/>
              <w:bottom w:val="single" w:sz="4" w:space="0" w:color="000000"/>
              <w:end w:val="single" w:sz="4" w:space="0" w:color="000000"/>
            </w:tcBorders>
            <w:shd w:fill="FFFFFF" w:val="clear"/>
            <w:vAlign w:val="center"/>
          </w:tcPr>
          <w:p>
            <w:pPr>
              <w:pStyle w:val="Normal"/>
              <w:rPr>
                <w:color w:val="000000"/>
                <w:sz w:val="24"/>
                <w:szCs w:val="24"/>
              </w:rPr>
            </w:pPr>
            <w:r>
              <w:rPr>
                <w:color w:val="000000"/>
                <w:sz w:val="24"/>
                <w:szCs w:val="24"/>
                <w:lang w:val="vi-VN"/>
              </w:rPr>
              <w:t>-</w:t>
            </w:r>
            <w:r>
              <w:rPr>
                <w:color w:val="000000"/>
                <w:sz w:val="24"/>
                <w:szCs w:val="24"/>
              </w:rPr>
              <w:t xml:space="preserve"> Để phát hiện và định lượng DNA của </w:t>
            </w:r>
            <w:r>
              <w:rPr>
                <w:color w:val="000000"/>
                <w:sz w:val="24"/>
                <w:szCs w:val="24"/>
                <w:lang w:val="vi-VN"/>
              </w:rPr>
              <w:t>v</w:t>
            </w:r>
            <w:r>
              <w:rPr>
                <w:color w:val="000000"/>
                <w:sz w:val="24"/>
                <w:szCs w:val="24"/>
              </w:rPr>
              <w:t>i</w:t>
            </w:r>
            <w:r>
              <w:rPr>
                <w:color w:val="000000"/>
                <w:sz w:val="24"/>
                <w:szCs w:val="24"/>
                <w:lang w:val="vi-VN"/>
              </w:rPr>
              <w:t xml:space="preserve"> </w:t>
            </w:r>
            <w:r>
              <w:rPr>
                <w:color w:val="000000"/>
                <w:sz w:val="24"/>
                <w:szCs w:val="24"/>
              </w:rPr>
              <w:t xml:space="preserve">rút </w:t>
            </w:r>
            <w:r>
              <w:rPr>
                <w:color w:val="000000"/>
                <w:sz w:val="24"/>
                <w:szCs w:val="24"/>
                <w:lang w:val="vi-VN"/>
              </w:rPr>
              <w:t>v</w:t>
            </w:r>
            <w:r>
              <w:rPr>
                <w:color w:val="000000"/>
                <w:sz w:val="24"/>
                <w:szCs w:val="24"/>
              </w:rPr>
              <w:t xml:space="preserve">iêm gan B (HBV) được tách chiết từ các mẫu bệnh phẩm.  </w:t>
            </w:r>
          </w:p>
          <w:p>
            <w:pPr>
              <w:pStyle w:val="Normal"/>
              <w:rPr>
                <w:color w:val="000000"/>
                <w:sz w:val="24"/>
                <w:szCs w:val="24"/>
              </w:rPr>
            </w:pPr>
            <w:r>
              <w:rPr>
                <w:color w:val="000000"/>
                <w:sz w:val="24"/>
                <w:szCs w:val="24"/>
                <w:lang w:val="vi-VN"/>
              </w:rPr>
              <w:t>-</w:t>
            </w:r>
            <w:r>
              <w:rPr>
                <w:color w:val="000000"/>
                <w:sz w:val="24"/>
                <w:szCs w:val="24"/>
              </w:rPr>
              <w:t xml:space="preserve"> Thành phần: </w:t>
            </w:r>
          </w:p>
          <w:p>
            <w:pPr>
              <w:pStyle w:val="Normal"/>
              <w:rPr>
                <w:color w:val="000000"/>
                <w:sz w:val="24"/>
                <w:szCs w:val="24"/>
              </w:rPr>
            </w:pPr>
            <w:r>
              <w:rPr>
                <w:color w:val="000000"/>
                <w:sz w:val="24"/>
                <w:szCs w:val="24"/>
              </w:rPr>
              <w:t xml:space="preserve">Hoá chất phản ứng (HBV Mix) </w:t>
            </w:r>
          </w:p>
          <w:p>
            <w:pPr>
              <w:pStyle w:val="Normal"/>
              <w:rPr>
                <w:color w:val="000000"/>
                <w:sz w:val="24"/>
                <w:szCs w:val="24"/>
              </w:rPr>
            </w:pPr>
            <w:r>
              <w:rPr>
                <w:color w:val="000000"/>
                <w:sz w:val="24"/>
                <w:szCs w:val="24"/>
              </w:rPr>
              <w:t xml:space="preserve">Thang chuẩn (HBV Standard) </w:t>
            </w:r>
          </w:p>
          <w:p>
            <w:pPr>
              <w:pStyle w:val="Normal"/>
              <w:rPr>
                <w:color w:val="000000"/>
                <w:sz w:val="24"/>
                <w:szCs w:val="24"/>
              </w:rPr>
            </w:pPr>
            <w:r>
              <w:rPr>
                <w:color w:val="000000"/>
                <w:sz w:val="24"/>
                <w:szCs w:val="24"/>
              </w:rPr>
              <w:t>Chứng dương (HBV Positive Control)</w:t>
            </w:r>
          </w:p>
          <w:p>
            <w:pPr>
              <w:pStyle w:val="Normal"/>
              <w:rPr>
                <w:color w:val="000000"/>
                <w:sz w:val="24"/>
                <w:szCs w:val="24"/>
              </w:rPr>
            </w:pPr>
            <w:r>
              <w:rPr>
                <w:color w:val="000000"/>
                <w:sz w:val="24"/>
                <w:szCs w:val="24"/>
              </w:rPr>
              <w:t>Chứng âm (HBV Internal Control)</w:t>
            </w:r>
          </w:p>
          <w:p>
            <w:pPr>
              <w:pStyle w:val="Normal"/>
              <w:rPr>
                <w:color w:val="000000"/>
                <w:sz w:val="24"/>
                <w:szCs w:val="24"/>
              </w:rPr>
            </w:pPr>
            <w:r>
              <w:rPr>
                <w:color w:val="000000"/>
                <w:sz w:val="24"/>
                <w:szCs w:val="24"/>
              </w:rPr>
              <w:t xml:space="preserve">Ngưỡng phát hiện (LoD): 9 IU/mL (38 copies/mL) mẫu huyết thanh, huyết tương </w:t>
            </w:r>
          </w:p>
          <w:p>
            <w:pPr>
              <w:pStyle w:val="Normal"/>
              <w:rPr>
                <w:color w:val="000000"/>
                <w:sz w:val="24"/>
                <w:szCs w:val="24"/>
              </w:rPr>
            </w:pPr>
            <w:r>
              <w:rPr>
                <w:color w:val="000000"/>
                <w:sz w:val="24"/>
                <w:szCs w:val="24"/>
                <w:lang w:val="vi-VN"/>
              </w:rPr>
              <w:t>-</w:t>
            </w:r>
            <w:r>
              <w:rPr>
                <w:color w:val="000000"/>
                <w:sz w:val="24"/>
                <w:szCs w:val="24"/>
              </w:rPr>
              <w:t xml:space="preserve"> Độ đặc hiệu: 97.6%</w:t>
            </w:r>
          </w:p>
        </w:tc>
        <w:tc>
          <w:tcPr>
            <w:tcW w:w="8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96 test/ Hộp</w:t>
            </w:r>
          </w:p>
        </w:tc>
        <w:tc>
          <w:tcPr>
            <w:tcW w:w="851" w:type="dxa"/>
            <w:tcBorders>
              <w:top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lang w:val="vi-VN"/>
              </w:rPr>
              <w:t>Test</w:t>
            </w:r>
          </w:p>
        </w:tc>
        <w:tc>
          <w:tcPr>
            <w:tcW w:w="899" w:type="dxa"/>
            <w:tcBorders>
              <w:start w:val="single" w:sz="4" w:space="0" w:color="000000"/>
              <w:bottom w:val="single" w:sz="4" w:space="0" w:color="000000"/>
              <w:end w:val="single" w:sz="4" w:space="0" w:color="000000"/>
            </w:tcBorders>
            <w:vAlign w:val="center"/>
          </w:tcPr>
          <w:p>
            <w:pPr>
              <w:pStyle w:val="Normal"/>
              <w:jc w:val="end"/>
              <w:rPr>
                <w:color w:val="000000"/>
                <w:sz w:val="24"/>
                <w:szCs w:val="24"/>
                <w:lang w:val="vi-VN"/>
              </w:rPr>
            </w:pPr>
            <w:r>
              <w:rPr>
                <w:color w:val="000000"/>
                <w:sz w:val="24"/>
                <w:szCs w:val="24"/>
                <w:lang w:val="vi-VN"/>
              </w:rPr>
              <w:t>4.320</w:t>
            </w:r>
          </w:p>
        </w:tc>
      </w:tr>
      <w:tr>
        <w:trPr>
          <w:trHeight w:val="2607" w:hRule="atLeast"/>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color w:val="000000"/>
                <w:sz w:val="24"/>
                <w:szCs w:val="24"/>
              </w:rPr>
            </w:pPr>
            <w:r>
              <w:rPr>
                <w:color w:val="000000"/>
                <w:sz w:val="24"/>
                <w:szCs w:val="24"/>
                <w:lang w:val="vi-VN"/>
              </w:rPr>
              <w:t>2</w:t>
            </w:r>
          </w:p>
        </w:tc>
        <w:tc>
          <w:tcPr>
            <w:tcW w:w="1899" w:type="dxa"/>
            <w:tcBorders>
              <w:start w:val="single" w:sz="4" w:space="0" w:color="000000"/>
              <w:bottom w:val="single" w:sz="4" w:space="0" w:color="000000"/>
              <w:end w:val="single" w:sz="4" w:space="0" w:color="000000"/>
            </w:tcBorders>
            <w:vAlign w:val="center"/>
          </w:tcPr>
          <w:p>
            <w:pPr>
              <w:pStyle w:val="Normal"/>
              <w:rPr>
                <w:color w:val="000000"/>
                <w:sz w:val="24"/>
                <w:szCs w:val="24"/>
              </w:rPr>
            </w:pPr>
            <w:r>
              <w:rPr>
                <w:color w:val="000000"/>
                <w:sz w:val="24"/>
                <w:szCs w:val="24"/>
              </w:rPr>
              <w:t>Bộ xét nghiệm định lượng virus Viêm gan C</w:t>
            </w:r>
          </w:p>
        </w:tc>
        <w:tc>
          <w:tcPr>
            <w:tcW w:w="4228" w:type="dxa"/>
            <w:tcBorders>
              <w:start w:val="single" w:sz="4" w:space="0" w:color="000000"/>
              <w:bottom w:val="single" w:sz="4" w:space="0" w:color="000000"/>
              <w:end w:val="single" w:sz="4" w:space="0" w:color="000000"/>
            </w:tcBorders>
            <w:shd w:fill="FFFFFF" w:val="clear"/>
            <w:vAlign w:val="center"/>
          </w:tcPr>
          <w:p>
            <w:pPr>
              <w:pStyle w:val="Normal"/>
              <w:rPr>
                <w:color w:val="000000"/>
                <w:sz w:val="24"/>
                <w:szCs w:val="24"/>
              </w:rPr>
            </w:pPr>
            <w:r>
              <w:rPr>
                <w:color w:val="000000"/>
                <w:sz w:val="24"/>
                <w:szCs w:val="24"/>
                <w:lang w:val="vi-VN"/>
              </w:rPr>
              <w:t xml:space="preserve">- </w:t>
            </w:r>
            <w:r>
              <w:rPr>
                <w:color w:val="000000"/>
                <w:sz w:val="24"/>
                <w:szCs w:val="24"/>
              </w:rPr>
              <w:t xml:space="preserve">Xét nghiệm phiên mã ngược axit nucleic và khuếch đại định lượng để phát hiện và định lượng RNA của vi rút viêm gan C </w:t>
            </w:r>
          </w:p>
          <w:p>
            <w:pPr>
              <w:pStyle w:val="Normal"/>
              <w:rPr>
                <w:color w:val="000000"/>
                <w:sz w:val="24"/>
                <w:szCs w:val="24"/>
              </w:rPr>
            </w:pPr>
            <w:r>
              <w:rPr>
                <w:color w:val="000000"/>
                <w:sz w:val="24"/>
                <w:szCs w:val="24"/>
                <w:lang w:val="vi-VN"/>
              </w:rPr>
              <w:t xml:space="preserve">- </w:t>
            </w:r>
            <w:r>
              <w:rPr>
                <w:color w:val="000000"/>
                <w:sz w:val="24"/>
                <w:szCs w:val="24"/>
              </w:rPr>
              <w:t xml:space="preserve">Thành phần: </w:t>
            </w:r>
          </w:p>
          <w:p>
            <w:pPr>
              <w:pStyle w:val="Normal"/>
              <w:rPr>
                <w:color w:val="000000"/>
                <w:sz w:val="24"/>
                <w:szCs w:val="24"/>
              </w:rPr>
            </w:pPr>
            <w:r>
              <w:rPr>
                <w:color w:val="000000"/>
                <w:sz w:val="24"/>
                <w:szCs w:val="24"/>
              </w:rPr>
              <w:t>Hoá chất phản ứng (HCV Mix)</w:t>
            </w:r>
          </w:p>
          <w:p>
            <w:pPr>
              <w:pStyle w:val="Normal"/>
              <w:rPr>
                <w:color w:val="000000"/>
                <w:sz w:val="24"/>
                <w:szCs w:val="24"/>
              </w:rPr>
            </w:pPr>
            <w:r>
              <w:rPr>
                <w:color w:val="000000"/>
                <w:sz w:val="24"/>
                <w:szCs w:val="24"/>
              </w:rPr>
              <w:t>Thang chuẩn định lượng (HCV Standard)</w:t>
            </w:r>
          </w:p>
          <w:p>
            <w:pPr>
              <w:pStyle w:val="Normal"/>
              <w:rPr>
                <w:color w:val="000000"/>
                <w:sz w:val="24"/>
                <w:szCs w:val="24"/>
              </w:rPr>
            </w:pPr>
            <w:r>
              <w:rPr>
                <w:color w:val="000000"/>
                <w:sz w:val="24"/>
                <w:szCs w:val="24"/>
              </w:rPr>
              <w:t>Chứng dương (HCV Positive Control)</w:t>
            </w:r>
          </w:p>
          <w:p>
            <w:pPr>
              <w:pStyle w:val="Normal"/>
              <w:rPr>
                <w:color w:val="000000"/>
                <w:sz w:val="24"/>
                <w:szCs w:val="24"/>
              </w:rPr>
            </w:pPr>
            <w:r>
              <w:rPr>
                <w:color w:val="000000"/>
                <w:sz w:val="24"/>
                <w:szCs w:val="24"/>
              </w:rPr>
              <w:t>Chứng âm (HCV Internal Control).</w:t>
            </w:r>
          </w:p>
          <w:p>
            <w:pPr>
              <w:pStyle w:val="Normal"/>
              <w:rPr>
                <w:color w:val="000000"/>
                <w:sz w:val="24"/>
                <w:szCs w:val="24"/>
              </w:rPr>
            </w:pPr>
            <w:r>
              <w:rPr>
                <w:color w:val="000000"/>
                <w:sz w:val="24"/>
                <w:szCs w:val="24"/>
                <w:lang w:val="vi-VN"/>
              </w:rPr>
              <w:t xml:space="preserve">- </w:t>
            </w:r>
            <w:r>
              <w:rPr>
                <w:color w:val="000000"/>
                <w:sz w:val="24"/>
                <w:szCs w:val="24"/>
              </w:rPr>
              <w:t>Ngưỡng phát hiện (LoD): 26 IU/mL (11 copies/mL) mẫu huyết thanh, huyết tương</w:t>
            </w:r>
          </w:p>
          <w:p>
            <w:pPr>
              <w:pStyle w:val="Normal"/>
              <w:rPr>
                <w:color w:val="000000"/>
                <w:sz w:val="24"/>
                <w:szCs w:val="24"/>
              </w:rPr>
            </w:pPr>
            <w:r>
              <w:rPr>
                <w:color w:val="000000"/>
                <w:sz w:val="24"/>
                <w:szCs w:val="24"/>
                <w:lang w:val="vi-VN"/>
              </w:rPr>
              <w:t>-</w:t>
            </w:r>
            <w:r>
              <w:rPr>
                <w:color w:val="000000"/>
                <w:sz w:val="24"/>
                <w:szCs w:val="24"/>
              </w:rPr>
              <w:t xml:space="preserve"> Độ đặc hiệu: 100%</w:t>
            </w:r>
          </w:p>
        </w:tc>
        <w:tc>
          <w:tcPr>
            <w:tcW w:w="87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96 test/ Hộp</w:t>
            </w:r>
          </w:p>
        </w:tc>
        <w:tc>
          <w:tcPr>
            <w:tcW w:w="851" w:type="dxa"/>
            <w:tcBorders>
              <w:top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lang w:val="vi-VN"/>
              </w:rPr>
              <w:t>Test</w:t>
            </w:r>
          </w:p>
        </w:tc>
        <w:tc>
          <w:tcPr>
            <w:tcW w:w="899" w:type="dxa"/>
            <w:tcBorders>
              <w:start w:val="single" w:sz="4" w:space="0" w:color="000000"/>
              <w:bottom w:val="single" w:sz="4" w:space="0" w:color="000000"/>
              <w:end w:val="single" w:sz="4" w:space="0" w:color="000000"/>
            </w:tcBorders>
            <w:vAlign w:val="center"/>
          </w:tcPr>
          <w:p>
            <w:pPr>
              <w:pStyle w:val="Normal"/>
              <w:jc w:val="end"/>
              <w:rPr>
                <w:color w:val="000000"/>
                <w:sz w:val="24"/>
                <w:szCs w:val="24"/>
              </w:rPr>
            </w:pPr>
            <w:r>
              <w:rPr>
                <w:color w:val="000000"/>
                <w:sz w:val="24"/>
                <w:szCs w:val="24"/>
                <w:lang w:val="vi-VN"/>
              </w:rPr>
              <w:t>960</w:t>
            </w:r>
          </w:p>
        </w:tc>
      </w:tr>
      <w:tr>
        <w:trPr>
          <w:trHeight w:val="364" w:hRule="atLeast"/>
        </w:trPr>
        <w:tc>
          <w:tcPr>
            <w:tcW w:w="9288" w:type="dxa"/>
            <w:gridSpan w:val="6"/>
            <w:tcBorders>
              <w:top w:val="single" w:sz="4" w:space="0" w:color="000000"/>
              <w:start w:val="single" w:sz="4" w:space="0" w:color="000000"/>
              <w:bottom w:val="single" w:sz="4" w:space="0" w:color="000000"/>
              <w:end w:val="single" w:sz="4" w:space="0" w:color="000000"/>
            </w:tcBorders>
            <w:vAlign w:val="center"/>
          </w:tcPr>
          <w:p>
            <w:pPr>
              <w:pStyle w:val="Normal"/>
              <w:rPr>
                <w:b/>
                <w:i/>
                <w:color w:val="000000"/>
                <w:sz w:val="24"/>
                <w:szCs w:val="24"/>
              </w:rPr>
            </w:pPr>
            <w:r>
              <w:rPr>
                <w:b/>
                <w:i/>
                <w:color w:val="000000"/>
                <w:sz w:val="24"/>
                <w:szCs w:val="24"/>
              </w:rPr>
              <w:t xml:space="preserve">Tổng: </w:t>
            </w:r>
            <w:r>
              <w:rPr>
                <w:b/>
                <w:i/>
                <w:color w:val="000000"/>
                <w:sz w:val="24"/>
                <w:szCs w:val="24"/>
                <w:lang w:val="vi-VN"/>
              </w:rPr>
              <w:t>02</w:t>
            </w:r>
            <w:r>
              <w:rPr>
                <w:b/>
                <w:i/>
                <w:color w:val="000000"/>
                <w:sz w:val="24"/>
                <w:szCs w:val="24"/>
              </w:rPr>
              <w:t xml:space="preserve"> khoản</w:t>
            </w:r>
          </w:p>
        </w:tc>
      </w:tr>
    </w:tbl>
    <w:p>
      <w:pPr>
        <w:pStyle w:val="Normal"/>
        <w:spacing w:lineRule="exact" w:line="440"/>
        <w:rPr/>
      </w:pPr>
      <w:r>
        <w:rPr/>
      </w:r>
    </w:p>
    <w:sectPr>
      <w:headerReference w:type="even" r:id="rId2"/>
      <w:headerReference w:type="default" r:id="rId3"/>
      <w:headerReference w:type="first" r:id="rId4"/>
      <w:type w:val="nextPage"/>
      <w:pgSz w:w="11906" w:h="16838"/>
      <w:pgMar w:left="1701" w:right="1134" w:gutter="0" w:header="567"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4</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w:t>
    </w:r>
    <w:r>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2"/>
  <w:defaultTabStop w:val="720"/>
  <w:autoHyphenation w:val="true"/>
  <w:hyphenationZone w:val="0"/>
  <w:evenAndOddHeaders/>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outlineLvl w:val="0"/>
    </w:pPr>
    <w:rPr/>
  </w:style>
  <w:style w:type="paragraph" w:styleId="Heading2">
    <w:name w:val="heading 2"/>
    <w:basedOn w:val="Normal"/>
    <w:next w:val="Normal"/>
    <w:qFormat/>
    <w:pPr>
      <w:keepNext w:val="true"/>
      <w:numPr>
        <w:ilvl w:val="1"/>
        <w:numId w:val="1"/>
      </w:numPr>
      <w:jc w:val="center"/>
      <w:outlineLvl w:val="1"/>
    </w:pPr>
    <w:rPr>
      <w:b/>
      <w:bCs/>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4z0">
    <w:name w:val="WW8Num4z0"/>
    <w:qFormat/>
    <w:rPr>
      <w:b w:val="false"/>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Times New Roman" w:hAnsi="Times New Roman" w:eastAsia="MS Mincho;ＭＳ 明朝"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Calibri" w:cs="Times New Roman"/>
      <w:b/>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Arial"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HeaderChar">
    <w:name w:val="Header Char"/>
    <w:qFormat/>
    <w:rPr>
      <w:sz w:val="28"/>
      <w:szCs w:val="28"/>
    </w:rPr>
  </w:style>
  <w:style w:type="character" w:styleId="FooterChar">
    <w:name w:val="Footer Char"/>
    <w:qFormat/>
    <w:rPr>
      <w:sz w:val="28"/>
      <w:szCs w:val="28"/>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1066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2019-06-12T16:40:00Z</dcterms:created>
  <dc:creator>WINXP_SP3</dc:creator>
  <dc:description/>
  <cp:keywords/>
  <dc:language>vi-VN</dc:language>
  <cp:lastModifiedBy>COMPUTER</cp:lastModifiedBy>
  <cp:lastPrinted>2026-01-28T15:06:00Z</cp:lastPrinted>
  <dcterms:modified xsi:type="dcterms:W3CDTF">2026-02-11T15:58:00Z</dcterms:modified>
  <cp:revision>392</cp:revision>
  <dc:subject/>
  <dc:title>SỞ Y TẾ PHÚ THỌ                       CỘNG HOÀ XÃ HỘI CHỦ NGHĨA VIỆT NAM    BỆNH VIỆN ĐA KHOA TỈNH                              Độc lập - Tự do - Hạnh phúc</dc:title>
</cp:coreProperties>
</file>