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echnical-specifications"/>
    <w:p>
      <w:pPr>
        <w:pStyle w:val="Heading1"/>
      </w:pPr>
      <w:r>
        <w:t xml:space="preserve">Technical Specifications</w:t>
      </w:r>
    </w:p>
    <w:bookmarkStart w:id="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Purchase Request (B1)</w:t>
      </w:r>
    </w:p>
    <w:p>
      <w:pPr>
        <w:pStyle w:val="Compact"/>
        <w:numPr>
          <w:ilvl w:val="0"/>
          <w:numId w:val="1001"/>
        </w:numPr>
      </w:pPr>
      <w:r>
        <w:t xml:space="preserve">Approval Decision 802/QĐ-BV (B2)</w:t>
      </w:r>
    </w:p>
    <w:bookmarkEnd w:id="9"/>
    <w:bookmarkStart w:id="12" w:name="technical-requirements"/>
    <w:p>
      <w:pPr>
        <w:pStyle w:val="Heading2"/>
      </w:pPr>
      <w:r>
        <w:t xml:space="preserve">Technical Requirements</w:t>
      </w:r>
    </w:p>
    <w:bookmarkStart w:id="10" w:name="reagent-kits"/>
    <w:p>
      <w:pPr>
        <w:pStyle w:val="Heading3"/>
      </w:pPr>
      <w:r>
        <w:t xml:space="preserve">Reagent kits</w:t>
      </w:r>
    </w:p>
    <w:p>
      <w:pPr>
        <w:pStyle w:val="Compact"/>
        <w:numPr>
          <w:ilvl w:val="0"/>
          <w:numId w:val="1002"/>
        </w:numPr>
      </w:pPr>
      <w:r>
        <w:t xml:space="preserve">Sensitivity: ≥95%</w:t>
      </w:r>
    </w:p>
    <w:p>
      <w:pPr>
        <w:pStyle w:val="Compact"/>
        <w:numPr>
          <w:ilvl w:val="0"/>
          <w:numId w:val="1002"/>
        </w:numPr>
      </w:pPr>
      <w:r>
        <w:t xml:space="preserve">Specificity: ≥90%</w:t>
      </w:r>
    </w:p>
    <w:p>
      <w:pPr>
        <w:pStyle w:val="Compact"/>
        <w:numPr>
          <w:ilvl w:val="0"/>
          <w:numId w:val="1002"/>
        </w:numPr>
      </w:pPr>
      <w:r>
        <w:t xml:space="preserve">Quantity: 100 tests (confirmed)</w:t>
      </w:r>
    </w:p>
    <w:bookmarkEnd w:id="10"/>
    <w:bookmarkStart w:id="11" w:name="pipettes"/>
    <w:p>
      <w:pPr>
        <w:pStyle w:val="Heading3"/>
      </w:pPr>
      <w:r>
        <w:t xml:space="preserve">Pipettes</w:t>
      </w:r>
    </w:p>
    <w:p>
      <w:pPr>
        <w:pStyle w:val="Compact"/>
        <w:numPr>
          <w:ilvl w:val="0"/>
          <w:numId w:val="1003"/>
        </w:numPr>
      </w:pPr>
      <w:r>
        <w:t xml:space="preserve">Volume range: 10-100 μL</w:t>
      </w:r>
    </w:p>
    <w:p>
      <w:pPr>
        <w:pStyle w:val="Compact"/>
        <w:numPr>
          <w:ilvl w:val="0"/>
          <w:numId w:val="1003"/>
        </w:numPr>
      </w:pPr>
      <w:r>
        <w:t xml:space="preserve">Accuracy: ±1%</w:t>
      </w:r>
    </w:p>
    <w:p>
      <w:pPr>
        <w:pStyle w:val="Compact"/>
        <w:numPr>
          <w:ilvl w:val="0"/>
          <w:numId w:val="1003"/>
        </w:numPr>
      </w:pPr>
      <w:r>
        <w:t xml:space="preserve">Quantity: 50 units (confirmed)</w:t>
      </w:r>
    </w:p>
    <w:bookmarkEnd w:id="11"/>
    <w:bookmarkEnd w:id="12"/>
    <w:bookmarkStart w:id="13" w:name="meeting-notes"/>
    <w:p>
      <w:pPr>
        <w:pStyle w:val="Heading2"/>
      </w:pPr>
      <w:r>
        <w:t xml:space="preserve">Meeting Notes</w:t>
      </w:r>
    </w:p>
    <w:p>
      <w:pPr>
        <w:pStyle w:val="FirstParagraph"/>
      </w:pPr>
      <w:r>
        <w:t xml:space="preserve">Technical council approved on 12/8/2026.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2026-08-12T02:24:12Z</dcterms:created>
  <dcterms:modified xsi:type="dcterms:W3CDTF">2026-08-12T02:24:12Z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