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tabs>
          <w:tab w:val="clear" w:pos="720"/>
          <w:tab w:val="left" w:pos="1276" w:leader="none"/>
        </w:tabs>
        <w:spacing w:before="240" w:after="60"/>
        <w:rPr>
          <w:sz w:val="26"/>
          <w:szCs w:val="26"/>
        </w:rPr>
      </w:pPr>
      <w:r>
        <w:rPr>
          <w:b w:val="false"/>
          <w:sz w:val="26"/>
          <w:szCs w:val="26"/>
        </w:rPr>
        <w:t>BỆNH VIỆN ĐK TỈNH PHÚ THỌ</w:t>
      </w:r>
      <w:r>
        <w:rPr>
          <w:sz w:val="26"/>
          <w:szCs w:val="26"/>
        </w:rPr>
        <w:t xml:space="preserve">    CỘNG HÒA XÃ HỘI CHỦ NGHĨA VIỆT NAM</w:t>
      </w:r>
    </w:p>
    <w:p>
      <w:pPr>
        <w:pStyle w:val="Normal"/>
        <w:rPr>
          <w:sz w:val="24"/>
          <w:szCs w:val="24"/>
        </w:rPr>
      </w:pPr>
      <w:r>
        <w:rPr>
          <w:b/>
          <w:sz w:val="24"/>
          <w:szCs w:val="24"/>
        </w:rPr>
        <w:t xml:space="preserve">           </w:t>
      </w:r>
      <w:r>
        <w:rPr>
          <w:b/>
          <w:sz w:val="24"/>
          <w:szCs w:val="24"/>
        </w:rPr>
        <w:t>KHOA VI SINH-TTXN                                       Độc lập - Tự do - Hạnh phúc</w:t>
      </w:r>
    </w:p>
    <w:p>
      <w:pPr>
        <w:pStyle w:val="Normal"/>
        <w:ind w:start="720" w:end="0"/>
        <w:jc w:val="end"/>
        <w:rPr/>
      </w:pPr>
      <w:r>
        <w:rPr>
          <w:sz w:val="24"/>
          <w:szCs w:val="24"/>
          <w:lang w:val="vi-VN" w:eastAsia="vi-VN"/>
        </w:rPr>
        <mc:AlternateContent>
          <mc:Choice Requires="wps">
            <w:drawing>
              <wp:anchor distT="0" distB="0" distL="114935" distR="114935" simplePos="0" relativeHeight="2" behindDoc="0" locked="0" layoutInCell="1" allowOverlap="1">
                <wp:simplePos x="0" y="0"/>
                <wp:positionH relativeFrom="column">
                  <wp:posOffset>789940</wp:posOffset>
                </wp:positionH>
                <wp:positionV relativeFrom="paragraph">
                  <wp:posOffset>24765</wp:posOffset>
                </wp:positionV>
                <wp:extent cx="795655" cy="1270"/>
                <wp:effectExtent l="635" t="5080" r="635" b="5080"/>
                <wp:wrapNone/>
                <wp:docPr id="1" name=""/>
                <a:graphic xmlns:a="http://schemas.openxmlformats.org/drawingml/2006/main">
                  <a:graphicData uri="http://schemas.microsoft.com/office/word/2010/wordprocessingShape">
                    <wps:wsp>
                      <wps:cNvCnPr/>
                      <wps:spPr>
                        <a:xfrm>
                          <a:off x="0" y="0"/>
                          <a:ext cx="79596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62.2pt;margin-top:1.95pt;width:62.6pt;height:0.05pt"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3" behindDoc="0" locked="0" layoutInCell="1" allowOverlap="1">
                <wp:simplePos x="0" y="0"/>
                <wp:positionH relativeFrom="column">
                  <wp:posOffset>3562985</wp:posOffset>
                </wp:positionH>
                <wp:positionV relativeFrom="paragraph">
                  <wp:posOffset>24765</wp:posOffset>
                </wp:positionV>
                <wp:extent cx="1728470" cy="1270"/>
                <wp:effectExtent l="635" t="5080" r="635" b="5080"/>
                <wp:wrapNone/>
                <wp:docPr id="2" name=""/>
                <a:graphic xmlns:a="http://schemas.openxmlformats.org/drawingml/2006/main">
                  <a:graphicData uri="http://schemas.microsoft.com/office/word/2010/wordprocessingShape">
                    <wps:wsp>
                      <wps:cNvCnPr/>
                      <wps:spPr>
                        <a:xfrm>
                          <a:off x="0" y="0"/>
                          <a:ext cx="172872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80.55pt;margin-top:1.95pt;width:136.05pt;height:0.05pt" type="_x0000_t32">
                <v:stroke color="black" weight="9360" joinstyle="miter" endcap="flat"/>
                <v:fill o:detectmouseclick="t" on="false"/>
                <w10:wrap type="none"/>
              </v:shape>
            </w:pict>
          </mc:Fallback>
        </mc:AlternateContent>
      </w:r>
    </w:p>
    <w:p>
      <w:pPr>
        <w:pStyle w:val="Normal"/>
        <w:ind w:start="720" w:end="0"/>
        <w:rPr>
          <w:i/>
        </w:rPr>
      </w:pPr>
      <w:r>
        <w:rPr/>
        <w:t xml:space="preserve">                                                             </w:t>
      </w:r>
      <w:r>
        <w:rPr>
          <w:i/>
        </w:rPr>
        <w:t>Phú Thọ, ngày</w:t>
      </w:r>
      <w:r>
        <w:rPr>
          <w:i/>
          <w:lang w:val="vi-VN"/>
        </w:rPr>
        <w:t xml:space="preserve"> 01 </w:t>
      </w:r>
      <w:r>
        <w:rPr>
          <w:i/>
        </w:rPr>
        <w:t>tháng</w:t>
      </w:r>
      <w:r>
        <w:rPr>
          <w:i/>
          <w:lang w:val="vi-VN"/>
        </w:rPr>
        <w:t xml:space="preserve"> 02 </w:t>
      </w:r>
      <w:r>
        <w:rPr>
          <w:i/>
        </w:rPr>
        <w:t>năm 2027</w:t>
      </w:r>
    </w:p>
    <w:p>
      <w:pPr>
        <w:pStyle w:val="Normal"/>
        <w:keepNext w:val="true"/>
        <w:numPr>
          <w:ilvl w:val="0"/>
          <w:numId w:val="0"/>
        </w:numPr>
        <w:spacing w:before="120" w:after="120"/>
        <w:outlineLvl w:val="0"/>
        <w:rPr>
          <w:b/>
          <w:bCs/>
          <w:sz w:val="26"/>
          <w:szCs w:val="26"/>
        </w:rPr>
      </w:pPr>
      <w:r>
        <w:rPr>
          <w:b/>
          <w:bCs/>
          <w:i/>
          <w:sz w:val="26"/>
          <w:szCs w:val="26"/>
        </w:rPr>
      </w:r>
    </w:p>
    <w:p>
      <w:pPr>
        <w:pStyle w:val="Normal"/>
        <w:keepNext w:val="true"/>
        <w:numPr>
          <w:ilvl w:val="0"/>
          <w:numId w:val="0"/>
        </w:numPr>
        <w:spacing w:before="120" w:after="120"/>
        <w:ind w:start="720" w:end="0"/>
        <w:jc w:val="center"/>
        <w:outlineLvl w:val="0"/>
        <w:rPr>
          <w:b/>
          <w:bCs/>
        </w:rPr>
      </w:pPr>
      <w:r>
        <w:rPr>
          <w:b/>
          <w:bCs/>
          <w:sz w:val="26"/>
          <w:szCs w:val="26"/>
        </w:rPr>
        <w:t xml:space="preserve"> </w:t>
      </w:r>
      <w:r>
        <w:rPr>
          <w:b/>
          <w:bCs/>
        </w:rPr>
        <w:t>ĐỀ XUẤT</w:t>
      </w:r>
    </w:p>
    <w:p>
      <w:pPr>
        <w:pStyle w:val="Normal"/>
        <w:keepNext w:val="true"/>
        <w:numPr>
          <w:ilvl w:val="0"/>
          <w:numId w:val="0"/>
        </w:numPr>
        <w:spacing w:before="120" w:after="120"/>
        <w:ind w:hanging="294" w:start="720" w:end="0"/>
        <w:jc w:val="center"/>
        <w:outlineLvl w:val="0"/>
        <w:rPr>
          <w:b/>
          <w:bCs/>
          <w:sz w:val="26"/>
          <w:szCs w:val="26"/>
        </w:rPr>
      </w:pPr>
      <w:r>
        <w:rPr>
          <w:b/>
          <w:bCs/>
          <w:sz w:val="26"/>
          <w:szCs w:val="26"/>
        </w:rPr>
        <w:t xml:space="preserve"> </w:t>
      </w:r>
      <w:r>
        <w:rPr>
          <w:b/>
          <w:bCs/>
          <w:sz w:val="26"/>
          <w:szCs w:val="26"/>
        </w:rPr>
        <w:t>MUA SẮM VẬT TƯ HÓA CHẤT TIÊU HAO PHỤC VỤ KHÁM CHỮA BỆNH</w:t>
      </w:r>
    </w:p>
    <w:p>
      <w:pPr>
        <w:pStyle w:val="Normal"/>
        <w:spacing w:before="240" w:after="240"/>
        <w:ind w:firstLine="981" w:start="720" w:end="0"/>
        <w:jc w:val="both"/>
        <w:rPr/>
      </w:pPr>
      <w:r>
        <w:rPr/>
        <w:t>Kính gửi: Giám đốc Bệnh viện đa khoa tỉnh Phú Thọ</w:t>
      </w:r>
    </w:p>
    <w:p>
      <w:pPr>
        <w:pStyle w:val="Normal"/>
        <w:spacing w:lineRule="exact" w:line="360" w:before="120" w:after="120"/>
        <w:ind w:firstLine="720" w:start="284" w:end="0"/>
        <w:jc w:val="both"/>
        <w:rPr/>
      </w:pPr>
      <w:r>
        <w:rPr/>
        <w:t>Căn cứ tình hình thực tế tại Bệnh viện đa khoa tỉnh Phú Thọ và về việc mua sắm thiết bị y tế, vật tư, hóa chất xét nghiệm phục vụ công tác chuyên môn, đáp ứng kịp thời nhu cầu người bệnh đến khám và điều trị tại Bệnh viện.</w:t>
      </w:r>
    </w:p>
    <w:p>
      <w:pPr>
        <w:pStyle w:val="Normal"/>
        <w:spacing w:lineRule="exact" w:line="360" w:before="120" w:after="120"/>
        <w:ind w:firstLine="709" w:start="284" w:end="0"/>
        <w:jc w:val="both"/>
        <w:rPr/>
      </w:pPr>
      <w:r>
        <w:rPr/>
        <w:t>Căn cứ vào năng lực của Khoa Vi sinh Trong thời gian chờ thầu tập trung năm 2025-2027 triển khai khoa Vi sinh đề nghị Giám đốc phê duyệt cho mua sắm bổ sung thiết bị y tế, vật tư, hóa chất xét nghiệm</w:t>
      </w:r>
      <w:r>
        <w:rPr>
          <w:lang w:val="sv-SE"/>
        </w:rPr>
        <w:t xml:space="preserve"> phục vụ khám chữa bệnh</w:t>
      </w:r>
      <w:r>
        <w:rPr/>
        <w:t>, cụ thể như sau:</w:t>
      </w:r>
    </w:p>
    <w:tbl>
      <w:tblPr>
        <w:tblW w:w="9490" w:type="dxa"/>
        <w:jc w:val="center"/>
        <w:tblInd w:w="0" w:type="dxa"/>
        <w:tblLayout w:type="fixed"/>
        <w:tblCellMar>
          <w:top w:w="0" w:type="dxa"/>
          <w:start w:w="108" w:type="dxa"/>
          <w:bottom w:w="0" w:type="dxa"/>
          <w:end w:w="108" w:type="dxa"/>
        </w:tblCellMar>
      </w:tblPr>
      <w:tblGrid>
        <w:gridCol w:w="709"/>
        <w:gridCol w:w="1556"/>
        <w:gridCol w:w="4531"/>
        <w:gridCol w:w="851"/>
        <w:gridCol w:w="850"/>
        <w:gridCol w:w="993"/>
      </w:tblGrid>
      <w:tr>
        <w:trPr>
          <w:trHeight w:val="439"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before="40" w:after="60"/>
              <w:jc w:val="center"/>
              <w:rPr>
                <w:b/>
                <w:sz w:val="26"/>
                <w:szCs w:val="26"/>
              </w:rPr>
            </w:pPr>
            <w:r>
              <w:rPr>
                <w:b/>
                <w:sz w:val="26"/>
                <w:szCs w:val="26"/>
              </w:rPr>
              <w:t>TT</w:t>
            </w:r>
          </w:p>
        </w:tc>
        <w:tc>
          <w:tcPr>
            <w:tcW w:w="155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before="40" w:after="60"/>
              <w:jc w:val="center"/>
              <w:rPr>
                <w:b/>
                <w:sz w:val="26"/>
                <w:szCs w:val="26"/>
              </w:rPr>
            </w:pPr>
            <w:r>
              <w:rPr>
                <w:b/>
                <w:sz w:val="26"/>
                <w:szCs w:val="26"/>
              </w:rPr>
              <w:t>Tên vật tư y tế</w:t>
            </w:r>
          </w:p>
        </w:tc>
        <w:tc>
          <w:tcPr>
            <w:tcW w:w="4531" w:type="dxa"/>
            <w:tcBorders>
              <w:top w:val="single" w:sz="4" w:space="0" w:color="000000"/>
              <w:start w:val="single" w:sz="4" w:space="0" w:color="000000"/>
              <w:bottom w:val="single" w:sz="4" w:space="0" w:color="000000"/>
              <w:end w:val="single" w:sz="4" w:space="0" w:color="000000"/>
            </w:tcBorders>
          </w:tcPr>
          <w:p>
            <w:pPr>
              <w:pStyle w:val="Normal"/>
              <w:spacing w:lineRule="exact" w:line="360" w:before="40" w:after="60"/>
              <w:jc w:val="center"/>
              <w:rPr>
                <w:b/>
                <w:sz w:val="26"/>
                <w:szCs w:val="26"/>
              </w:rPr>
            </w:pPr>
            <w:r>
              <w:rPr>
                <w:b/>
                <w:sz w:val="26"/>
                <w:szCs w:val="26"/>
              </w:rPr>
              <w:t>Tiêu chí KT</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before="40" w:after="60"/>
              <w:jc w:val="center"/>
              <w:rPr>
                <w:b/>
                <w:sz w:val="26"/>
                <w:szCs w:val="26"/>
              </w:rPr>
            </w:pPr>
            <w:r>
              <w:rPr>
                <w:b/>
                <w:sz w:val="26"/>
                <w:szCs w:val="26"/>
              </w:rPr>
              <w:t>Quy cách</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before="40" w:after="60"/>
              <w:jc w:val="center"/>
              <w:rPr>
                <w:b/>
                <w:sz w:val="26"/>
                <w:szCs w:val="26"/>
              </w:rPr>
            </w:pPr>
            <w:r>
              <w:rPr>
                <w:b/>
                <w:sz w:val="26"/>
                <w:szCs w:val="26"/>
              </w:rPr>
              <w:t>ĐVT</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before="40" w:after="60"/>
              <w:jc w:val="center"/>
              <w:rPr>
                <w:b/>
                <w:sz w:val="26"/>
                <w:szCs w:val="26"/>
              </w:rPr>
            </w:pPr>
            <w:r>
              <w:rPr>
                <w:b/>
                <w:sz w:val="26"/>
                <w:szCs w:val="26"/>
              </w:rPr>
              <w:t>Số lượng</w:t>
            </w:r>
          </w:p>
        </w:tc>
      </w:tr>
      <w:tr>
        <w:trPr>
          <w:trHeight w:val="3156"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rPr>
            </w:pPr>
            <w:r>
              <w:rPr>
                <w:color w:val="000000"/>
                <w:sz w:val="26"/>
                <w:szCs w:val="26"/>
              </w:rPr>
              <w:t>1</w:t>
            </w:r>
          </w:p>
        </w:tc>
        <w:tc>
          <w:tcPr>
            <w:tcW w:w="1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s="Arial"/>
                <w:sz w:val="26"/>
                <w:szCs w:val="26"/>
              </w:rPr>
            </w:pPr>
            <w:r>
              <w:rPr>
                <w:color w:val="000000"/>
                <w:sz w:val="26"/>
                <w:szCs w:val="26"/>
              </w:rPr>
              <w:t xml:space="preserve">Bộ xét nghiệm định lượng virus Viêm gan </w:t>
            </w:r>
            <w:r>
              <w:rPr>
                <w:color w:val="000000"/>
                <w:sz w:val="26"/>
                <w:szCs w:val="26"/>
                <w:lang w:val="vi-VN"/>
              </w:rPr>
              <w:t>B</w:t>
            </w:r>
          </w:p>
        </w:tc>
        <w:tc>
          <w:tcPr>
            <w:tcW w:w="4531" w:type="dxa"/>
            <w:tcBorders>
              <w:top w:val="single" w:sz="4" w:space="0" w:color="000000"/>
              <w:start w:val="single" w:sz="4" w:space="0" w:color="000000"/>
              <w:bottom w:val="single" w:sz="4" w:space="0" w:color="000000"/>
              <w:end w:val="single" w:sz="4" w:space="0" w:color="000000"/>
            </w:tcBorders>
          </w:tcPr>
          <w:p>
            <w:pPr>
              <w:pStyle w:val="Normal"/>
              <w:spacing w:lineRule="auto" w:line="276"/>
              <w:rPr>
                <w:sz w:val="26"/>
                <w:szCs w:val="26"/>
              </w:rPr>
            </w:pPr>
            <w:r>
              <w:rPr>
                <w:sz w:val="26"/>
                <w:szCs w:val="26"/>
              </w:rPr>
              <w:t xml:space="preserve">* Để phát hiện và định lượng DNA của Vi-rút Viêm gan B (HBV) được tách chiết từ các mẫu bệnh phẩm.  </w:t>
            </w:r>
          </w:p>
          <w:p>
            <w:pPr>
              <w:pStyle w:val="Normal"/>
              <w:spacing w:lineRule="auto" w:line="276"/>
              <w:rPr>
                <w:sz w:val="26"/>
                <w:szCs w:val="26"/>
              </w:rPr>
            </w:pPr>
            <w:r>
              <w:rPr>
                <w:sz w:val="26"/>
                <w:szCs w:val="26"/>
              </w:rPr>
              <w:t xml:space="preserve">* Thành phần: </w:t>
            </w:r>
          </w:p>
          <w:p>
            <w:pPr>
              <w:pStyle w:val="Normal"/>
              <w:spacing w:lineRule="auto" w:line="276"/>
              <w:rPr>
                <w:sz w:val="26"/>
                <w:szCs w:val="26"/>
              </w:rPr>
            </w:pPr>
            <w:r>
              <w:rPr>
                <w:sz w:val="26"/>
                <w:szCs w:val="26"/>
              </w:rPr>
              <w:t xml:space="preserve">Hoá chất phản ứng (HBV Mix) </w:t>
            </w:r>
          </w:p>
          <w:p>
            <w:pPr>
              <w:pStyle w:val="Normal"/>
              <w:spacing w:lineRule="auto" w:line="276"/>
              <w:rPr>
                <w:sz w:val="26"/>
                <w:szCs w:val="26"/>
              </w:rPr>
            </w:pPr>
            <w:r>
              <w:rPr>
                <w:sz w:val="26"/>
                <w:szCs w:val="26"/>
              </w:rPr>
              <w:t xml:space="preserve">Thang chuẩn (HBV Standard) </w:t>
            </w:r>
          </w:p>
          <w:p>
            <w:pPr>
              <w:pStyle w:val="Normal"/>
              <w:spacing w:lineRule="auto" w:line="276"/>
              <w:rPr>
                <w:sz w:val="26"/>
                <w:szCs w:val="26"/>
              </w:rPr>
            </w:pPr>
            <w:r>
              <w:rPr>
                <w:sz w:val="26"/>
                <w:szCs w:val="26"/>
              </w:rPr>
              <w:t>Chứng dương (HBV Positive Control)</w:t>
            </w:r>
          </w:p>
          <w:p>
            <w:pPr>
              <w:pStyle w:val="Normal"/>
              <w:spacing w:lineRule="auto" w:line="276"/>
              <w:rPr>
                <w:sz w:val="26"/>
                <w:szCs w:val="26"/>
              </w:rPr>
            </w:pPr>
            <w:r>
              <w:rPr>
                <w:sz w:val="26"/>
                <w:szCs w:val="26"/>
              </w:rPr>
              <w:t>Chứng âm (HBV Internal Control)</w:t>
            </w:r>
          </w:p>
          <w:p>
            <w:pPr>
              <w:pStyle w:val="Normal"/>
              <w:spacing w:lineRule="auto" w:line="276"/>
              <w:rPr>
                <w:sz w:val="26"/>
                <w:szCs w:val="26"/>
              </w:rPr>
            </w:pPr>
            <w:r>
              <w:rPr>
                <w:sz w:val="26"/>
                <w:szCs w:val="26"/>
              </w:rPr>
              <w:t xml:space="preserve">* Ngưỡng phát hiện (LoD): 9 IU/mL (38 copies/mL) mẫu huyết thanh, huyết tương </w:t>
            </w:r>
          </w:p>
          <w:p>
            <w:pPr>
              <w:pStyle w:val="Normal"/>
              <w:spacing w:lineRule="auto" w:line="276"/>
              <w:rPr>
                <w:sz w:val="26"/>
                <w:szCs w:val="26"/>
              </w:rPr>
            </w:pPr>
            <w:r>
              <w:rPr>
                <w:sz w:val="26"/>
                <w:szCs w:val="26"/>
              </w:rPr>
              <w:t>* Độ đặc hiệu: 97.6%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96 test/ Hộp</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rPr>
            </w:pPr>
            <w:r>
              <w:rPr>
                <w:color w:val="000000"/>
                <w:sz w:val="26"/>
                <w:szCs w:val="26"/>
              </w:rPr>
              <w:t>Test</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rPr>
            </w:pPr>
            <w:r>
              <w:rPr>
                <w:color w:val="000000"/>
                <w:sz w:val="26"/>
                <w:szCs w:val="26"/>
              </w:rPr>
              <w:t>4.320</w:t>
            </w:r>
          </w:p>
        </w:tc>
      </w:tr>
      <w:tr>
        <w:trPr>
          <w:trHeight w:val="2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rPr>
            </w:pPr>
            <w:r>
              <w:rPr>
                <w:color w:val="000000"/>
                <w:sz w:val="26"/>
                <w:szCs w:val="26"/>
              </w:rPr>
              <w:t>2</w:t>
            </w:r>
          </w:p>
        </w:tc>
        <w:tc>
          <w:tcPr>
            <w:tcW w:w="1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s="Arial"/>
                <w:sz w:val="26"/>
                <w:szCs w:val="26"/>
              </w:rPr>
            </w:pPr>
            <w:r>
              <w:rPr>
                <w:color w:val="000000"/>
                <w:sz w:val="26"/>
                <w:szCs w:val="26"/>
              </w:rPr>
              <w:t>Bộ xét nghiệm định lượng virus Viêm gan C</w:t>
            </w:r>
          </w:p>
        </w:tc>
        <w:tc>
          <w:tcPr>
            <w:tcW w:w="4531" w:type="dxa"/>
            <w:tcBorders>
              <w:top w:val="single" w:sz="4" w:space="0" w:color="000000"/>
              <w:start w:val="single" w:sz="4" w:space="0" w:color="000000"/>
              <w:bottom w:val="single" w:sz="4" w:space="0" w:color="000000"/>
              <w:end w:val="single" w:sz="4" w:space="0" w:color="000000"/>
            </w:tcBorders>
          </w:tcPr>
          <w:p>
            <w:pPr>
              <w:pStyle w:val="Normal"/>
              <w:spacing w:lineRule="auto" w:line="276"/>
              <w:rPr>
                <w:sz w:val="26"/>
                <w:szCs w:val="26"/>
              </w:rPr>
            </w:pPr>
            <w:r>
              <w:rPr>
                <w:sz w:val="26"/>
                <w:szCs w:val="26"/>
              </w:rPr>
              <w:t xml:space="preserve">* Xét nghiệm phiên mã ngược axit nucleic và khuếch đại định lượng để phát hiện và định lượng RNA của vi rút viêm gan C </w:t>
            </w:r>
          </w:p>
          <w:p>
            <w:pPr>
              <w:pStyle w:val="Normal"/>
              <w:spacing w:lineRule="auto" w:line="276"/>
              <w:rPr>
                <w:sz w:val="26"/>
                <w:szCs w:val="26"/>
              </w:rPr>
            </w:pPr>
            <w:r>
              <w:rPr>
                <w:sz w:val="26"/>
                <w:szCs w:val="26"/>
              </w:rPr>
              <w:t xml:space="preserve">* Thành phần: </w:t>
            </w:r>
          </w:p>
          <w:p>
            <w:pPr>
              <w:pStyle w:val="Normal"/>
              <w:spacing w:lineRule="auto" w:line="276"/>
              <w:rPr>
                <w:sz w:val="26"/>
                <w:szCs w:val="26"/>
              </w:rPr>
            </w:pPr>
            <w:r>
              <w:rPr>
                <w:sz w:val="26"/>
                <w:szCs w:val="26"/>
              </w:rPr>
              <w:t>Hoá chất phản ứng (HCV Mix)</w:t>
            </w:r>
          </w:p>
          <w:p>
            <w:pPr>
              <w:pStyle w:val="Normal"/>
              <w:spacing w:lineRule="auto" w:line="276"/>
              <w:rPr>
                <w:sz w:val="26"/>
                <w:szCs w:val="26"/>
              </w:rPr>
            </w:pPr>
            <w:r>
              <w:rPr>
                <w:sz w:val="26"/>
                <w:szCs w:val="26"/>
              </w:rPr>
              <w:t>Thang chuẩn định lượng (HCV Standard)</w:t>
            </w:r>
          </w:p>
          <w:p>
            <w:pPr>
              <w:pStyle w:val="Normal"/>
              <w:spacing w:lineRule="auto" w:line="276"/>
              <w:rPr>
                <w:sz w:val="26"/>
                <w:szCs w:val="26"/>
              </w:rPr>
            </w:pPr>
            <w:r>
              <w:rPr>
                <w:sz w:val="26"/>
                <w:szCs w:val="26"/>
              </w:rPr>
              <w:t>Chứng dương (HCV Positive Control)</w:t>
            </w:r>
          </w:p>
          <w:p>
            <w:pPr>
              <w:pStyle w:val="Normal"/>
              <w:spacing w:lineRule="auto" w:line="276"/>
              <w:rPr>
                <w:sz w:val="26"/>
                <w:szCs w:val="26"/>
              </w:rPr>
            </w:pPr>
            <w:r>
              <w:rPr>
                <w:sz w:val="26"/>
                <w:szCs w:val="26"/>
              </w:rPr>
              <w:t>Chứng âm (HCV Internal Control).</w:t>
            </w:r>
          </w:p>
          <w:p>
            <w:pPr>
              <w:pStyle w:val="Normal"/>
              <w:spacing w:lineRule="auto" w:line="276"/>
              <w:rPr>
                <w:sz w:val="26"/>
                <w:szCs w:val="26"/>
              </w:rPr>
            </w:pPr>
            <w:r>
              <w:rPr>
                <w:sz w:val="26"/>
                <w:szCs w:val="26"/>
              </w:rPr>
              <w:t>* Ngưỡng phát hiện (LoD): 26 IU/mL (11 copies/mL) mẫu huyết thanh, huyết tương</w:t>
            </w:r>
          </w:p>
          <w:p>
            <w:pPr>
              <w:pStyle w:val="Normal"/>
              <w:spacing w:lineRule="auto" w:line="276"/>
              <w:rPr>
                <w:sz w:val="26"/>
                <w:szCs w:val="26"/>
              </w:rPr>
            </w:pPr>
            <w:r>
              <w:rPr>
                <w:sz w:val="26"/>
                <w:szCs w:val="26"/>
              </w:rPr>
              <w:t>* Độ đặc hiệu: 100 %</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96 test/ Hộp</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rPr>
            </w:pPr>
            <w:r>
              <w:rPr>
                <w:color w:val="000000"/>
                <w:sz w:val="26"/>
                <w:szCs w:val="26"/>
              </w:rPr>
              <w:t>Test</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rPr>
            </w:pPr>
            <w:r>
              <w:rPr>
                <w:color w:val="000000"/>
                <w:sz w:val="26"/>
                <w:szCs w:val="26"/>
              </w:rPr>
              <w:t>960</w:t>
            </w:r>
          </w:p>
        </w:tc>
      </w:tr>
      <w:tr>
        <w:trPr>
          <w:trHeight w:val="352" w:hRule="atLeast"/>
        </w:trPr>
        <w:tc>
          <w:tcPr>
            <w:tcW w:w="9490" w:type="dxa"/>
            <w:gridSpan w:val="6"/>
            <w:tcBorders>
              <w:top w:val="single" w:sz="4" w:space="0" w:color="000000"/>
              <w:start w:val="single" w:sz="4" w:space="0" w:color="000000"/>
              <w:bottom w:val="single" w:sz="4" w:space="0" w:color="000000"/>
              <w:end w:val="single" w:sz="4" w:space="0" w:color="000000"/>
            </w:tcBorders>
            <w:vAlign w:val="center"/>
          </w:tcPr>
          <w:p>
            <w:pPr>
              <w:pStyle w:val="Normal"/>
              <w:rPr>
                <w:b/>
                <w:i/>
                <w:sz w:val="26"/>
                <w:szCs w:val="26"/>
              </w:rPr>
            </w:pPr>
            <w:r>
              <w:rPr>
                <w:b/>
                <w:i/>
                <w:sz w:val="26"/>
                <w:szCs w:val="26"/>
              </w:rPr>
              <w:t>Tổng: 02 khoản</w:t>
            </w:r>
          </w:p>
        </w:tc>
      </w:tr>
    </w:tbl>
    <w:p>
      <w:pPr>
        <w:pStyle w:val="Normal"/>
        <w:spacing w:lineRule="exact" w:line="360" w:before="120" w:after="120"/>
        <w:jc w:val="both"/>
        <w:rPr>
          <w:lang w:val="vi-VN"/>
        </w:rPr>
      </w:pPr>
      <w:r>
        <w:rPr>
          <w:lang w:val="vi-VN"/>
        </w:rPr>
        <w:t xml:space="preserve">     </w:t>
      </w:r>
      <w:r>
        <w:rPr>
          <w:lang w:val="vi-VN"/>
        </w:rPr>
        <w:t xml:space="preserve">Lý do: Kết quả mua sắm tập trung đợt 1 theo quyết định số 449/QĐ-UBND ngày 06/3/2023 và gói thầu đợt 2 theo quyết định số 1887/QĐ-UBND ngày 07/9/2023 các danh mục mặt hàng trên đã hết thầu, không có các hàng hóa tương tự trúng thầu. Hiện nay các xét nghiệm đo tải lượng HBV, HCV khoa Vi sinh ngoài thực hiện cho các khoa trong bệnh viện còn chạy mẫu cho các bệnh viện khác trong toàn tỉnh. Dự kiến số lượng thầu trên sẽ sử dụng trong khoảng 8 tháng, trong thời gian chờ thầu mới. Khoa Vi sinh kính đề nghị Giám đốc xem xét giải quyết.         </w:t>
      </w:r>
    </w:p>
    <w:tbl>
      <w:tblPr>
        <w:tblW w:w="10410" w:type="dxa"/>
        <w:jc w:val="start"/>
        <w:tblInd w:w="-318" w:type="dxa"/>
        <w:tblLayout w:type="fixed"/>
        <w:tblCellMar>
          <w:top w:w="0" w:type="dxa"/>
          <w:start w:w="108" w:type="dxa"/>
          <w:bottom w:w="0" w:type="dxa"/>
          <w:end w:w="108" w:type="dxa"/>
        </w:tblCellMar>
      </w:tblPr>
      <w:tblGrid>
        <w:gridCol w:w="2694"/>
        <w:gridCol w:w="2552"/>
        <w:gridCol w:w="2410"/>
        <w:gridCol w:w="2754"/>
      </w:tblGrid>
      <w:tr>
        <w:trPr>
          <w:trHeight w:val="2271" w:hRule="atLeast"/>
        </w:trPr>
        <w:tc>
          <w:tcPr>
            <w:tcW w:w="2694" w:type="dxa"/>
            <w:tcBorders/>
          </w:tcPr>
          <w:p>
            <w:pPr>
              <w:pStyle w:val="Normal"/>
              <w:spacing w:before="120" w:after="0"/>
              <w:jc w:val="center"/>
              <w:rPr>
                <w:b/>
                <w:sz w:val="26"/>
                <w:szCs w:val="26"/>
              </w:rPr>
            </w:pPr>
            <w:r>
              <w:rPr>
                <w:b/>
                <w:sz w:val="26"/>
                <w:szCs w:val="26"/>
              </w:rPr>
              <w:t>Khoa XN Vi sinh</w:t>
            </w:r>
          </w:p>
        </w:tc>
        <w:tc>
          <w:tcPr>
            <w:tcW w:w="2552" w:type="dxa"/>
            <w:tcBorders/>
          </w:tcPr>
          <w:p>
            <w:pPr>
              <w:pStyle w:val="Normal"/>
              <w:spacing w:lineRule="exact" w:line="400" w:before="0" w:after="60"/>
              <w:ind w:start="-283" w:end="0"/>
              <w:jc w:val="center"/>
              <w:rPr>
                <w:b/>
                <w:sz w:val="26"/>
                <w:szCs w:val="26"/>
              </w:rPr>
            </w:pPr>
            <w:r>
              <w:rPr>
                <w:b/>
                <w:sz w:val="26"/>
                <w:szCs w:val="26"/>
              </w:rPr>
              <w:t>TP Vật tư-TBYT</w:t>
            </w:r>
          </w:p>
        </w:tc>
        <w:tc>
          <w:tcPr>
            <w:tcW w:w="2410" w:type="dxa"/>
            <w:tcBorders/>
          </w:tcPr>
          <w:p>
            <w:pPr>
              <w:pStyle w:val="Normal"/>
              <w:spacing w:lineRule="exact" w:line="400" w:before="0" w:after="60"/>
              <w:ind w:start="-283" w:end="0"/>
              <w:jc w:val="center"/>
              <w:rPr>
                <w:b/>
                <w:sz w:val="26"/>
                <w:szCs w:val="26"/>
              </w:rPr>
            </w:pPr>
            <w:r>
              <w:rPr>
                <w:b/>
                <w:sz w:val="26"/>
                <w:szCs w:val="26"/>
              </w:rPr>
              <w:t>Chủ tịch HĐKH</w:t>
            </w:r>
          </w:p>
        </w:tc>
        <w:tc>
          <w:tcPr>
            <w:tcW w:w="2754" w:type="dxa"/>
            <w:tcBorders/>
          </w:tcPr>
          <w:p>
            <w:pPr>
              <w:pStyle w:val="Normal"/>
              <w:spacing w:lineRule="exact" w:line="400" w:before="0" w:after="60"/>
              <w:ind w:start="-283" w:end="0"/>
              <w:jc w:val="center"/>
              <w:rPr>
                <w:b/>
                <w:sz w:val="26"/>
                <w:szCs w:val="26"/>
              </w:rPr>
            </w:pPr>
            <w:r>
              <w:rPr>
                <w:b/>
                <w:sz w:val="26"/>
                <w:szCs w:val="26"/>
              </w:rPr>
              <w:t>Giám đốc</w:t>
            </w:r>
          </w:p>
          <w:p>
            <w:pPr>
              <w:pStyle w:val="Normal"/>
              <w:ind w:start="-283" w:end="0"/>
              <w:jc w:val="center"/>
              <w:rPr>
                <w:sz w:val="26"/>
                <w:szCs w:val="26"/>
              </w:rPr>
            </w:pPr>
            <w:r>
              <w:rPr>
                <w:b/>
                <w:sz w:val="26"/>
                <w:szCs w:val="26"/>
              </w:rPr>
            </w:r>
          </w:p>
          <w:p>
            <w:pPr>
              <w:pStyle w:val="Normal"/>
              <w:ind w:start="-283" w:end="0"/>
              <w:jc w:val="center"/>
              <w:rPr>
                <w:sz w:val="26"/>
                <w:szCs w:val="26"/>
              </w:rPr>
            </w:pPr>
            <w:r>
              <w:rPr>
                <w:sz w:val="26"/>
                <w:szCs w:val="26"/>
              </w:rPr>
            </w:r>
          </w:p>
          <w:p>
            <w:pPr>
              <w:pStyle w:val="Normal"/>
              <w:ind w:start="-283" w:end="0"/>
              <w:jc w:val="center"/>
              <w:rPr>
                <w:sz w:val="26"/>
                <w:szCs w:val="26"/>
              </w:rPr>
            </w:pPr>
            <w:r>
              <w:rPr>
                <w:sz w:val="26"/>
                <w:szCs w:val="26"/>
              </w:rPr>
            </w:r>
          </w:p>
        </w:tc>
      </w:tr>
      <w:tr>
        <w:trPr>
          <w:trHeight w:val="282" w:hRule="atLeast"/>
        </w:trPr>
        <w:tc>
          <w:tcPr>
            <w:tcW w:w="2694" w:type="dxa"/>
            <w:tcBorders/>
            <w:vAlign w:val="center"/>
          </w:tcPr>
          <w:p>
            <w:pPr>
              <w:pStyle w:val="Normal"/>
              <w:spacing w:lineRule="exact" w:line="400" w:before="0" w:after="60"/>
              <w:ind w:start="-283" w:end="0"/>
              <w:jc w:val="center"/>
              <w:rPr>
                <w:b/>
                <w:sz w:val="26"/>
                <w:szCs w:val="26"/>
                <w:lang w:val="vi-VN"/>
              </w:rPr>
            </w:pPr>
            <w:r>
              <w:rPr>
                <w:b/>
                <w:sz w:val="26"/>
                <w:szCs w:val="26"/>
                <w:lang w:val="vi-VN"/>
              </w:rPr>
              <w:t>Nguyễn Thị Thủy</w:t>
            </w:r>
          </w:p>
        </w:tc>
        <w:tc>
          <w:tcPr>
            <w:tcW w:w="2552" w:type="dxa"/>
            <w:tcBorders/>
            <w:vAlign w:val="center"/>
          </w:tcPr>
          <w:p>
            <w:pPr>
              <w:pStyle w:val="Normal"/>
              <w:spacing w:lineRule="exact" w:line="400" w:before="0" w:after="60"/>
              <w:ind w:start="-283" w:end="0"/>
              <w:jc w:val="center"/>
              <w:rPr>
                <w:b/>
                <w:sz w:val="26"/>
                <w:szCs w:val="26"/>
                <w:lang w:val="vi-VN"/>
              </w:rPr>
            </w:pPr>
            <w:r>
              <w:rPr>
                <w:b/>
                <w:sz w:val="26"/>
                <w:szCs w:val="26"/>
                <w:lang w:val="vi-VN"/>
              </w:rPr>
              <w:t>Nguyễn Tuấn Anh</w:t>
            </w:r>
          </w:p>
        </w:tc>
        <w:tc>
          <w:tcPr>
            <w:tcW w:w="2410" w:type="dxa"/>
            <w:tcBorders/>
            <w:vAlign w:val="center"/>
          </w:tcPr>
          <w:p>
            <w:pPr>
              <w:pStyle w:val="Normal"/>
              <w:snapToGrid w:val="false"/>
              <w:spacing w:lineRule="exact" w:line="400" w:before="0" w:after="60"/>
              <w:ind w:start="-283" w:end="0"/>
              <w:jc w:val="center"/>
              <w:rPr>
                <w:b/>
                <w:sz w:val="26"/>
                <w:szCs w:val="26"/>
                <w:lang w:val="vi-VN"/>
              </w:rPr>
            </w:pPr>
            <w:r>
              <w:rPr>
                <w:b/>
                <w:sz w:val="26"/>
                <w:szCs w:val="26"/>
                <w:lang w:val="vi-VN"/>
              </w:rPr>
            </w:r>
          </w:p>
        </w:tc>
        <w:tc>
          <w:tcPr>
            <w:tcW w:w="2754" w:type="dxa"/>
            <w:tcBorders/>
            <w:vAlign w:val="center"/>
          </w:tcPr>
          <w:p>
            <w:pPr>
              <w:pStyle w:val="Normal"/>
              <w:spacing w:lineRule="exact" w:line="400" w:before="0" w:after="60"/>
              <w:ind w:start="-283" w:end="0"/>
              <w:jc w:val="center"/>
              <w:rPr>
                <w:b/>
                <w:sz w:val="26"/>
                <w:szCs w:val="26"/>
              </w:rPr>
            </w:pPr>
            <w:r>
              <w:rPr>
                <w:b/>
                <w:sz w:val="26"/>
                <w:szCs w:val="26"/>
              </w:rPr>
              <w:t>Lê Đình Thanh Sơn</w:t>
            </w:r>
          </w:p>
        </w:tc>
      </w:tr>
    </w:tbl>
    <w:p>
      <w:pPr>
        <w:pStyle w:val="Normal"/>
        <w:ind w:start="720" w:end="0"/>
        <w:rPr>
          <w:lang w:val="fr-FR"/>
        </w:rPr>
      </w:pPr>
      <w:r>
        <w:rPr>
          <w:lang w:val="fr-FR"/>
        </w:rPr>
      </w:r>
    </w:p>
    <w:sectPr>
      <w:type w:val="nextPage"/>
      <w:pgSz w:w="11906" w:h="16838"/>
      <w:pgMar w:left="1418" w:right="992"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jc w:val="center"/>
      <w:outlineLvl w:val="0"/>
    </w:pPr>
    <w:rPr>
      <w:b/>
      <w:bCs/>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Wingdings" w:hAnsi="Wingdings" w:cs="Wingding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Times New Roman" w:hAnsi="Times New Roman" w:eastAsia="Times New Roman" w:cs="Times New Roman"/>
    </w:rPr>
  </w:style>
  <w:style w:type="character" w:styleId="WW8Num23z1">
    <w:name w:val="WW8Num23z1"/>
    <w:qFormat/>
    <w:rPr>
      <w:rFonts w:ascii="Wingdings" w:hAnsi="Wingdings" w:cs="Wingdings"/>
    </w:rPr>
  </w:style>
  <w:style w:type="character" w:styleId="WW8Num23z3">
    <w:name w:val="WW8Num23z3"/>
    <w:qFormat/>
    <w:rPr>
      <w:rFonts w:ascii="Symbol" w:hAnsi="Symbol" w:cs="Symbol"/>
    </w:rPr>
  </w:style>
  <w:style w:type="character" w:styleId="WW8Num23z4">
    <w:name w:val="WW8Num23z4"/>
    <w:qFormat/>
    <w:rPr>
      <w:rFonts w:ascii="Courier New" w:hAnsi="Courier New" w:cs="Courier New"/>
    </w:rPr>
  </w:style>
  <w:style w:type="character" w:styleId="WW8Num24z0">
    <w:name w:val="WW8Num24z0"/>
    <w:qFormat/>
    <w:rPr>
      <w:rFonts w:ascii="Wingdings" w:hAnsi="Wingdings" w:cs="Wingdings"/>
    </w:rPr>
  </w:style>
  <w:style w:type="character" w:styleId="WW8Num24z1">
    <w:name w:val="WW8Num24z1"/>
    <w:qFormat/>
    <w:rPr>
      <w:rFonts w:ascii="Courier New" w:hAnsi="Courier New" w:cs="Courier New"/>
    </w:rPr>
  </w:style>
  <w:style w:type="character" w:styleId="WW8Num24z3">
    <w:name w:val="WW8Num24z3"/>
    <w:qFormat/>
    <w:rPr>
      <w:rFonts w:ascii="Symbol" w:hAnsi="Symbol" w:cs="Symbol"/>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Wingdings" w:hAnsi="Wingdings" w:cs="Wingdings"/>
    </w:rPr>
  </w:style>
  <w:style w:type="character" w:styleId="WW8Num27z1">
    <w:name w:val="WW8Num27z1"/>
    <w:qFormat/>
    <w:rPr>
      <w:rFonts w:ascii="Courier New" w:hAnsi="Courier New" w:cs="Courier New"/>
    </w:rPr>
  </w:style>
  <w:style w:type="character" w:styleId="WW8Num27z3">
    <w:name w:val="WW8Num27z3"/>
    <w:qFormat/>
    <w:rPr>
      <w:rFonts w:ascii="Symbol" w:hAnsi="Symbol" w:cs="Symbol"/>
    </w:rPr>
  </w:style>
  <w:style w:type="character" w:styleId="WW8Num28z0">
    <w:name w:val="WW8Num28z0"/>
    <w:qFormat/>
    <w:rPr>
      <w:rFonts w:ascii="Wingdings" w:hAnsi="Wingdings" w:cs="Wingdings"/>
    </w:rPr>
  </w:style>
  <w:style w:type="character" w:styleId="WW8Num28z1">
    <w:name w:val="WW8Num28z1"/>
    <w:qFormat/>
    <w:rPr>
      <w:rFonts w:ascii="Courier New" w:hAnsi="Courier New" w:cs="Courier New"/>
    </w:rPr>
  </w:style>
  <w:style w:type="character" w:styleId="WW8Num28z3">
    <w:name w:val="WW8Num28z3"/>
    <w:qFormat/>
    <w:rPr>
      <w:rFonts w:ascii="Symbol" w:hAnsi="Symbol" w:cs="Symbol"/>
    </w:rPr>
  </w:style>
  <w:style w:type="character" w:styleId="WW8Num29z0">
    <w:name w:val="WW8Num29z0"/>
    <w:qFormat/>
    <w:rPr>
      <w:rFonts w:ascii="Wingdings" w:hAnsi="Wingdings" w:cs="Wingdings"/>
    </w:rPr>
  </w:style>
  <w:style w:type="character" w:styleId="WW8Num29z1">
    <w:name w:val="WW8Num29z1"/>
    <w:qFormat/>
    <w:rPr>
      <w:rFonts w:ascii="Courier New" w:hAnsi="Courier New" w:cs="Courier New"/>
    </w:rPr>
  </w:style>
  <w:style w:type="character" w:styleId="WW8Num29z3">
    <w:name w:val="WW8Num29z3"/>
    <w:qFormat/>
    <w:rPr>
      <w:rFonts w:ascii="Symbol" w:hAnsi="Symbol" w:cs="Symbol"/>
    </w:rPr>
  </w:style>
  <w:style w:type="character" w:styleId="WW8Num30z0">
    <w:name w:val="WW8Num30z0"/>
    <w:qFormat/>
    <w:rPr>
      <w:rFonts w:ascii="Wingdings" w:hAnsi="Wingdings" w:cs="Wingdings"/>
    </w:rPr>
  </w:style>
  <w:style w:type="character" w:styleId="WW8Num30z1">
    <w:name w:val="WW8Num30z1"/>
    <w:qFormat/>
    <w:rPr>
      <w:rFonts w:ascii="Courier New" w:hAnsi="Courier New" w:cs="Courier New"/>
    </w:rPr>
  </w:style>
  <w:style w:type="character" w:styleId="WW8Num30z3">
    <w:name w:val="WW8Num30z3"/>
    <w:qFormat/>
    <w:rPr>
      <w:rFonts w:ascii="Symbol" w:hAnsi="Symbol" w:cs="Symbol"/>
    </w:rPr>
  </w:style>
  <w:style w:type="character" w:styleId="WW8Num31z0">
    <w:name w:val="WW8Num31z0"/>
    <w:qFormat/>
    <w:rPr>
      <w:rFonts w:ascii="Wingdings" w:hAnsi="Wingdings" w:cs="Wingdings"/>
    </w:rPr>
  </w:style>
  <w:style w:type="character" w:styleId="WW8Num31z1">
    <w:name w:val="WW8Num31z1"/>
    <w:qFormat/>
    <w:rPr>
      <w:rFonts w:ascii="Courier New" w:hAnsi="Courier New" w:cs="Courier New"/>
    </w:rPr>
  </w:style>
  <w:style w:type="character" w:styleId="WW8Num31z3">
    <w:name w:val="WW8Num31z3"/>
    <w:qFormat/>
    <w:rPr>
      <w:rFonts w:ascii="Symbol" w:hAnsi="Symbol" w:cs="Symbol"/>
    </w:rPr>
  </w:style>
  <w:style w:type="character" w:styleId="WW8Num32z0">
    <w:name w:val="WW8Num32z0"/>
    <w:qFormat/>
    <w:rPr>
      <w:rFonts w:ascii="Wingdings" w:hAnsi="Wingdings" w:cs="Wingdings"/>
    </w:rPr>
  </w:style>
  <w:style w:type="character" w:styleId="WW8Num32z1">
    <w:name w:val="WW8Num32z1"/>
    <w:qFormat/>
    <w:rPr>
      <w:rFonts w:ascii="Courier New" w:hAnsi="Courier New" w:cs="Courier New"/>
    </w:rPr>
  </w:style>
  <w:style w:type="character" w:styleId="WW8Num32z3">
    <w:name w:val="WW8Num32z3"/>
    <w:qFormat/>
    <w:rPr>
      <w:rFonts w:ascii="Symbol" w:hAnsi="Symbol" w:cs="Symbol"/>
    </w:rPr>
  </w:style>
  <w:style w:type="character" w:styleId="WW8Num33z0">
    <w:name w:val="WW8Num33z0"/>
    <w:qFormat/>
    <w:rPr>
      <w:rFonts w:ascii="Wingdings" w:hAnsi="Wingdings" w:cs="Wingdings"/>
    </w:rPr>
  </w:style>
  <w:style w:type="character" w:styleId="WW8Num33z1">
    <w:name w:val="WW8Num33z1"/>
    <w:qFormat/>
    <w:rPr>
      <w:rFonts w:ascii="Courier New" w:hAnsi="Courier New" w:cs="Courier New"/>
    </w:rPr>
  </w:style>
  <w:style w:type="character" w:styleId="WW8Num33z3">
    <w:name w:val="WW8Num33z3"/>
    <w:qFormat/>
    <w:rPr>
      <w:rFonts w:ascii="Symbol" w:hAnsi="Symbol" w:cs="Symbol"/>
    </w:rPr>
  </w:style>
  <w:style w:type="character" w:styleId="WW8Num34z0">
    <w:name w:val="WW8Num34z0"/>
    <w:qFormat/>
    <w:rPr>
      <w:rFonts w:ascii="Wingdings" w:hAnsi="Wingdings" w:cs="Wingdings"/>
    </w:rPr>
  </w:style>
  <w:style w:type="character" w:styleId="WW8Num34z1">
    <w:name w:val="WW8Num34z1"/>
    <w:qFormat/>
    <w:rPr>
      <w:rFonts w:ascii="Courier New" w:hAnsi="Courier New" w:cs="Courier New"/>
    </w:rPr>
  </w:style>
  <w:style w:type="character" w:styleId="WW8Num34z3">
    <w:name w:val="WW8Num34z3"/>
    <w:qFormat/>
    <w:rPr>
      <w:rFonts w:ascii="Symbol" w:hAnsi="Symbol" w:cs="Symbol"/>
    </w:rPr>
  </w:style>
  <w:style w:type="character" w:styleId="WW8Num35z0">
    <w:name w:val="WW8Num35z0"/>
    <w:qFormat/>
    <w:rPr>
      <w:rFonts w:ascii="Wingdings" w:hAnsi="Wingdings" w:cs="Wingdings"/>
    </w:rPr>
  </w:style>
  <w:style w:type="character" w:styleId="WW8Num35z1">
    <w:name w:val="WW8Num35z1"/>
    <w:qFormat/>
    <w:rPr>
      <w:rFonts w:ascii="Courier New" w:hAnsi="Courier New" w:cs="Courier New"/>
    </w:rPr>
  </w:style>
  <w:style w:type="character" w:styleId="WW8Num35z3">
    <w:name w:val="WW8Num35z3"/>
    <w:qFormat/>
    <w:rPr>
      <w:rFonts w:ascii="Symbol" w:hAnsi="Symbol" w:cs="Symbol"/>
    </w:rPr>
  </w:style>
  <w:style w:type="character" w:styleId="WW8Num36z0">
    <w:name w:val="WW8Num36z0"/>
    <w:qFormat/>
    <w:rPr>
      <w:rFonts w:ascii="Wingdings" w:hAnsi="Wingdings" w:cs="Wingdings"/>
    </w:rPr>
  </w:style>
  <w:style w:type="character" w:styleId="WW8Num36z1">
    <w:name w:val="WW8Num36z1"/>
    <w:qFormat/>
    <w:rPr>
      <w:rFonts w:ascii="Courier New" w:hAnsi="Courier New" w:cs="Courier New"/>
    </w:rPr>
  </w:style>
  <w:style w:type="character" w:styleId="WW8Num36z3">
    <w:name w:val="WW8Num36z3"/>
    <w:qFormat/>
    <w:rPr>
      <w:rFonts w:ascii="Symbol" w:hAnsi="Symbol" w:cs="Symbol"/>
    </w:rPr>
  </w:style>
  <w:style w:type="character" w:styleId="WW8Num37z0">
    <w:name w:val="WW8Num37z0"/>
    <w:qFormat/>
    <w:rPr>
      <w:rFonts w:ascii="Wingdings" w:hAnsi="Wingdings" w:cs="Wingdings"/>
    </w:rPr>
  </w:style>
  <w:style w:type="character" w:styleId="WW8Num37z1">
    <w:name w:val="WW8Num37z1"/>
    <w:qFormat/>
    <w:rPr>
      <w:rFonts w:ascii="Courier New" w:hAnsi="Courier New" w:cs="Courier New"/>
    </w:rPr>
  </w:style>
  <w:style w:type="character" w:styleId="WW8Num37z3">
    <w:name w:val="WW8Num37z3"/>
    <w:qFormat/>
    <w:rPr>
      <w:rFonts w:ascii="Symbol" w:hAnsi="Symbol" w:cs="Symbol"/>
    </w:rPr>
  </w:style>
  <w:style w:type="character" w:styleId="DefaultParagraphFont">
    <w:name w:val="Default Paragraph Font"/>
    <w:qFormat/>
    <w:rPr/>
  </w:style>
  <w:style w:type="character" w:styleId="BalloonTextChar">
    <w:name w:val="Balloon Text Char"/>
    <w:qFormat/>
    <w:rPr>
      <w:rFonts w:ascii="Tahoma" w:hAnsi="Tahoma" w:cs="Tahoma"/>
      <w:sz w:val="16"/>
      <w:szCs w:val="16"/>
      <w:lang w:val="en-US"/>
    </w:rPr>
  </w:style>
  <w:style w:type="character" w:styleId="TitleChar">
    <w:name w:val="Title Char"/>
    <w:qFormat/>
    <w:rPr>
      <w:rFonts w:ascii="Times New Roman" w:hAnsi="Times New Roman" w:eastAsia="Times New Roman" w:cs="Times New Roman"/>
      <w:b/>
      <w:bCs/>
      <w:kern w:val="2"/>
      <w:sz w:val="32"/>
      <w:szCs w:val="32"/>
      <w:lang w:val="en-US"/>
    </w:rPr>
  </w:style>
  <w:style w:type="character" w:styleId="BodyTextChar">
    <w:name w:val="Body Text Char"/>
    <w:qFormat/>
    <w:rPr>
      <w:sz w:val="24"/>
      <w:szCs w:val="24"/>
      <w:lang w:val="en-US"/>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HeaderChar">
    <w:name w:val="Header Char"/>
    <w:qFormat/>
    <w:rPr>
      <w:sz w:val="24"/>
      <w:szCs w:val="24"/>
      <w:lang w:val="vi-VN"/>
    </w:rPr>
  </w:style>
  <w:style w:type="paragraph" w:styleId="Heading">
    <w:name w:val="Heading"/>
    <w:basedOn w:val="Normal"/>
    <w:next w:val="Normal"/>
    <w:qFormat/>
    <w:pPr>
      <w:spacing w:before="240" w:after="60"/>
      <w:jc w:val="center"/>
      <w:outlineLvl w:val="0"/>
    </w:pPr>
    <w:rPr>
      <w:b/>
      <w:bCs/>
      <w:kern w:val="2"/>
      <w:sz w:val="32"/>
      <w:szCs w:val="32"/>
    </w:rPr>
  </w:style>
  <w:style w:type="paragraph" w:styleId="BodyText">
    <w:name w:val="Body Text"/>
    <w:basedOn w:val="Normal"/>
    <w:pPr>
      <w:spacing w:before="0" w:after="120"/>
    </w:pPr>
    <w:rPr>
      <w:sz w:val="2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spacing w:lineRule="exact" w:line="240" w:before="0" w:after="160"/>
    </w:pPr>
    <w:rPr>
      <w:rFonts w:ascii="Tahoma" w:hAnsi="Tahoma" w:cs="Tahoma"/>
      <w:sz w:val="20"/>
      <w:szCs w:val="20"/>
    </w:rPr>
  </w:style>
  <w:style w:type="paragraph" w:styleId="BalloonText">
    <w:name w:val="Balloon Text"/>
    <w:basedOn w:val="Normal"/>
    <w:qFormat/>
    <w:pPr/>
    <w:rPr>
      <w:rFonts w:ascii="Tahoma" w:hAnsi="Tahoma" w:cs="Tahoma"/>
      <w:sz w:val="16"/>
      <w:szCs w:val="16"/>
    </w:rPr>
  </w:style>
  <w:style w:type="paragraph" w:styleId="CharCharCharChar">
    <w:name w:val="Char Char Char Char"/>
    <w:basedOn w:val="Normal"/>
    <w:qFormat/>
    <w:pPr>
      <w:spacing w:lineRule="exact" w:line="240" w:before="0" w:after="160"/>
    </w:pPr>
    <w:rPr>
      <w:rFonts w:ascii="Tahoma" w:hAnsi="Tahoma" w:eastAsia="PMingLiU;新細明體" w:cs="Tahoma"/>
      <w:sz w:val="20"/>
      <w:szCs w:val="20"/>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z w:val="24"/>
      <w:szCs w:val="24"/>
      <w:lang w:val="vi-V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8202</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2025-04-29T16:48:00Z</dcterms:created>
  <dc:creator>WINXP_SP3</dc:creator>
  <dc:description/>
  <cp:keywords/>
  <dc:language>vi-VN</dc:language>
  <cp:lastModifiedBy>COMPUTER</cp:lastModifiedBy>
  <cp:lastPrinted>2026-03-24T10:49:00Z</cp:lastPrinted>
  <dcterms:modified xsi:type="dcterms:W3CDTF">2026-03-30T07:34:00Z</dcterms:modified>
  <cp:revision>44</cp:revision>
  <dc:subject/>
  <dc:title>BỆNH VIỆN   ĐK TỈNH PHÚ THỌ            CỘNG HÒA XÃ HỘI CHỦ NGHĨA VIỆT NAM</dc:title>
</cp:coreProperties>
</file>