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styles.xml" ContentType="application/vnd.openxmlformats-officedocument.wordprocessingml.styles+xml"/>
  <Override PartName="/word/header1.xml" ContentType="application/vnd.openxmlformats-officedocument.wordprocessingml.header+xml"/>
  <Override PartName="/word/footer1.xml" ContentType="application/vnd.openxmlformats-officedocument.wordprocessingml.footer+xml"/>
  <Override PartName="/word/document.xml" ContentType="application/vnd.openxmlformats-officedocument.wordprocessingml.document.main+xml"/>
  <Override PartName="/word/footer2.xml" ContentType="application/vnd.openxmlformats-officedocument.wordprocessingml.footer+xml"/>
  <Override PartName="/word/numbering.xml" ContentType="application/vnd.openxmlformats-officedocument.wordprocessingml.numbering+xml"/>
  <Override PartName="/word/fontTable.xml" ContentType="application/vnd.openxmlformats-officedocument.wordprocessingml.fontTable+xml"/>
  <Override PartName="/word/theme/theme1.xml" ContentType="application/vnd.openxmlformats-officedocument.theme+xml"/>
  <Override PartName="/word/header2.xml" ContentType="application/vnd.openxmlformats-officedocument.wordprocessingml.header+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tbl>
      <w:tblPr>
        <w:tblW w:w="9640" w:type="dxa"/>
        <w:jc w:val="start"/>
        <w:tblInd w:w="-318" w:type="dxa"/>
        <w:tblLayout w:type="fixed"/>
        <w:tblCellMar>
          <w:top w:w="0" w:type="dxa"/>
          <w:start w:w="108" w:type="dxa"/>
          <w:bottom w:w="0" w:type="dxa"/>
          <w:end w:w="108" w:type="dxa"/>
        </w:tblCellMar>
      </w:tblPr>
      <w:tblGrid>
        <w:gridCol w:w="3970"/>
        <w:gridCol w:w="5670"/>
      </w:tblGrid>
      <w:tr>
        <w:trPr/>
        <w:tc>
          <w:tcPr>
            <w:tcW w:w="3970" w:type="dxa"/>
            <w:tcBorders/>
          </w:tcPr>
          <w:p>
            <w:pPr>
              <w:pStyle w:val="Normal"/>
              <w:tabs>
                <w:tab w:val="clear" w:pos="720"/>
                <w:tab w:val="left" w:pos="882" w:leader="none"/>
              </w:tabs>
              <w:spacing w:lineRule="auto" w:line="276"/>
              <w:ind w:end="-144"/>
              <w:jc w:val="center"/>
              <w:rPr>
                <w:szCs w:val="26"/>
              </w:rPr>
            </w:pPr>
            <w:r>
              <w:rPr>
                <w:szCs w:val="26"/>
              </w:rPr>
              <w:t>SỞ Y TẾ PHÚ THỌ</w:t>
            </w:r>
          </w:p>
          <w:p>
            <w:pPr>
              <w:pStyle w:val="Normal"/>
              <w:tabs>
                <w:tab w:val="clear" w:pos="720"/>
                <w:tab w:val="left" w:pos="1290" w:leader="none"/>
              </w:tabs>
              <w:spacing w:lineRule="auto" w:line="276"/>
              <w:ind w:end="-144"/>
              <w:jc w:val="center"/>
              <w:rPr>
                <w:b/>
                <w:szCs w:val="26"/>
              </w:rPr>
            </w:pPr>
            <w:r>
              <w:rPr>
                <w:b/>
                <w:szCs w:val="26"/>
              </w:rPr>
              <w:t>BỆNH VIỆN ĐA KHOA TỈNH</w:t>
            </w:r>
          </w:p>
          <w:p>
            <w:pPr>
              <w:pStyle w:val="Normal"/>
              <w:tabs>
                <w:tab w:val="clear" w:pos="720"/>
                <w:tab w:val="left" w:pos="945" w:leader="none"/>
                <w:tab w:val="left" w:pos="1290" w:leader="none"/>
              </w:tabs>
              <w:spacing w:lineRule="auto" w:line="276" w:before="120" w:after="0"/>
              <w:ind w:end="-144"/>
              <w:rPr/>
            </w:pPr>
            <w:r>
              <mc:AlternateContent>
                <mc:Choice Requires="wps">
                  <w:drawing>
                    <wp:anchor distT="0" distB="0" distL="114935" distR="114935" simplePos="0" relativeHeight="2" behindDoc="0" locked="0" layoutInCell="1" allowOverlap="1">
                      <wp:simplePos x="0" y="0"/>
                      <wp:positionH relativeFrom="column">
                        <wp:posOffset>538480</wp:posOffset>
                      </wp:positionH>
                      <wp:positionV relativeFrom="paragraph">
                        <wp:posOffset>10160</wp:posOffset>
                      </wp:positionV>
                      <wp:extent cx="1254125" cy="1270"/>
                      <wp:effectExtent l="635" t="5080" r="635" b="5080"/>
                      <wp:wrapNone/>
                      <wp:docPr id="1" name=""/>
                      <a:graphic xmlns:a="http://schemas.openxmlformats.org/drawingml/2006/main">
                        <a:graphicData uri="http://schemas.microsoft.com/office/word/2010/wordprocessingShape">
                          <wps:wsp>
                            <wps:cNvCnPr/>
                            <wps:spPr>
                              <a:xfrm>
                                <a:off x="0" y="0"/>
                                <a:ext cx="1254240" cy="1800"/>
                              </a:xfrm>
                              <a:prstGeom prst="straightConnector1">
                                <a:avLst/>
                              </a:prstGeom>
                              <a:ln w="9360">
                                <a:solidFill>
                                  <a:srgbClr val="000000"/>
                                </a:solidFill>
                                <a:miter/>
                              </a:ln>
                            </wps:spPr>
                            <wps:bodyPr/>
                          </wps:wsp>
                        </a:graphicData>
                      </a:graphic>
                    </wp:anchor>
                  </w:drawing>
                </mc:Choice>
                <mc:Fallback>
                  <w:pict>
                    <v:shapetype id="_x0000_t32" coordsize="21600,21600" o:spt="32" path="m,l21600,21600nfe">
                      <v:stroke joinstyle="miter"/>
                      <v:path gradientshapeok="t" o:connecttype="rect" textboxrect="0,0,21600,21600"/>
                    </v:shapetype>
                    <v:shape id="shape_0" stroked="t" o:allowincell="t" style="position:absolute;margin-left:42.4pt;margin-top:0.8pt;width:98.7pt;height:0.1pt" type="_x0000_t32">
                      <v:stroke color="black" weight="9360" joinstyle="miter" endcap="flat"/>
                      <v:fill o:detectmouseclick="t" on="false"/>
                      <w10:wrap type="none"/>
                    </v:shape>
                  </w:pict>
                </mc:Fallback>
              </mc:AlternateContent>
            </w:r>
            <w:r>
              <w:rPr/>
              <w:t xml:space="preserve">             </w:t>
            </w:r>
            <w:r>
              <w:rPr/>
              <w:t xml:space="preserve">Số:    </w:t>
            </w:r>
            <w:r>
              <w:rPr>
                <w:lang w:val="vi-VN"/>
              </w:rPr>
              <w:t xml:space="preserve"> </w:t>
            </w:r>
            <w:r>
              <w:rPr/>
              <w:t xml:space="preserve">   /QĐ-BV</w:t>
            </w:r>
          </w:p>
          <w:p>
            <w:pPr>
              <w:pStyle w:val="Normal"/>
              <w:tabs>
                <w:tab w:val="clear" w:pos="720"/>
                <w:tab w:val="left" w:pos="1290" w:leader="none"/>
              </w:tabs>
              <w:spacing w:lineRule="auto" w:line="276"/>
              <w:ind w:end="-144"/>
              <w:jc w:val="center"/>
              <w:rPr>
                <w:szCs w:val="26"/>
                <w:lang w:val="fr-FR"/>
              </w:rPr>
            </w:pPr>
            <w:r>
              <w:rPr>
                <w:szCs w:val="26"/>
                <w:lang w:val="fr-FR"/>
              </w:rPr>
            </w:r>
          </w:p>
        </w:tc>
        <w:tc>
          <w:tcPr>
            <w:tcW w:w="5670" w:type="dxa"/>
            <w:tcBorders/>
          </w:tcPr>
          <w:p>
            <w:pPr>
              <w:pStyle w:val="Normal"/>
              <w:spacing w:lineRule="auto" w:line="276"/>
              <w:rPr>
                <w:b/>
                <w:szCs w:val="26"/>
                <w:lang w:val="fr-FR"/>
              </w:rPr>
            </w:pPr>
            <w:r>
              <w:rPr>
                <w:b/>
                <w:szCs w:val="26"/>
                <w:lang w:val="fr-FR"/>
              </w:rPr>
              <w:t>CỘNG HOÀ XÃ HỘI CHỦ NGHĨA VIỆT NAM</w:t>
            </w:r>
          </w:p>
          <w:p>
            <w:pPr>
              <w:pStyle w:val="Normal"/>
              <w:spacing w:lineRule="auto" w:line="276"/>
              <w:ind w:end="-144"/>
              <w:jc w:val="center"/>
              <w:rPr>
                <w:b/>
                <w:sz w:val="28"/>
                <w:szCs w:val="28"/>
              </w:rPr>
            </w:pPr>
            <w:r>
              <w:rPr>
                <w:b/>
                <w:bCs/>
                <w:sz w:val="28"/>
                <w:szCs w:val="28"/>
              </w:rPr>
              <w:t>Độc lập - Tự do - Hạnh phúc</w:t>
            </w:r>
          </w:p>
          <w:p>
            <w:pPr>
              <w:pStyle w:val="Normal"/>
              <w:spacing w:lineRule="auto" w:line="276" w:before="120" w:after="0"/>
              <w:ind w:end="-144"/>
              <w:jc w:val="center"/>
              <w:rPr>
                <w:sz w:val="28"/>
                <w:szCs w:val="28"/>
              </w:rPr>
            </w:pPr>
            <w:r>
              <mc:AlternateContent>
                <mc:Choice Requires="wps">
                  <w:drawing>
                    <wp:anchor distT="0" distB="0" distL="114935" distR="114935" simplePos="0" relativeHeight="3" behindDoc="0" locked="0" layoutInCell="1" allowOverlap="1">
                      <wp:simplePos x="0" y="0"/>
                      <wp:positionH relativeFrom="column">
                        <wp:posOffset>719455</wp:posOffset>
                      </wp:positionH>
                      <wp:positionV relativeFrom="paragraph">
                        <wp:posOffset>14605</wp:posOffset>
                      </wp:positionV>
                      <wp:extent cx="2147570" cy="1270"/>
                      <wp:effectExtent l="635" t="5080" r="635" b="5080"/>
                      <wp:wrapNone/>
                      <wp:docPr id="2" name=""/>
                      <a:graphic xmlns:a="http://schemas.openxmlformats.org/drawingml/2006/main">
                        <a:graphicData uri="http://schemas.microsoft.com/office/word/2010/wordprocessingShape">
                          <wps:wsp>
                            <wps:cNvCnPr/>
                            <wps:spPr>
                              <a:xfrm>
                                <a:off x="0" y="0"/>
                                <a:ext cx="2148120" cy="1440"/>
                              </a:xfrm>
                              <a:prstGeom prst="straightConnector1">
                                <a:avLst/>
                              </a:prstGeom>
                              <a:ln w="9360">
                                <a:solidFill>
                                  <a:srgbClr val="000000"/>
                                </a:solidFill>
                                <a:miter/>
                              </a:ln>
                            </wps:spPr>
                            <wps:bodyPr/>
                          </wps:wsp>
                        </a:graphicData>
                      </a:graphic>
                    </wp:anchor>
                  </w:drawing>
                </mc:Choice>
                <mc:Fallback>
                  <w:pict>
                    <v:shape id="shape_0" stroked="t" o:allowincell="t" style="position:absolute;margin-left:56.65pt;margin-top:1.15pt;width:169.1pt;height:0.05pt" type="_x0000_t32">
                      <v:stroke color="black" weight="9360" joinstyle="miter" endcap="flat"/>
                      <v:fill o:detectmouseclick="t" on="false"/>
                      <w10:wrap type="none"/>
                    </v:shape>
                  </w:pict>
                </mc:Fallback>
              </mc:AlternateContent>
            </w:r>
            <w:r>
              <w:rPr>
                <w:i/>
                <w:iCs/>
                <w:sz w:val="28"/>
                <w:szCs w:val="28"/>
              </w:rPr>
              <w:t xml:space="preserve"> </w:t>
            </w:r>
            <w:r>
              <w:rPr>
                <w:i/>
                <w:iCs/>
                <w:sz w:val="28"/>
                <w:szCs w:val="28"/>
                <w:lang w:val="vi-VN"/>
              </w:rPr>
              <w:t>Phú Thọ</w:t>
            </w:r>
            <w:r>
              <w:rPr>
                <w:i/>
                <w:iCs/>
                <w:sz w:val="28"/>
                <w:szCs w:val="28"/>
              </w:rPr>
              <w:t>, ngày</w:t>
            </w:r>
            <w:r>
              <w:rPr>
                <w:i/>
                <w:iCs/>
                <w:sz w:val="28"/>
                <w:szCs w:val="28"/>
                <w:lang w:val="vi-VN"/>
              </w:rPr>
              <w:t xml:space="preserve"> 11 </w:t>
            </w:r>
            <w:r>
              <w:rPr>
                <w:i/>
                <w:iCs/>
                <w:sz w:val="28"/>
                <w:szCs w:val="28"/>
              </w:rPr>
              <w:t xml:space="preserve">tháng </w:t>
            </w:r>
            <w:r>
              <w:rPr>
                <w:i/>
                <w:iCs/>
                <w:sz w:val="28"/>
                <w:szCs w:val="28"/>
                <w:lang w:val="vi-VN"/>
              </w:rPr>
              <w:t>3</w:t>
            </w:r>
            <w:r>
              <w:rPr>
                <w:i/>
                <w:iCs/>
                <w:sz w:val="28"/>
                <w:szCs w:val="28"/>
              </w:rPr>
              <w:t xml:space="preserve"> năm 2027</w:t>
            </w:r>
            <w:r>
              <w:rPr>
                <w:i/>
                <w:iCs/>
                <w:sz w:val="28"/>
                <w:szCs w:val="28"/>
                <w:lang w:val="vi-VN"/>
              </w:rPr>
              <w:t/>
            </w:r>
          </w:p>
        </w:tc>
      </w:tr>
    </w:tbl>
    <w:p>
      <w:pPr>
        <w:pStyle w:val="Normal"/>
        <w:spacing w:lineRule="auto" w:line="276" w:before="240" w:after="120"/>
        <w:jc w:val="center"/>
        <w:rPr>
          <w:b/>
          <w:sz w:val="28"/>
          <w:szCs w:val="28"/>
        </w:rPr>
      </w:pPr>
      <w:r>
        <w:rPr>
          <w:b/>
          <w:sz w:val="28"/>
          <w:szCs w:val="28"/>
        </w:rPr>
        <w:t>QUYẾT ĐỊNH</w:t>
      </w:r>
    </w:p>
    <w:p>
      <w:pPr>
        <w:pStyle w:val="Normal"/>
        <w:tabs>
          <w:tab w:val="clear" w:pos="720"/>
          <w:tab w:val="left" w:pos="567" w:leader="none"/>
        </w:tabs>
        <w:spacing w:lineRule="auto" w:line="276"/>
        <w:jc w:val="center"/>
        <w:rPr>
          <w:b/>
          <w:sz w:val="28"/>
          <w:szCs w:val="28"/>
          <w:lang w:val="nl-NL"/>
        </w:rPr>
      </w:pPr>
      <w:r>
        <w:rPr>
          <w:b/>
          <w:sz w:val="28"/>
          <w:szCs w:val="28"/>
          <w:lang w:val="nl-NL"/>
        </w:rPr>
        <w:t xml:space="preserve">Về việc phê duyệt kết quả lựa chọn nhà thầu qua mạng gói thầu: </w:t>
      </w:r>
    </w:p>
    <w:p>
      <w:pPr>
        <w:pStyle w:val="Normal"/>
        <w:tabs>
          <w:tab w:val="clear" w:pos="720"/>
          <w:tab w:val="left" w:pos="567" w:leader="none"/>
        </w:tabs>
        <w:spacing w:lineRule="auto" w:line="276"/>
        <w:jc w:val="center"/>
        <w:rPr>
          <w:b/>
          <w:bCs/>
          <w:color w:val="000000"/>
          <w:sz w:val="28"/>
          <w:szCs w:val="28"/>
        </w:rPr>
      </w:pPr>
      <w:r>
        <w:rPr>
          <w:rFonts w:eastAsia="Calibri"/>
          <w:b/>
          <w:iCs/>
          <w:color w:val="000000"/>
          <w:kern w:val="2"/>
          <w:sz w:val="28"/>
          <w:szCs w:val="28"/>
        </w:rPr>
        <w:t xml:space="preserve">Mua sắm </w:t>
      </w:r>
      <w:r>
        <w:rPr>
          <w:rFonts w:eastAsia="Calibri"/>
          <w:b/>
          <w:iCs/>
          <w:color w:val="000000"/>
          <w:kern w:val="2"/>
          <w:sz w:val="28"/>
          <w:szCs w:val="28"/>
          <w:lang w:val="vi-VN"/>
        </w:rPr>
        <w:t xml:space="preserve">bộ xét nghiệm định lượng virus viêm gan B, C (MOCK) </w:t>
      </w:r>
      <w:r>
        <w:rPr>
          <w:rFonts w:eastAsia="Calibri"/>
          <w:b/>
          <w:iCs/>
          <w:color w:val="000000"/>
          <w:kern w:val="2"/>
          <w:sz w:val="28"/>
          <w:szCs w:val="28"/>
        </w:rPr>
        <w:t>phục vụ công tác khám chữa bệnh</w:t>
      </w:r>
      <w:r>
        <w:rPr>
          <w:b/>
          <w:bCs/>
          <w:color w:val="000000"/>
          <w:sz w:val="28"/>
          <w:szCs w:val="28"/>
        </w:rPr>
        <w:t xml:space="preserve"> tại Bệnh viện đa khoa tỉnh Phú Thọ</w:t>
      </w:r>
      <w:r>
        <w:rPr>
          <w:b/>
          <w:iCs/>
          <w:sz w:val="28"/>
          <w:szCs w:val="28"/>
        </w:rPr>
        <w:t xml:space="preserve"> </w:t>
      </w:r>
      <w:r>
        <w:rPr>
          <w:b/>
          <w:sz w:val="28"/>
          <w:szCs w:val="28"/>
        </w:rPr>
        <w:t xml:space="preserve">thuộc kế hoạch lựa chọn nhà thầu: </w:t>
      </w:r>
      <w:r>
        <w:rPr>
          <w:rFonts w:eastAsia="Calibri"/>
          <w:b/>
          <w:iCs/>
          <w:color w:val="000000"/>
          <w:kern w:val="2"/>
          <w:sz w:val="28"/>
          <w:szCs w:val="28"/>
        </w:rPr>
        <w:t xml:space="preserve">Mua sắm </w:t>
      </w:r>
      <w:r>
        <w:rPr>
          <w:rFonts w:eastAsia="Calibri"/>
          <w:b/>
          <w:iCs/>
          <w:color w:val="000000"/>
          <w:kern w:val="2"/>
          <w:sz w:val="28"/>
          <w:szCs w:val="28"/>
          <w:lang w:val="vi-VN"/>
        </w:rPr>
        <w:t xml:space="preserve">bộ xét nghiệm định lượng virus viêm gan B, C (MOCK) </w:t>
      </w:r>
      <w:r>
        <w:rPr>
          <w:rFonts w:eastAsia="Calibri"/>
          <w:b/>
          <w:iCs/>
          <w:color w:val="000000"/>
          <w:kern w:val="2"/>
          <w:sz w:val="28"/>
          <w:szCs w:val="28"/>
        </w:rPr>
        <w:t>phục vụ công tác khám chữa bệnh</w:t>
      </w:r>
      <w:r>
        <w:rPr>
          <w:b/>
          <w:bCs/>
          <w:color w:val="000000"/>
          <w:sz w:val="28"/>
          <w:szCs w:val="28"/>
        </w:rPr>
        <w:t xml:space="preserve"> tại Bệnh viện đa khoa tỉnh Phú Thọ</w:t>
      </w:r>
      <w:r>
        <w:rPr>
          <w:b/>
          <w:iCs/>
          <w:sz w:val="28"/>
          <w:szCs w:val="28"/>
        </w:rPr>
        <w:t>,</w:t>
      </w:r>
      <w:r>
        <w:rPr>
          <w:b/>
          <w:sz w:val="28"/>
          <w:szCs w:val="28"/>
        </w:rPr>
        <w:t xml:space="preserve"> thuộc dự toán mua sắm: </w:t>
      </w:r>
      <w:r>
        <w:rPr>
          <w:rFonts w:eastAsia="Calibri"/>
          <w:b/>
          <w:iCs/>
          <w:color w:val="000000"/>
          <w:kern w:val="2"/>
          <w:sz w:val="28"/>
          <w:szCs w:val="28"/>
        </w:rPr>
        <w:t xml:space="preserve">Mua sắm </w:t>
      </w:r>
      <w:r>
        <w:rPr>
          <w:rFonts w:eastAsia="Calibri"/>
          <w:b/>
          <w:iCs/>
          <w:color w:val="000000"/>
          <w:kern w:val="2"/>
          <w:sz w:val="28"/>
          <w:szCs w:val="28"/>
          <w:lang w:val="vi-VN"/>
        </w:rPr>
        <w:t xml:space="preserve">bộ xét nghiệm định lượng virus viêm gan B, C (MOCK) </w:t>
      </w:r>
      <w:r>
        <w:rPr>
          <w:rFonts w:eastAsia="Calibri"/>
          <w:b/>
          <w:iCs/>
          <w:color w:val="000000"/>
          <w:kern w:val="2"/>
          <w:sz w:val="28"/>
          <w:szCs w:val="28"/>
        </w:rPr>
        <w:t>phục vụ công tác khám chữa bệnh</w:t>
      </w:r>
      <w:r>
        <w:rPr>
          <w:b/>
          <w:bCs/>
          <w:color w:val="000000"/>
          <w:sz w:val="28"/>
          <w:szCs w:val="28"/>
        </w:rPr>
        <w:t xml:space="preserve"> tại Bệnh viện đa khoa tỉnh Phú Thọ</w:t>
      </w:r>
    </w:p>
    <w:p>
      <w:pPr>
        <w:pStyle w:val="Normal"/>
        <w:spacing w:lineRule="auto" w:line="276" w:before="240" w:after="240"/>
        <w:jc w:val="center"/>
        <w:rPr>
          <w:b/>
          <w:sz w:val="28"/>
          <w:szCs w:val="28"/>
          <w:lang w:val="nl-NL"/>
        </w:rPr>
      </w:pPr>
      <w:r>
        <mc:AlternateContent>
          <mc:Choice Requires="wps">
            <w:drawing>
              <wp:anchor distT="0" distB="0" distL="114935" distR="114935" simplePos="0" relativeHeight="4" behindDoc="0" locked="0" layoutInCell="1" allowOverlap="1">
                <wp:simplePos x="0" y="0"/>
                <wp:positionH relativeFrom="column">
                  <wp:posOffset>1911350</wp:posOffset>
                </wp:positionH>
                <wp:positionV relativeFrom="paragraph">
                  <wp:posOffset>2540</wp:posOffset>
                </wp:positionV>
                <wp:extent cx="1894840" cy="1270"/>
                <wp:effectExtent l="635" t="5080" r="635" b="5080"/>
                <wp:wrapNone/>
                <wp:docPr id="3" name=""/>
                <a:graphic xmlns:a="http://schemas.openxmlformats.org/drawingml/2006/main">
                  <a:graphicData uri="http://schemas.microsoft.com/office/word/2010/wordprocessingShape">
                    <wps:wsp>
                      <wps:cNvCnPr/>
                      <wps:spPr>
                        <a:xfrm>
                          <a:off x="0" y="0"/>
                          <a:ext cx="1895400" cy="1800"/>
                        </a:xfrm>
                        <a:prstGeom prst="straightConnector1">
                          <a:avLst/>
                        </a:prstGeom>
                        <a:ln w="9360">
                          <a:solidFill>
                            <a:srgbClr val="000000"/>
                          </a:solidFill>
                          <a:miter/>
                        </a:ln>
                      </wps:spPr>
                      <wps:bodyPr/>
                    </wps:wsp>
                  </a:graphicData>
                </a:graphic>
              </wp:anchor>
            </w:drawing>
          </mc:Choice>
          <mc:Fallback>
            <w:pict>
              <v:shape id="shape_0" stroked="t" o:allowincell="f" style="position:absolute;margin-left:150.5pt;margin-top:0.2pt;width:149.2pt;height:0.1pt" type="_x0000_t32">
                <v:stroke color="black" weight="9360" joinstyle="miter" endcap="flat"/>
                <v:fill o:detectmouseclick="t" on="false"/>
                <w10:wrap type="none"/>
              </v:shape>
            </w:pict>
          </mc:Fallback>
        </mc:AlternateContent>
      </w:r>
      <w:r>
        <w:rPr>
          <w:b/>
          <w:sz w:val="28"/>
          <w:szCs w:val="28"/>
          <w:lang w:val="nl-NL"/>
        </w:rPr>
        <w:t>GIÁM ĐỐC BỆNH VIỆN ĐA KHOA TỈNH PHÚ THỌ</w:t>
      </w:r>
    </w:p>
    <w:p>
      <w:pPr>
        <w:pStyle w:val="Normal"/>
        <w:spacing w:lineRule="auto" w:line="288" w:before="60" w:after="60"/>
        <w:ind w:firstLine="544" w:end="0"/>
        <w:jc w:val="both"/>
        <w:rPr>
          <w:i/>
          <w:iCs/>
          <w:sz w:val="28"/>
          <w:szCs w:val="28"/>
          <w:lang w:val="nl-NL"/>
        </w:rPr>
      </w:pPr>
      <w:r>
        <w:rPr>
          <w:i/>
          <w:iCs/>
          <w:sz w:val="28"/>
          <w:szCs w:val="28"/>
          <w:lang w:val="nl-NL"/>
        </w:rPr>
        <w:t>Căn cứ Luật Đấu thầu ngày 23/06/2023, được sửa đổi bổ sung tại Luật số 57/2024/QH15 ngày 29/11/2024; Luật số 90/2025/QH15 ngày 25/6/2025;</w:t>
      </w:r>
    </w:p>
    <w:p>
      <w:pPr>
        <w:pStyle w:val="Normal"/>
        <w:spacing w:lineRule="auto" w:line="288" w:before="60" w:after="60"/>
        <w:ind w:firstLine="544" w:end="0"/>
        <w:jc w:val="both"/>
        <w:rPr>
          <w:i/>
          <w:iCs/>
          <w:sz w:val="28"/>
          <w:szCs w:val="28"/>
          <w:lang w:val="nl-NL"/>
        </w:rPr>
      </w:pPr>
      <w:r>
        <w:rPr>
          <w:i/>
          <w:iCs/>
          <w:sz w:val="28"/>
          <w:szCs w:val="28"/>
          <w:lang w:val="nl-NL"/>
        </w:rPr>
        <w:t>Căn cứ Luật Khám bệnh, chữa bệnh ngày 09/01/2023;</w:t>
      </w:r>
    </w:p>
    <w:p>
      <w:pPr>
        <w:pStyle w:val="Normal"/>
        <w:spacing w:lineRule="auto" w:line="288" w:before="60" w:after="60"/>
        <w:ind w:firstLine="544" w:end="0"/>
        <w:jc w:val="both"/>
        <w:rPr>
          <w:i/>
          <w:iCs/>
          <w:sz w:val="28"/>
          <w:szCs w:val="28"/>
          <w:lang w:val="nl-NL"/>
        </w:rPr>
      </w:pPr>
      <w:r>
        <w:rPr>
          <w:i/>
          <w:iCs/>
          <w:sz w:val="28"/>
          <w:szCs w:val="28"/>
          <w:lang w:val="nl-NL"/>
        </w:rPr>
        <w:t>Căn cứ Luật Quản lý, sử dụng tài sản công ngày 21/6/2017;</w:t>
      </w:r>
    </w:p>
    <w:p>
      <w:pPr>
        <w:pStyle w:val="Normal"/>
        <w:spacing w:lineRule="auto" w:line="288" w:before="60" w:after="60"/>
        <w:ind w:firstLine="544" w:end="0"/>
        <w:jc w:val="both"/>
        <w:rPr>
          <w:i/>
          <w:iCs/>
          <w:sz w:val="28"/>
          <w:szCs w:val="28"/>
          <w:lang w:val="nl-NL"/>
        </w:rPr>
      </w:pPr>
      <w:r>
        <w:rPr>
          <w:i/>
          <w:iCs/>
          <w:sz w:val="28"/>
          <w:szCs w:val="28"/>
          <w:lang w:val="nl-NL"/>
        </w:rPr>
        <w:t>Căn cứ Nghị định số 214/2025/NĐ-CP ngày 04/8/2025 của Chính phủ quy định chi tiết một số điều và biện pháp thi hành Luật Đấu thầu về lựa chọn nhà thầu;</w:t>
      </w:r>
    </w:p>
    <w:p>
      <w:pPr>
        <w:pStyle w:val="Normal"/>
        <w:spacing w:lineRule="auto" w:line="288" w:before="60" w:after="60"/>
        <w:ind w:firstLine="544" w:end="0"/>
        <w:jc w:val="both"/>
        <w:rPr>
          <w:i/>
          <w:iCs/>
          <w:sz w:val="28"/>
          <w:szCs w:val="28"/>
          <w:lang w:val="nl-NL"/>
        </w:rPr>
      </w:pPr>
      <w:r>
        <w:rPr>
          <w:i/>
          <w:iCs/>
          <w:sz w:val="28"/>
          <w:szCs w:val="28"/>
          <w:lang w:val="nl-NL"/>
        </w:rPr>
        <w:t xml:space="preserve"> </w:t>
      </w:r>
      <w:r>
        <w:rPr>
          <w:i/>
          <w:iCs/>
          <w:sz w:val="28"/>
          <w:szCs w:val="28"/>
          <w:lang w:val="nl-NL"/>
        </w:rPr>
        <w:t>Căn cứ Nghị định số 96/2023/NĐ-CP ngày 30/12/2023 của Chính phủ quy định chi tiết một số điều của Luật khám bệnh, chữa bệnh;</w:t>
      </w:r>
    </w:p>
    <w:p>
      <w:pPr>
        <w:pStyle w:val="Normal"/>
        <w:spacing w:lineRule="auto" w:line="288" w:before="60" w:after="60"/>
        <w:ind w:firstLine="544" w:end="0"/>
        <w:jc w:val="both"/>
        <w:rPr>
          <w:i/>
          <w:iCs/>
          <w:sz w:val="28"/>
          <w:szCs w:val="28"/>
          <w:lang w:val="nl-NL"/>
        </w:rPr>
      </w:pPr>
      <w:r>
        <w:rPr>
          <w:i/>
          <w:iCs/>
          <w:sz w:val="28"/>
          <w:szCs w:val="28"/>
          <w:lang w:val="nl-NL"/>
        </w:rPr>
        <w:t xml:space="preserve">Căn cứ Nghị định số 186/2025/NĐ-CP ngày 01/7/2025 của Chính phủ quy định chi tiết một số điều của Luật Quản lý, sử dụng tài sản công; </w:t>
      </w:r>
    </w:p>
    <w:p>
      <w:pPr>
        <w:pStyle w:val="Normal"/>
        <w:spacing w:lineRule="auto" w:line="288" w:before="60" w:after="60"/>
        <w:ind w:firstLine="544" w:end="0"/>
        <w:jc w:val="both"/>
        <w:rPr>
          <w:i/>
          <w:iCs/>
          <w:sz w:val="28"/>
          <w:szCs w:val="28"/>
          <w:lang w:val="nl-NL"/>
        </w:rPr>
      </w:pPr>
      <w:r>
        <w:rPr>
          <w:i/>
          <w:iCs/>
          <w:sz w:val="28"/>
          <w:szCs w:val="28"/>
          <w:lang w:val="nl-NL"/>
        </w:rPr>
        <w:t>Căn cứ Nghị định số 98/2021/NĐ-CP ngày 08/11/2021 của Chính phủ về quản lý trang thiết bị y tế; Thông tư số 05/2022/TT-BYT ngày 01/8/2022 của Bộ Y tế quy định chi tiết thi hành một số điều của Nghị định số 98/2021/NĐ-CP ngày 08/11/2021 của Chính phủ về quản lý trang thiết bị y tế; Nghị định số 07/2023/NĐ-CP ngày 03/03/2023 của Chính phủ sửa đổi, bổ sung một số điều của Nghị định 98/2021/NĐ-CP ngày 08/11/2021 của Chính phủ về Quản lý trang thiết bị y tế;</w:t>
      </w:r>
    </w:p>
    <w:p>
      <w:pPr>
        <w:pStyle w:val="Normal"/>
        <w:spacing w:lineRule="auto" w:line="288" w:before="60" w:after="60"/>
        <w:ind w:firstLine="544" w:end="0"/>
        <w:jc w:val="both"/>
        <w:rPr>
          <w:i/>
          <w:iCs/>
          <w:sz w:val="28"/>
          <w:szCs w:val="28"/>
          <w:lang w:val="nl-NL"/>
        </w:rPr>
      </w:pPr>
      <w:r>
        <w:rPr>
          <w:i/>
          <w:iCs/>
          <w:sz w:val="28"/>
          <w:szCs w:val="28"/>
          <w:lang w:val="nl-NL"/>
        </w:rPr>
        <w:t>Căn cứ Nghị định số 60/2021/NĐ-CP ngày 21/6/2021 của Chính phủ về quy định cơ chế tự chủ tài chính của đơn vị sự nghiệp công lập; Nghị định số 111/2025/NĐ-CP ngày 22/5/2025 của Chính phủ sửa đổi, bổ sung một số điều của Nghị định số 60/2021/NĐ-CP ngày 21/6/2021 của Chính phủ quy định cơ chế tự chủ tài chính của đơn vị sự nghiệp công lập;</w:t>
      </w:r>
    </w:p>
    <w:p>
      <w:pPr>
        <w:pStyle w:val="Normal"/>
        <w:spacing w:lineRule="auto" w:line="288" w:before="60" w:after="60"/>
        <w:ind w:firstLine="544" w:end="0"/>
        <w:jc w:val="both"/>
        <w:rPr>
          <w:i/>
          <w:iCs/>
          <w:sz w:val="28"/>
          <w:szCs w:val="28"/>
          <w:lang w:val="nl-NL"/>
        </w:rPr>
      </w:pPr>
      <w:r>
        <w:rPr>
          <w:i/>
          <w:iCs/>
          <w:sz w:val="28"/>
          <w:szCs w:val="28"/>
          <w:lang w:val="nl-NL"/>
        </w:rPr>
        <w:t>Căn cứ Nghị định số 98/2025/NĐ-CP ngày 06/5/2025 của Chính phủ quy định việc lập dự toán, quản lý, sử dụng và quyết toán chi thường xuyên ngân sách nhà nước để mua sắm, sửa chữa, cải tạo, nâng cấp tài sản, trang thiết bị; chi thuê hàng hóa, dịch vụ; sửa chữa, cải tạo, nâng cấp, mở rộng, xây dựng mới hạng mục công trình trong các dự án đã đầu tư xây dựng và các nhiệm vụ cần thiết khác;</w:t>
      </w:r>
    </w:p>
    <w:p>
      <w:pPr>
        <w:pStyle w:val="Normal"/>
        <w:spacing w:lineRule="auto" w:line="288" w:before="60" w:after="60"/>
        <w:ind w:firstLine="544" w:end="0"/>
        <w:jc w:val="both"/>
        <w:rPr>
          <w:i/>
          <w:iCs/>
          <w:sz w:val="28"/>
          <w:szCs w:val="28"/>
          <w:lang w:val="nl-NL"/>
        </w:rPr>
      </w:pPr>
      <w:r>
        <w:rPr>
          <w:i/>
          <w:iCs/>
          <w:sz w:val="28"/>
          <w:szCs w:val="28"/>
          <w:lang w:val="nl-NL"/>
        </w:rPr>
        <w:t>Căn cứ Thông tư số 79/2025/TT-BTC ngày 04/8/2025 của Bộ tài chính hướng dẫn việc cung cấp, đăng tải thông tin về đấu thầu và mẫu hồ sơ đấu thầu trên Hệ thống mạng đấu thầu quốc gia;</w:t>
      </w:r>
    </w:p>
    <w:p>
      <w:pPr>
        <w:pStyle w:val="Normal"/>
        <w:spacing w:lineRule="auto" w:line="288" w:before="60" w:after="60"/>
        <w:ind w:firstLine="544" w:end="0"/>
        <w:jc w:val="both"/>
        <w:rPr>
          <w:i/>
          <w:iCs/>
          <w:sz w:val="28"/>
          <w:szCs w:val="28"/>
          <w:lang w:val="nl-NL"/>
        </w:rPr>
      </w:pPr>
      <w:r>
        <w:rPr>
          <w:i/>
          <w:iCs/>
          <w:sz w:val="28"/>
          <w:szCs w:val="28"/>
          <w:lang w:val="nl-NL"/>
        </w:rPr>
        <w:t>Căn cứ Nghị quyết số 17/2025/NQ-HĐND ngày 17/9/2025 của Hội đồng nhân dân tỉnh Phú Thọ quy định thẩm quyền quyết định phê duyệt nhiệm vụ và dự toán kinh phí thực hiện chi thường xuyên ngân sách nhà nước để mua sắm, sửa chữa, cải tạo, nâng cấp tài sản, trang thiết bị; chi thuê hàng hóa, dịch vụ; sửa chữa cải tạo, nâng cấp, mở rộng, xây dựng mới hạng mục công trình trong các dự án đã đầu tư xây dựng thuộc phạm vi quản lý của tỉnh Phú Thọ;</w:t>
      </w:r>
    </w:p>
    <w:p>
      <w:pPr>
        <w:pStyle w:val="Normal"/>
        <w:spacing w:lineRule="auto" w:line="288" w:before="60" w:after="60"/>
        <w:ind w:firstLine="544" w:end="0"/>
        <w:jc w:val="both"/>
        <w:rPr>
          <w:i/>
          <w:iCs/>
          <w:sz w:val="28"/>
          <w:szCs w:val="28"/>
          <w:lang w:val="nl-NL"/>
        </w:rPr>
      </w:pPr>
      <w:r>
        <w:rPr>
          <w:i/>
          <w:iCs/>
          <w:sz w:val="28"/>
          <w:szCs w:val="28"/>
          <w:lang w:val="nl-NL"/>
        </w:rPr>
        <w:t>Quyết định số 42/2025/QĐ-CTUBND ngày 20/9/2025 của Chủ tịch UBND tỉnh Phú Thọ phân cấp thẩm quyền quyết định quản lý tài sản công tại các cơ quan, tổ chức, đơn vị thuộc phạm vi quản lý của tỉnh Phú Thọ;</w:t>
      </w:r>
    </w:p>
    <w:p>
      <w:pPr>
        <w:pStyle w:val="Normal"/>
        <w:spacing w:lineRule="auto" w:line="288" w:before="60" w:after="60"/>
        <w:ind w:firstLine="544" w:end="0"/>
        <w:jc w:val="both"/>
        <w:rPr>
          <w:i/>
          <w:iCs/>
          <w:sz w:val="28"/>
          <w:szCs w:val="28"/>
          <w:lang w:val="nl-NL"/>
        </w:rPr>
      </w:pPr>
      <w:r>
        <w:rPr>
          <w:i/>
          <w:iCs/>
          <w:sz w:val="28"/>
          <w:szCs w:val="28"/>
          <w:lang w:val="nl-NL"/>
        </w:rPr>
        <w:t>Quyết định số 47/2025/QĐ-CTUBND ngày 25/9/2025 của Chủ tịch UBND tỉnh Phú Thọ phân cấp thẩm quyền của Chủ tịch Ủy ban nhân dân tỉnh cho người đứng đầu cơ quan, đơn vị trực thuộc thực hiện một số nội dung quản lý đầu tư công trên địa bàn tỉnh Phú Thọ;</w:t>
      </w:r>
    </w:p>
    <w:p>
      <w:pPr>
        <w:pStyle w:val="Normal"/>
        <w:spacing w:lineRule="auto" w:line="288" w:before="60" w:after="60"/>
        <w:ind w:firstLine="544" w:end="0"/>
        <w:jc w:val="both"/>
        <w:rPr>
          <w:i/>
          <w:iCs/>
          <w:sz w:val="28"/>
          <w:szCs w:val="28"/>
          <w:lang w:val="nl-NL"/>
        </w:rPr>
      </w:pPr>
      <w:r>
        <w:rPr>
          <w:i/>
          <w:iCs/>
          <w:sz w:val="28"/>
          <w:szCs w:val="28"/>
          <w:lang w:val="nl-NL"/>
        </w:rPr>
        <w:t>Căn cứ Quyết định số 3064/QĐ-UBND ngày 16/11/2017 của Chủ tịch UBND tỉnh Phú Thọ về việc giao quyền tự chủ, tự chịu trách nhiệm về tài chính cho các cơ quan, đơn vị thuộc tỉnh Phú Thọ quản lý; Quyết định số 2430/QĐ-UBND ngày 15/11/2023 của Chủ tịch UBND tỉnh Phú Thọ về việc phê duyệt mức độ tự chủ của các đơn vị sự nghiệp công lập cấp tỉnh giai đoạn 2023-2025;</w:t>
      </w:r>
    </w:p>
    <w:p>
      <w:pPr>
        <w:pStyle w:val="Normal"/>
        <w:spacing w:lineRule="auto" w:line="288" w:before="60" w:after="60"/>
        <w:ind w:firstLine="567" w:end="0"/>
        <w:jc w:val="both"/>
        <w:rPr>
          <w:i/>
          <w:iCs/>
          <w:sz w:val="28"/>
          <w:szCs w:val="28"/>
        </w:rPr>
      </w:pPr>
      <w:r>
        <w:rPr>
          <w:i/>
          <w:iCs/>
          <w:sz w:val="28"/>
          <w:szCs w:val="28"/>
        </w:rPr>
        <w:t xml:space="preserve">Căn cứ </w:t>
      </w:r>
      <w:r>
        <w:rPr>
          <w:i/>
          <w:spacing w:val="3"/>
          <w:sz w:val="28"/>
          <w:szCs w:val="28"/>
          <w:shd w:fill="FFFFFF" w:val="clear"/>
        </w:rPr>
        <w:t>Căn cứ Quyết định số 466/QĐ-UBND ngày 13/02/2027 của Uỷ ban nhân dân tỉnh Phú Thọ về việc quy định vị trí, chức năng, nhiệm vụ, quyền hạn và cơ cấu tổ chức của Bệnh viện đa khoa tỉnh Phú Thọ thuộc Sở Y tế tỉnh Phú Thọ</w:t>
      </w:r>
      <w:r>
        <w:rPr>
          <w:i/>
          <w:iCs/>
          <w:sz w:val="28"/>
          <w:szCs w:val="28"/>
        </w:rPr>
        <w:t>;</w:t>
      </w:r>
    </w:p>
    <w:p>
      <w:pPr>
        <w:pStyle w:val="Normal"/>
        <w:spacing w:lineRule="auto" w:line="288" w:before="60" w:after="60"/>
        <w:ind w:firstLine="544" w:end="0"/>
        <w:jc w:val="both"/>
        <w:rPr>
          <w:i/>
          <w:iCs/>
          <w:sz w:val="28"/>
          <w:szCs w:val="28"/>
          <w:lang w:val="nl-NL"/>
        </w:rPr>
      </w:pPr>
      <w:r>
        <w:rPr>
          <w:i/>
          <w:iCs/>
          <w:sz w:val="28"/>
          <w:szCs w:val="28"/>
          <w:lang w:val="nl-NL"/>
        </w:rPr>
        <w:t>Căn cứ Văn bản số 4203/SYT-KHTC ngày 25/12/2024 của Sở Y tế Phú Thọ về việc hướng dẫn một số nội dung về quản lý, sử dụng tài sản công;</w:t>
      </w:r>
    </w:p>
    <w:p>
      <w:pPr>
        <w:pStyle w:val="Normal"/>
        <w:spacing w:lineRule="auto" w:line="288" w:before="60" w:after="60"/>
        <w:ind w:firstLine="567" w:end="0"/>
        <w:jc w:val="both"/>
        <w:rPr>
          <w:rFonts w:eastAsia="Calibri"/>
          <w:i/>
          <w:sz w:val="28"/>
          <w:szCs w:val="28"/>
        </w:rPr>
      </w:pPr>
      <w:r>
        <w:rPr>
          <w:i/>
          <w:iCs/>
          <w:sz w:val="28"/>
          <w:szCs w:val="28"/>
          <w:lang w:val="nl-NL"/>
        </w:rPr>
        <w:t>Căn cứ Quyết định số 101/QĐ-BV ngày 05/01/2027 của Giám đốc Bệnh viện đa khoa tỉnh Phú Thọ về việc kiện toàn Tổ chuyên gia đấu thầu các gói thầu mua sắm thiết bị y tế, vật tư tiêu hao, hóa chất xét nghiệm phục vụ công tác khám chữa bệnh tại Bệnh viện đa khoa tỉnh Phú Thọ;</w:t>
      </w:r>
    </w:p>
    <w:p>
      <w:pPr>
        <w:pStyle w:val="Normal"/>
        <w:spacing w:lineRule="auto" w:line="288" w:before="60" w:after="60"/>
        <w:ind w:firstLine="544" w:end="0"/>
        <w:jc w:val="both"/>
        <w:rPr>
          <w:i/>
          <w:iCs/>
          <w:sz w:val="28"/>
          <w:szCs w:val="28"/>
          <w:lang w:val="nl-NL"/>
        </w:rPr>
      </w:pPr>
      <w:r>
        <w:rPr>
          <w:i/>
          <w:iCs/>
          <w:sz w:val="28"/>
          <w:szCs w:val="28"/>
          <w:lang w:val="nl-NL"/>
        </w:rPr>
        <w:t xml:space="preserve">Căn cứ Quyết định số </w:t>
      </w:r>
      <w:r>
        <w:rPr>
          <w:i/>
          <w:iCs/>
          <w:sz w:val="28"/>
          <w:szCs w:val="28"/>
          <w:lang w:val="vi-VN"/>
        </w:rPr>
        <w:t>202/QĐ-BV</w:t>
      </w:r>
      <w:r>
        <w:rPr>
          <w:rFonts w:eastAsia="Calibri"/>
          <w:i/>
          <w:sz w:val="28"/>
          <w:szCs w:val="28"/>
        </w:rPr>
        <w:t xml:space="preserve"> ngày </w:t>
      </w:r>
      <w:r>
        <w:rPr>
          <w:rFonts w:eastAsia="Calibri"/>
          <w:i/>
          <w:sz w:val="28"/>
          <w:szCs w:val="28"/>
          <w:lang w:val="vi-VN"/>
        </w:rPr>
        <w:t>11/02/2027</w:t>
      </w:r>
      <w:r>
        <w:rPr>
          <w:rFonts w:eastAsia="Calibri"/>
          <w:i/>
          <w:sz w:val="28"/>
          <w:szCs w:val="28"/>
        </w:rPr>
        <w:t xml:space="preserve"> </w:t>
      </w:r>
      <w:r>
        <w:rPr>
          <w:i/>
          <w:iCs/>
          <w:sz w:val="28"/>
          <w:szCs w:val="28"/>
          <w:lang w:val="nl-NL"/>
        </w:rPr>
        <w:t xml:space="preserve">của Giám đốc Bệnh viện đa khoa tỉnh Phú Thọ về việc phê duyệt chủ trương </w:t>
      </w:r>
      <w:r>
        <w:rPr>
          <w:i/>
          <w:iCs/>
          <w:sz w:val="28"/>
          <w:szCs w:val="28"/>
        </w:rPr>
        <w:t xml:space="preserve">mua sắm </w:t>
      </w:r>
      <w:r>
        <w:rPr>
          <w:i/>
          <w:iCs/>
          <w:sz w:val="28"/>
          <w:szCs w:val="28"/>
          <w:lang w:val="vi-VN"/>
        </w:rPr>
        <w:t>bộ xét nghiệm định lượng virus viêm gan B, C (MOCK)</w:t>
      </w:r>
      <w:r>
        <w:rPr>
          <w:i/>
          <w:iCs/>
          <w:sz w:val="28"/>
          <w:szCs w:val="28"/>
        </w:rPr>
        <w:t xml:space="preserve"> phục vụ công tác khám chữa bệnh tại Bệnh viện đa khoa tỉnh Phú Thọ</w:t>
      </w:r>
      <w:r>
        <w:rPr>
          <w:i/>
          <w:iCs/>
          <w:sz w:val="28"/>
          <w:szCs w:val="28"/>
          <w:lang w:val="nl-NL"/>
        </w:rPr>
        <w:t>;</w:t>
      </w:r>
    </w:p>
    <w:p>
      <w:pPr>
        <w:pStyle w:val="Normal"/>
        <w:spacing w:lineRule="auto" w:line="288" w:before="60" w:after="60"/>
        <w:ind w:firstLine="544" w:end="0"/>
        <w:jc w:val="both"/>
        <w:rPr>
          <w:i/>
          <w:iCs/>
          <w:sz w:val="28"/>
          <w:szCs w:val="28"/>
          <w:lang w:val="nl-NL"/>
        </w:rPr>
      </w:pPr>
      <w:r>
        <w:rPr>
          <w:i/>
          <w:iCs/>
          <w:sz w:val="28"/>
          <w:szCs w:val="28"/>
          <w:lang w:val="nl-NL"/>
        </w:rPr>
        <w:t xml:space="preserve">Căn cứ Quyết định số </w:t>
      </w:r>
      <w:r>
        <w:rPr>
          <w:i/>
          <w:iCs/>
          <w:sz w:val="28"/>
          <w:szCs w:val="28"/>
          <w:lang w:val="vi-VN"/>
        </w:rPr>
        <w:t>303/QĐ-BV</w:t>
      </w:r>
      <w:r>
        <w:rPr>
          <w:i/>
          <w:sz w:val="28"/>
          <w:szCs w:val="28"/>
        </w:rPr>
        <w:t xml:space="preserve"> ngày </w:t>
      </w:r>
      <w:r>
        <w:rPr>
          <w:i/>
          <w:sz w:val="28"/>
          <w:szCs w:val="28"/>
          <w:lang w:val="vi-VN"/>
        </w:rPr>
        <w:t>24/02/2027</w:t>
      </w:r>
      <w:r>
        <w:rPr>
          <w:i/>
          <w:iCs/>
          <w:sz w:val="28"/>
          <w:szCs w:val="28"/>
          <w:lang w:val="nl-NL"/>
        </w:rPr>
        <w:t xml:space="preserve"> của Giám đốc Bệnh viện đa khoa tỉnh Phú Thọ về việc phê duyệt danh mục, số lượng, cấu hình kỹ thuật </w:t>
      </w:r>
      <w:r>
        <w:rPr>
          <w:i/>
          <w:iCs/>
          <w:sz w:val="28"/>
          <w:szCs w:val="28"/>
          <w:lang w:val="vi-VN"/>
        </w:rPr>
        <w:t xml:space="preserve">của </w:t>
      </w:r>
      <w:r>
        <w:rPr>
          <w:i/>
          <w:iCs/>
          <w:sz w:val="28"/>
          <w:szCs w:val="28"/>
          <w:lang w:val="nl-NL"/>
        </w:rPr>
        <w:t xml:space="preserve">hạng mục: </w:t>
      </w:r>
      <w:r>
        <w:rPr>
          <w:i/>
          <w:iCs/>
          <w:sz w:val="28"/>
          <w:szCs w:val="28"/>
        </w:rPr>
        <w:t xml:space="preserve">Mua sắm </w:t>
      </w:r>
      <w:r>
        <w:rPr>
          <w:i/>
          <w:iCs/>
          <w:sz w:val="28"/>
          <w:szCs w:val="28"/>
          <w:lang w:val="vi-VN"/>
        </w:rPr>
        <w:t>bộ xét nghiệm định lượng virus viêm gan B, C (MOCK)</w:t>
      </w:r>
      <w:r>
        <w:rPr>
          <w:i/>
          <w:iCs/>
          <w:sz w:val="28"/>
          <w:szCs w:val="28"/>
        </w:rPr>
        <w:t xml:space="preserve"> phục vụ công tác khám chữa bệnh tại Bệnh viện đa khoa tỉnh Phú Thọ</w:t>
      </w:r>
      <w:r>
        <w:rPr>
          <w:i/>
          <w:iCs/>
          <w:sz w:val="28"/>
          <w:szCs w:val="28"/>
          <w:lang w:val="nl-NL"/>
        </w:rPr>
        <w:t>;</w:t>
      </w:r>
    </w:p>
    <w:p>
      <w:pPr>
        <w:pStyle w:val="Normal"/>
        <w:spacing w:lineRule="auto" w:line="288" w:before="60" w:after="60"/>
        <w:ind w:firstLine="544" w:end="0"/>
        <w:jc w:val="both"/>
        <w:rPr>
          <w:i/>
          <w:iCs/>
          <w:sz w:val="28"/>
          <w:szCs w:val="28"/>
          <w:lang w:val="nl-NL"/>
        </w:rPr>
      </w:pPr>
      <w:bookmarkStart w:id="0" w:name="_Hlk197503778"/>
      <w:r>
        <w:rPr>
          <w:i/>
          <w:iCs/>
          <w:sz w:val="28"/>
          <w:szCs w:val="28"/>
          <w:lang w:val="nl-NL"/>
        </w:rPr>
        <w:t xml:space="preserve">Căn cứ Quyết định số </w:t>
      </w:r>
      <w:r>
        <w:rPr>
          <w:i/>
          <w:iCs/>
          <w:sz w:val="28"/>
          <w:szCs w:val="28"/>
          <w:lang w:val="vi-VN"/>
        </w:rPr>
        <w:t>404/QĐ-BV</w:t>
      </w:r>
      <w:r>
        <w:rPr>
          <w:i/>
          <w:iCs/>
          <w:sz w:val="28"/>
          <w:szCs w:val="28"/>
          <w:lang w:val="nl-NL"/>
        </w:rPr>
        <w:t xml:space="preserve"> ngày </w:t>
      </w:r>
      <w:r>
        <w:rPr>
          <w:i/>
          <w:iCs/>
          <w:sz w:val="28"/>
          <w:szCs w:val="28"/>
          <w:lang w:val="vi-VN"/>
        </w:rPr>
        <w:t>26/02/2027</w:t>
      </w:r>
      <w:r>
        <w:rPr>
          <w:i/>
          <w:iCs/>
          <w:sz w:val="28"/>
          <w:szCs w:val="28"/>
          <w:lang w:val="nl-NL"/>
        </w:rPr>
        <w:t xml:space="preserve"> của Giám đốc Bệnh viện đa khoa tỉnh Phú Thọ về việc phê duyệt nhiệm vụ và dự toán kinh phí </w:t>
      </w:r>
      <w:bookmarkEnd w:id="0"/>
      <w:r>
        <w:rPr>
          <w:i/>
          <w:iCs/>
          <w:sz w:val="28"/>
          <w:szCs w:val="28"/>
        </w:rPr>
        <w:t xml:space="preserve">mua sắm </w:t>
      </w:r>
      <w:r>
        <w:rPr>
          <w:i/>
          <w:iCs/>
          <w:sz w:val="28"/>
          <w:szCs w:val="28"/>
          <w:lang w:val="vi-VN"/>
        </w:rPr>
        <w:t>bộ xét nghiệm định lượng virus viêm gan B, C (MOCK)</w:t>
      </w:r>
      <w:r>
        <w:rPr>
          <w:i/>
          <w:iCs/>
          <w:sz w:val="28"/>
          <w:szCs w:val="28"/>
        </w:rPr>
        <w:t xml:space="preserve"> phục vụ công tác khám chữa bệnh tại Bệnh viện đa khoa tỉnh Phú Thọ</w:t>
      </w:r>
      <w:r>
        <w:rPr>
          <w:i/>
          <w:iCs/>
          <w:sz w:val="28"/>
          <w:szCs w:val="28"/>
          <w:lang w:val="nl-NL"/>
        </w:rPr>
        <w:t>;</w:t>
      </w:r>
    </w:p>
    <w:p>
      <w:pPr>
        <w:pStyle w:val="Normal"/>
        <w:spacing w:lineRule="auto" w:line="288" w:before="60" w:after="60"/>
        <w:ind w:firstLine="567" w:end="0"/>
        <w:jc w:val="both"/>
        <w:rPr>
          <w:i/>
          <w:sz w:val="28"/>
          <w:szCs w:val="28"/>
        </w:rPr>
      </w:pPr>
      <w:r>
        <w:rPr>
          <w:i/>
          <w:iCs/>
          <w:sz w:val="28"/>
          <w:szCs w:val="28"/>
          <w:lang w:val="nl-NL"/>
        </w:rPr>
        <w:t>Căn cứ Quyết định số</w:t>
      </w:r>
      <w:bookmarkStart w:id="1" w:name="_Hlk195276129"/>
      <w:r>
        <w:rPr>
          <w:i/>
          <w:iCs/>
          <w:sz w:val="28"/>
          <w:szCs w:val="28"/>
          <w:lang w:val="nl-NL"/>
        </w:rPr>
        <w:t xml:space="preserve"> </w:t>
      </w:r>
      <w:r>
        <w:rPr>
          <w:i/>
          <w:iCs/>
          <w:sz w:val="28"/>
          <w:szCs w:val="28"/>
          <w:lang w:val="vi-VN"/>
        </w:rPr>
        <w:t>505/QĐ-BV</w:t>
      </w:r>
      <w:r>
        <w:rPr>
          <w:i/>
          <w:iCs/>
          <w:sz w:val="28"/>
          <w:szCs w:val="28"/>
          <w:lang w:val="nl-NL"/>
        </w:rPr>
        <w:t xml:space="preserve"> ngày</w:t>
      </w:r>
      <w:r>
        <w:rPr>
          <w:i/>
          <w:iCs/>
          <w:sz w:val="28"/>
          <w:szCs w:val="28"/>
        </w:rPr>
        <w:t xml:space="preserve"> </w:t>
      </w:r>
      <w:r>
        <w:rPr>
          <w:i/>
          <w:iCs/>
          <w:sz w:val="28"/>
          <w:szCs w:val="28"/>
          <w:lang w:val="vi-VN"/>
        </w:rPr>
        <w:t>02/3/2027</w:t>
      </w:r>
      <w:r>
        <w:rPr>
          <w:i/>
          <w:iCs/>
          <w:sz w:val="28"/>
          <w:szCs w:val="28"/>
          <w:lang w:val="nl-NL"/>
        </w:rPr>
        <w:t xml:space="preserve"> của Giám đốc Bệnh viện đa khoa tỉnh Phú Thọ về việc phê duyệt kế hoạch lựa chọn nhà thầu dự toán mua sắm: </w:t>
      </w:r>
      <w:bookmarkEnd w:id="1"/>
      <w:r>
        <w:rPr>
          <w:i/>
          <w:iCs/>
          <w:sz w:val="28"/>
          <w:szCs w:val="28"/>
        </w:rPr>
        <w:t xml:space="preserve">Mua sắm </w:t>
      </w:r>
      <w:r>
        <w:rPr>
          <w:i/>
          <w:iCs/>
          <w:sz w:val="28"/>
          <w:szCs w:val="28"/>
          <w:lang w:val="vi-VN"/>
        </w:rPr>
        <w:t>bộ xét nghiệm định lượng virus viêm gan B, C (MOCK)</w:t>
      </w:r>
      <w:r>
        <w:rPr>
          <w:i/>
          <w:iCs/>
          <w:sz w:val="28"/>
          <w:szCs w:val="28"/>
        </w:rPr>
        <w:t xml:space="preserve"> phục vụ công tác khám chữa bệnh tại Bệnh viện đa khoa tỉnh Phú Thọ</w:t>
      </w:r>
      <w:r>
        <w:rPr>
          <w:i/>
          <w:iCs/>
          <w:sz w:val="28"/>
          <w:szCs w:val="28"/>
          <w:lang w:val="nl-NL"/>
        </w:rPr>
        <w:t>;</w:t>
      </w:r>
    </w:p>
    <w:p>
      <w:pPr>
        <w:pStyle w:val="Normal"/>
        <w:spacing w:lineRule="auto" w:line="288" w:before="60" w:after="60"/>
        <w:ind w:firstLine="567" w:end="0"/>
        <w:jc w:val="both"/>
        <w:rPr>
          <w:i/>
          <w:color w:val="FF0000"/>
          <w:sz w:val="28"/>
          <w:szCs w:val="28"/>
        </w:rPr>
      </w:pPr>
      <w:r>
        <w:rPr>
          <w:i/>
          <w:color w:val="000000"/>
          <w:sz w:val="28"/>
          <w:szCs w:val="28"/>
        </w:rPr>
        <w:t xml:space="preserve">Căn cứ kết quả chào giá trực tuyến trên Hệ thống mạng đấu thầu quốc gia của gói thầu: Mua sắm </w:t>
      </w:r>
      <w:r>
        <w:rPr>
          <w:i/>
          <w:color w:val="000000"/>
          <w:sz w:val="28"/>
          <w:szCs w:val="28"/>
          <w:lang w:val="vi-VN"/>
        </w:rPr>
        <w:t xml:space="preserve">bộ xét nghiệm định lượng virus viêm gan B, C (MOCK) </w:t>
      </w:r>
      <w:r>
        <w:rPr>
          <w:i/>
          <w:color w:val="000000"/>
          <w:sz w:val="28"/>
          <w:szCs w:val="28"/>
        </w:rPr>
        <w:t xml:space="preserve">phục vụ công tác khám chữa bệnh tại Bệnh viện đa khoa tỉnh Phú Thọ (số E-TBMT: </w:t>
      </w:r>
      <w:r>
        <w:rPr>
          <w:i/>
          <w:color w:val="000000"/>
          <w:sz w:val="28"/>
          <w:szCs w:val="28"/>
          <w:lang w:val="vi-VN"/>
        </w:rPr>
        <w:t>IB2700000101</w:t>
      </w:r>
      <w:r>
        <w:rPr>
          <w:i/>
          <w:color w:val="000000"/>
          <w:sz w:val="28"/>
          <w:szCs w:val="28"/>
        </w:rPr>
        <w:t xml:space="preserve">) thuộc kế hoạch lựa chọn nhà thầu dự toán mua sắm: Mua sắm </w:t>
      </w:r>
      <w:r>
        <w:rPr>
          <w:i/>
          <w:color w:val="000000"/>
          <w:sz w:val="28"/>
          <w:szCs w:val="28"/>
          <w:lang w:val="vi-VN"/>
        </w:rPr>
        <w:t xml:space="preserve">bộ xét nghiệm định lượng virus viêm gan B, C (MOCK) </w:t>
      </w:r>
      <w:r>
        <w:rPr>
          <w:i/>
          <w:color w:val="000000"/>
          <w:sz w:val="28"/>
          <w:szCs w:val="28"/>
        </w:rPr>
        <w:t>phục vụ công tác khám chữa bệnh tại Bệnh viện đa khoa tỉnh Phú Thọ;</w:t>
      </w:r>
    </w:p>
    <w:p>
      <w:pPr>
        <w:pStyle w:val="Normal"/>
        <w:spacing w:lineRule="auto" w:line="288" w:before="60" w:after="60"/>
        <w:ind w:firstLine="567" w:end="0"/>
        <w:jc w:val="both"/>
        <w:rPr>
          <w:i/>
          <w:color w:val="FF0000"/>
          <w:sz w:val="28"/>
          <w:szCs w:val="28"/>
        </w:rPr>
      </w:pPr>
      <w:r>
        <w:rPr>
          <w:i/>
          <w:sz w:val="28"/>
          <w:szCs w:val="28"/>
        </w:rPr>
        <w:t xml:space="preserve">Căn cứ vào xác nhận chấp thuận được trao hợp đồng của </w:t>
      </w:r>
      <w:r>
        <w:rPr>
          <w:i/>
          <w:sz w:val="28"/>
          <w:szCs w:val="28"/>
          <w:lang w:val="vi-VN"/>
        </w:rPr>
        <w:t xml:space="preserve">Công ty TNHH Mô Phỏng Mock </w:t>
      </w:r>
      <w:r>
        <w:rPr>
          <w:i/>
          <w:sz w:val="28"/>
          <w:szCs w:val="28"/>
        </w:rPr>
        <w:t xml:space="preserve">trên Hệ thống mạng đấu thầu quốc gia ngày </w:t>
      </w:r>
      <w:r>
        <w:rPr>
          <w:i/>
          <w:sz w:val="28"/>
          <w:szCs w:val="28"/>
          <w:lang w:val="vi-VN"/>
        </w:rPr>
        <w:t>10/3/2027</w:t>
      </w:r>
      <w:r>
        <w:rPr>
          <w:i/>
          <w:sz w:val="28"/>
          <w:szCs w:val="28"/>
        </w:rPr>
        <w:t>;</w:t>
      </w:r>
    </w:p>
    <w:p>
      <w:pPr>
        <w:pStyle w:val="Normal"/>
        <w:tabs>
          <w:tab w:val="clear" w:pos="720"/>
          <w:tab w:val="left" w:pos="450" w:leader="none"/>
          <w:tab w:val="left" w:pos="540" w:leader="none"/>
          <w:tab w:val="left" w:pos="567" w:leader="none"/>
        </w:tabs>
        <w:spacing w:lineRule="auto" w:line="288" w:before="60" w:after="60"/>
        <w:jc w:val="both"/>
        <w:rPr>
          <w:i/>
          <w:sz w:val="28"/>
          <w:szCs w:val="28"/>
        </w:rPr>
      </w:pPr>
      <w:r>
        <w:rPr>
          <w:i/>
          <w:sz w:val="28"/>
          <w:szCs w:val="28"/>
        </w:rPr>
        <w:t xml:space="preserve"> </w:t>
      </w:r>
      <w:r>
        <w:rPr>
          <w:i/>
          <w:sz w:val="28"/>
          <w:szCs w:val="28"/>
        </w:rPr>
        <w:tab/>
        <w:tab/>
        <w:tab/>
        <w:t>Xét đề nghị của Tổ chuyên gia.</w:t>
      </w:r>
    </w:p>
    <w:p>
      <w:pPr>
        <w:pStyle w:val="Normal"/>
        <w:spacing w:lineRule="auto" w:line="288" w:before="240" w:after="120"/>
        <w:jc w:val="center"/>
        <w:rPr>
          <w:iCs/>
          <w:sz w:val="28"/>
          <w:szCs w:val="28"/>
        </w:rPr>
      </w:pPr>
      <w:r>
        <w:rPr>
          <w:b/>
          <w:bCs/>
          <w:iCs/>
          <w:sz w:val="28"/>
          <w:szCs w:val="28"/>
          <w:lang w:val="vi-VN"/>
        </w:rPr>
        <w:t>QUYẾT ĐỊNH</w:t>
      </w:r>
      <w:r>
        <w:rPr>
          <w:b/>
          <w:bCs/>
          <w:iCs/>
          <w:sz w:val="28"/>
          <w:szCs w:val="28"/>
        </w:rPr>
        <w:t>:</w:t>
      </w:r>
    </w:p>
    <w:p>
      <w:pPr>
        <w:pStyle w:val="Normal"/>
        <w:spacing w:lineRule="auto" w:line="288"/>
        <w:ind w:firstLine="567" w:end="0"/>
        <w:jc w:val="both"/>
        <w:rPr>
          <w:sz w:val="28"/>
          <w:szCs w:val="28"/>
          <w:lang w:val="nl-NL"/>
        </w:rPr>
      </w:pPr>
      <w:r>
        <w:rPr>
          <w:b/>
          <w:sz w:val="28"/>
          <w:szCs w:val="28"/>
          <w:lang w:val="nl-NL"/>
        </w:rPr>
        <w:t xml:space="preserve">Điều 1. </w:t>
      </w:r>
      <w:r>
        <w:rPr>
          <w:sz w:val="28"/>
          <w:szCs w:val="28"/>
          <w:lang w:val="nl-NL"/>
        </w:rPr>
        <w:t>Phê duyệt kết quả lựa chọn nhà thầu của gói thầu</w:t>
      </w:r>
      <w:r>
        <w:rPr>
          <w:rFonts w:eastAsia="Calibri"/>
          <w:kern w:val="2"/>
          <w:sz w:val="28"/>
          <w:szCs w:val="28"/>
        </w:rPr>
        <w:t xml:space="preserve">: </w:t>
      </w:r>
      <w:r>
        <w:rPr>
          <w:rFonts w:eastAsia="Calibri"/>
          <w:iCs/>
          <w:color w:val="000000"/>
          <w:kern w:val="2"/>
          <w:sz w:val="28"/>
          <w:szCs w:val="28"/>
        </w:rPr>
        <w:t xml:space="preserve">Mua sắm </w:t>
      </w:r>
      <w:r>
        <w:rPr>
          <w:rFonts w:eastAsia="Calibri"/>
          <w:iCs/>
          <w:color w:val="000000"/>
          <w:kern w:val="2"/>
          <w:sz w:val="28"/>
          <w:szCs w:val="28"/>
          <w:lang w:val="vi-VN"/>
        </w:rPr>
        <w:t xml:space="preserve">bộ xét nghiệm định lượng virus viêm gan B, C (MOCK) </w:t>
      </w:r>
      <w:r>
        <w:rPr>
          <w:rFonts w:eastAsia="Calibri"/>
          <w:iCs/>
          <w:color w:val="000000"/>
          <w:kern w:val="2"/>
          <w:sz w:val="28"/>
          <w:szCs w:val="28"/>
        </w:rPr>
        <w:t>phục vụ công tác khám chữa bệnh</w:t>
      </w:r>
      <w:r>
        <w:rPr>
          <w:iCs/>
          <w:color w:val="000000"/>
          <w:sz w:val="28"/>
          <w:szCs w:val="28"/>
        </w:rPr>
        <w:t xml:space="preserve"> tại Bệnh viện đa khoa tỉnh Phú Thọ</w:t>
      </w:r>
      <w:r>
        <w:rPr>
          <w:iCs/>
          <w:sz w:val="28"/>
          <w:szCs w:val="28"/>
          <w:lang w:val="pt-BR"/>
        </w:rPr>
        <w:t xml:space="preserve"> thuộc kế hoạch lựa chọn nhà thầu: </w:t>
      </w:r>
      <w:r>
        <w:rPr>
          <w:rFonts w:eastAsia="Calibri"/>
          <w:iCs/>
          <w:color w:val="000000"/>
          <w:kern w:val="2"/>
          <w:sz w:val="28"/>
          <w:szCs w:val="28"/>
        </w:rPr>
        <w:t xml:space="preserve">Mua sắm </w:t>
      </w:r>
      <w:r>
        <w:rPr>
          <w:rFonts w:eastAsia="Calibri"/>
          <w:iCs/>
          <w:color w:val="000000"/>
          <w:kern w:val="2"/>
          <w:sz w:val="28"/>
          <w:szCs w:val="28"/>
          <w:lang w:val="vi-VN"/>
        </w:rPr>
        <w:t xml:space="preserve">bộ xét nghiệm định lượng virus viêm gan B, C (MOCK) </w:t>
      </w:r>
      <w:r>
        <w:rPr>
          <w:rFonts w:eastAsia="Calibri"/>
          <w:iCs/>
          <w:color w:val="000000"/>
          <w:kern w:val="2"/>
          <w:sz w:val="28"/>
          <w:szCs w:val="28"/>
        </w:rPr>
        <w:t>phục vụ công tác khám chữa bệnh</w:t>
      </w:r>
      <w:r>
        <w:rPr>
          <w:iCs/>
          <w:color w:val="000000"/>
          <w:sz w:val="28"/>
          <w:szCs w:val="28"/>
        </w:rPr>
        <w:t xml:space="preserve"> tại Bệnh viện đa khoa tỉnh Phú Thọ</w:t>
      </w:r>
      <w:r>
        <w:rPr>
          <w:iCs/>
          <w:sz w:val="28"/>
          <w:szCs w:val="28"/>
        </w:rPr>
        <w:t>,</w:t>
      </w:r>
      <w:r>
        <w:rPr>
          <w:sz w:val="28"/>
          <w:szCs w:val="28"/>
          <w:lang w:val="nl-NL"/>
        </w:rPr>
        <w:t xml:space="preserve"> bao gồm: </w:t>
      </w:r>
    </w:p>
    <w:p>
      <w:pPr>
        <w:pStyle w:val="Normal"/>
        <w:spacing w:lineRule="auto" w:line="288" w:before="60" w:after="60"/>
        <w:ind w:firstLine="567" w:end="0"/>
        <w:jc w:val="both"/>
        <w:rPr>
          <w:b/>
          <w:bCs/>
          <w:sz w:val="28"/>
          <w:szCs w:val="28"/>
          <w:lang w:val="nl-NL"/>
        </w:rPr>
      </w:pPr>
      <w:r>
        <w:rPr>
          <w:b/>
          <w:bCs/>
          <w:sz w:val="28"/>
          <w:szCs w:val="28"/>
          <w:lang w:val="nl-NL"/>
        </w:rPr>
        <w:t>1. Thông tin về gói thầu</w:t>
      </w:r>
    </w:p>
    <w:p>
      <w:pPr>
        <w:pStyle w:val="Normal"/>
        <w:tabs>
          <w:tab w:val="clear" w:pos="720"/>
          <w:tab w:val="left" w:pos="709" w:leader="none"/>
          <w:tab w:val="left" w:pos="851" w:leader="none"/>
        </w:tabs>
        <w:spacing w:lineRule="auto" w:line="288"/>
        <w:ind w:start="567" w:end="0"/>
        <w:jc w:val="both"/>
        <w:rPr>
          <w:color w:val="FF0000"/>
          <w:sz w:val="28"/>
          <w:szCs w:val="28"/>
        </w:rPr>
      </w:pPr>
      <w:r>
        <w:rPr>
          <w:sz w:val="28"/>
          <w:szCs w:val="28"/>
          <w:lang w:val="nl-NL"/>
        </w:rPr>
        <w:t xml:space="preserve">-  Số E-TBMT: </w:t>
      </w:r>
      <w:r>
        <w:rPr>
          <w:sz w:val="28"/>
          <w:szCs w:val="28"/>
          <w:lang w:val="vi-VN"/>
        </w:rPr>
        <w:t>IB2700000101</w:t>
      </w:r>
    </w:p>
    <w:p>
      <w:pPr>
        <w:pStyle w:val="Normal"/>
        <w:spacing w:lineRule="auto" w:line="288"/>
        <w:ind w:firstLine="567" w:end="0"/>
        <w:jc w:val="both"/>
        <w:rPr>
          <w:sz w:val="28"/>
          <w:szCs w:val="28"/>
        </w:rPr>
      </w:pPr>
      <w:r>
        <w:rPr>
          <w:sz w:val="28"/>
          <w:szCs w:val="28"/>
        </w:rPr>
        <w:t xml:space="preserve">- Tên gói thầu: </w:t>
      </w:r>
      <w:r>
        <w:rPr>
          <w:rFonts w:eastAsia="Calibri"/>
          <w:iCs/>
          <w:color w:val="000000"/>
          <w:kern w:val="2"/>
          <w:sz w:val="28"/>
          <w:szCs w:val="28"/>
        </w:rPr>
        <w:t xml:space="preserve">Mua sắm </w:t>
      </w:r>
      <w:r>
        <w:rPr>
          <w:rFonts w:eastAsia="Calibri"/>
          <w:iCs/>
          <w:color w:val="000000"/>
          <w:kern w:val="2"/>
          <w:sz w:val="28"/>
          <w:szCs w:val="28"/>
          <w:lang w:val="vi-VN"/>
        </w:rPr>
        <w:t xml:space="preserve">bộ xét nghiệm định lượng virus viêm gan B, C (MOCK) </w:t>
      </w:r>
      <w:r>
        <w:rPr>
          <w:rFonts w:eastAsia="Calibri"/>
          <w:iCs/>
          <w:color w:val="000000"/>
          <w:kern w:val="2"/>
          <w:sz w:val="28"/>
          <w:szCs w:val="28"/>
        </w:rPr>
        <w:t>phục vụ công tác khám chữa bệnh</w:t>
      </w:r>
      <w:r>
        <w:rPr>
          <w:iCs/>
          <w:color w:val="000000"/>
          <w:sz w:val="28"/>
          <w:szCs w:val="28"/>
        </w:rPr>
        <w:t xml:space="preserve"> tại Bệnh viện đa khoa tỉnh Phú Thọ</w:t>
      </w:r>
      <w:r>
        <w:rPr>
          <w:iCs/>
          <w:sz w:val="28"/>
          <w:szCs w:val="28"/>
        </w:rPr>
        <w:t>.</w:t>
      </w:r>
    </w:p>
    <w:p>
      <w:pPr>
        <w:pStyle w:val="Normal"/>
        <w:spacing w:lineRule="auto" w:line="288"/>
        <w:ind w:firstLine="567" w:end="0"/>
        <w:jc w:val="both"/>
        <w:rPr>
          <w:bCs/>
          <w:sz w:val="28"/>
          <w:szCs w:val="28"/>
          <w:lang w:val="es-ES"/>
        </w:rPr>
      </w:pPr>
      <w:r>
        <w:rPr>
          <w:sz w:val="28"/>
          <w:szCs w:val="28"/>
        </w:rPr>
        <w:t xml:space="preserve">- Giá gói thầu: </w:t>
      </w:r>
      <w:r>
        <w:rPr>
          <w:sz w:val="28"/>
          <w:szCs w:val="28"/>
          <w:lang w:val="vi-VN"/>
        </w:rPr>
        <w:t>1.946.700.000 VND</w:t>
      </w:r>
      <w:r>
        <w:rPr>
          <w:bCs/>
          <w:sz w:val="28"/>
          <w:szCs w:val="28"/>
          <w:lang w:val="es-ES"/>
        </w:rPr>
        <w:t xml:space="preserve"> (Bằng chữ: </w:t>
      </w:r>
      <w:r>
        <w:rPr>
          <w:sz w:val="28"/>
          <w:szCs w:val="28"/>
          <w:lang w:val="pt-BR"/>
        </w:rPr>
        <w:t xml:space="preserve">Một tỷ, </w:t>
      </w:r>
      <w:r>
        <w:rPr>
          <w:sz w:val="28"/>
          <w:szCs w:val="28"/>
          <w:lang w:val="vi-VN"/>
        </w:rPr>
        <w:t xml:space="preserve">chín trăm bốn mươi sáu triệu, bảy trăm nghìn </w:t>
      </w:r>
      <w:r>
        <w:rPr>
          <w:sz w:val="28"/>
          <w:szCs w:val="28"/>
          <w:lang w:val="pt-BR"/>
        </w:rPr>
        <w:t>đồng</w:t>
      </w:r>
      <w:r>
        <w:rPr>
          <w:bCs/>
          <w:sz w:val="28"/>
          <w:szCs w:val="28"/>
          <w:lang w:val="es-ES"/>
        </w:rPr>
        <w:t>./.).</w:t>
      </w:r>
    </w:p>
    <w:p>
      <w:pPr>
        <w:pStyle w:val="Normal"/>
        <w:spacing w:lineRule="auto" w:line="288"/>
        <w:ind w:firstLine="567" w:end="0"/>
        <w:jc w:val="both"/>
        <w:rPr>
          <w:iCs/>
          <w:sz w:val="28"/>
          <w:szCs w:val="28"/>
          <w:lang w:val="es-ES"/>
        </w:rPr>
      </w:pPr>
      <w:r>
        <w:rPr>
          <w:iCs/>
          <w:sz w:val="28"/>
          <w:szCs w:val="28"/>
          <w:lang w:val="es-ES"/>
        </w:rPr>
        <w:t>- Tên chủ đầu tư: Bệnh viện đa khoa tỉnh Phú Thọ.</w:t>
      </w:r>
    </w:p>
    <w:p>
      <w:pPr>
        <w:pStyle w:val="Normal"/>
        <w:spacing w:lineRule="auto" w:line="288"/>
        <w:ind w:start="567" w:end="0"/>
        <w:jc w:val="both"/>
        <w:rPr>
          <w:iCs/>
          <w:sz w:val="28"/>
          <w:szCs w:val="28"/>
          <w:lang w:val="es-ES"/>
        </w:rPr>
      </w:pPr>
      <w:r>
        <w:rPr>
          <w:iCs/>
          <w:sz w:val="28"/>
          <w:szCs w:val="28"/>
          <w:lang w:val="es-ES"/>
        </w:rPr>
        <w:t xml:space="preserve">- Hình thức lựa chọn nhà thầu: </w:t>
      </w:r>
      <w:r>
        <w:rPr>
          <w:sz w:val="28"/>
          <w:szCs w:val="28"/>
          <w:lang w:val="sv-SE"/>
        </w:rPr>
        <w:t>Chào giá trực tuyến rút gọn</w:t>
      </w:r>
      <w:r>
        <w:rPr>
          <w:sz w:val="28"/>
          <w:szCs w:val="28"/>
          <w:lang w:val="pt-BR"/>
        </w:rPr>
        <w:t>.</w:t>
      </w:r>
    </w:p>
    <w:p>
      <w:pPr>
        <w:pStyle w:val="Normal"/>
        <w:spacing w:lineRule="auto" w:line="288"/>
        <w:ind w:start="567" w:end="0"/>
        <w:jc w:val="both"/>
        <w:rPr>
          <w:iCs/>
          <w:sz w:val="28"/>
          <w:szCs w:val="28"/>
          <w:lang w:val="es-ES"/>
        </w:rPr>
      </w:pPr>
      <w:r>
        <w:rPr>
          <w:iCs/>
          <w:sz w:val="28"/>
          <w:szCs w:val="28"/>
          <w:lang w:val="es-ES"/>
        </w:rPr>
        <w:t xml:space="preserve">- Loại hợp đồng: </w:t>
      </w:r>
      <w:r>
        <w:rPr>
          <w:sz w:val="28"/>
          <w:szCs w:val="28"/>
          <w:lang w:val="pt-BR"/>
        </w:rPr>
        <w:t>Hợp đồng trọn gói.</w:t>
      </w:r>
    </w:p>
    <w:p>
      <w:pPr>
        <w:pStyle w:val="Normal"/>
        <w:spacing w:lineRule="auto" w:line="288"/>
        <w:ind w:start="567" w:end="0"/>
        <w:jc w:val="both"/>
        <w:rPr>
          <w:sz w:val="28"/>
          <w:szCs w:val="28"/>
          <w:lang w:val="pt-BR"/>
        </w:rPr>
      </w:pPr>
      <w:r>
        <w:rPr>
          <w:iCs/>
          <w:sz w:val="28"/>
          <w:szCs w:val="28"/>
          <w:lang w:val="es-ES"/>
        </w:rPr>
        <w:t xml:space="preserve">- Thời gian thực hiện hợp đồng: </w:t>
      </w:r>
      <w:r>
        <w:rPr>
          <w:iCs/>
          <w:sz w:val="28"/>
          <w:szCs w:val="28"/>
          <w:lang w:val="vi-VN"/>
        </w:rPr>
        <w:t>240</w:t>
      </w:r>
      <w:r>
        <w:rPr>
          <w:sz w:val="28"/>
          <w:szCs w:val="28"/>
          <w:lang w:val="pt-BR"/>
        </w:rPr>
        <w:t xml:space="preserve"> ngày.</w:t>
      </w:r>
    </w:p>
    <w:p>
      <w:pPr>
        <w:pStyle w:val="Normal"/>
        <w:spacing w:lineRule="auto" w:line="288" w:before="0" w:after="60"/>
        <w:ind w:firstLine="567" w:end="0"/>
        <w:jc w:val="both"/>
        <w:rPr>
          <w:b/>
          <w:bCs/>
          <w:sz w:val="28"/>
          <w:szCs w:val="28"/>
          <w:lang w:val="pt-BR"/>
        </w:rPr>
      </w:pPr>
      <w:r>
        <w:rPr>
          <w:b/>
          <w:bCs/>
          <w:sz w:val="28"/>
          <w:szCs w:val="28"/>
          <w:lang w:val="pt-BR"/>
        </w:rPr>
        <w:t>2. Thông tin về nhà thầu trúng thầu</w:t>
      </w:r>
    </w:p>
    <w:tbl>
      <w:tblPr>
        <w:tblW w:w="10206" w:type="dxa"/>
        <w:jc w:val="start"/>
        <w:tblInd w:w="-459" w:type="dxa"/>
        <w:tblLayout w:type="fixed"/>
        <w:tblCellMar>
          <w:top w:w="0" w:type="dxa"/>
          <w:start w:w="108" w:type="dxa"/>
          <w:bottom w:w="0" w:type="dxa"/>
          <w:end w:w="108" w:type="dxa"/>
        </w:tblCellMar>
      </w:tblPr>
      <w:tblGrid>
        <w:gridCol w:w="483"/>
        <w:gridCol w:w="1038"/>
        <w:gridCol w:w="1216"/>
        <w:gridCol w:w="1379"/>
        <w:gridCol w:w="1366"/>
        <w:gridCol w:w="672"/>
        <w:gridCol w:w="650"/>
        <w:gridCol w:w="1369"/>
        <w:gridCol w:w="629"/>
        <w:gridCol w:w="639"/>
        <w:gridCol w:w="765"/>
      </w:tblGrid>
      <w:tr>
        <w:trPr>
          <w:trHeight w:val="1379" w:hRule="atLeast"/>
        </w:trPr>
        <w:tc>
          <w:tcPr>
            <w:tcW w:w="483" w:type="dxa"/>
            <w:tcBorders>
              <w:top w:val="single" w:sz="4" w:space="0" w:color="000000"/>
              <w:start w:val="single" w:sz="4" w:space="0" w:color="000000"/>
              <w:bottom w:val="single" w:sz="4" w:space="0" w:color="000000"/>
              <w:end w:val="single" w:sz="4" w:space="0" w:color="000000"/>
            </w:tcBorders>
            <w:vAlign w:val="center"/>
          </w:tcPr>
          <w:p>
            <w:pPr>
              <w:pStyle w:val="Normal"/>
              <w:jc w:val="center"/>
              <w:rPr>
                <w:b/>
                <w:bCs/>
                <w:sz w:val="20"/>
                <w:lang w:val="nb-NO"/>
              </w:rPr>
            </w:pPr>
            <w:r>
              <w:rPr>
                <w:b/>
                <w:bCs/>
                <w:sz w:val="20"/>
                <w:lang w:val="nb-NO"/>
              </w:rPr>
              <w:t>TT</w:t>
            </w:r>
          </w:p>
        </w:tc>
        <w:tc>
          <w:tcPr>
            <w:tcW w:w="1038" w:type="dxa"/>
            <w:tcBorders>
              <w:top w:val="single" w:sz="4" w:space="0" w:color="000000"/>
              <w:start w:val="single" w:sz="4" w:space="0" w:color="000000"/>
              <w:bottom w:val="single" w:sz="4" w:space="0" w:color="000000"/>
              <w:end w:val="single" w:sz="4" w:space="0" w:color="000000"/>
            </w:tcBorders>
            <w:vAlign w:val="center"/>
          </w:tcPr>
          <w:p>
            <w:pPr>
              <w:pStyle w:val="Normal"/>
              <w:jc w:val="center"/>
              <w:rPr>
                <w:b/>
                <w:bCs/>
                <w:sz w:val="20"/>
                <w:lang w:val="nb-NO"/>
              </w:rPr>
            </w:pPr>
            <w:r>
              <w:rPr>
                <w:b/>
                <w:bCs/>
                <w:sz w:val="20"/>
                <w:lang w:val="nb-NO"/>
              </w:rPr>
              <w:t>Tên nhà thầu</w:t>
            </w:r>
          </w:p>
        </w:tc>
        <w:tc>
          <w:tcPr>
            <w:tcW w:w="1216" w:type="dxa"/>
            <w:tcBorders>
              <w:top w:val="single" w:sz="4" w:space="0" w:color="000000"/>
              <w:start w:val="single" w:sz="4" w:space="0" w:color="000000"/>
              <w:bottom w:val="single" w:sz="4" w:space="0" w:color="000000"/>
              <w:end w:val="single" w:sz="4" w:space="0" w:color="000000"/>
            </w:tcBorders>
            <w:vAlign w:val="center"/>
          </w:tcPr>
          <w:p>
            <w:pPr>
              <w:pStyle w:val="Normal"/>
              <w:jc w:val="center"/>
              <w:rPr>
                <w:b/>
                <w:bCs/>
                <w:sz w:val="20"/>
                <w:lang w:val="nb-NO"/>
              </w:rPr>
            </w:pPr>
            <w:r>
              <w:rPr>
                <w:b/>
                <w:bCs/>
                <w:sz w:val="20"/>
                <w:lang w:val="nb-NO"/>
              </w:rPr>
              <w:t>Mã số thuế</w:t>
            </w:r>
          </w:p>
        </w:tc>
        <w:tc>
          <w:tcPr>
            <w:tcW w:w="1379" w:type="dxa"/>
            <w:tcBorders>
              <w:top w:val="single" w:sz="4" w:space="0" w:color="000000"/>
              <w:start w:val="single" w:sz="4" w:space="0" w:color="000000"/>
              <w:bottom w:val="single" w:sz="4" w:space="0" w:color="000000"/>
              <w:end w:val="single" w:sz="4" w:space="0" w:color="000000"/>
            </w:tcBorders>
            <w:vAlign w:val="center"/>
          </w:tcPr>
          <w:p>
            <w:pPr>
              <w:pStyle w:val="Normal"/>
              <w:jc w:val="center"/>
              <w:rPr>
                <w:b/>
                <w:bCs/>
                <w:sz w:val="20"/>
                <w:lang w:val="nb-NO"/>
              </w:rPr>
            </w:pPr>
            <w:r>
              <w:rPr>
                <w:b/>
                <w:bCs/>
                <w:sz w:val="20"/>
                <w:lang w:val="nb-NO"/>
              </w:rPr>
              <w:t>Giá dự thầu (VND)</w:t>
            </w:r>
          </w:p>
        </w:tc>
        <w:tc>
          <w:tcPr>
            <w:tcW w:w="1366" w:type="dxa"/>
            <w:tcBorders>
              <w:top w:val="single" w:sz="4" w:space="0" w:color="000000"/>
              <w:start w:val="single" w:sz="4" w:space="0" w:color="000000"/>
              <w:bottom w:val="single" w:sz="4" w:space="0" w:color="000000"/>
              <w:end w:val="single" w:sz="4" w:space="0" w:color="000000"/>
            </w:tcBorders>
            <w:vAlign w:val="center"/>
          </w:tcPr>
          <w:p>
            <w:pPr>
              <w:pStyle w:val="Normal"/>
              <w:jc w:val="center"/>
              <w:rPr>
                <w:b/>
                <w:bCs/>
                <w:sz w:val="20"/>
                <w:lang w:val="nb-NO"/>
              </w:rPr>
            </w:pPr>
            <w:r>
              <w:rPr>
                <w:b/>
                <w:bCs/>
                <w:sz w:val="20"/>
                <w:lang w:val="nb-NO"/>
              </w:rPr>
              <w:t>Giá dự thầu sau hiệu chỉnh sai lệch thừa (nếu có), giảm giá (nếu có)</w:t>
            </w:r>
          </w:p>
        </w:tc>
        <w:tc>
          <w:tcPr>
            <w:tcW w:w="672" w:type="dxa"/>
            <w:tcBorders>
              <w:top w:val="single" w:sz="4" w:space="0" w:color="000000"/>
              <w:start w:val="single" w:sz="4" w:space="0" w:color="000000"/>
              <w:bottom w:val="single" w:sz="4" w:space="0" w:color="000000"/>
              <w:end w:val="single" w:sz="4" w:space="0" w:color="000000"/>
            </w:tcBorders>
            <w:vAlign w:val="center"/>
          </w:tcPr>
          <w:p>
            <w:pPr>
              <w:pStyle w:val="Normal"/>
              <w:jc w:val="center"/>
              <w:rPr>
                <w:b/>
                <w:bCs/>
                <w:sz w:val="20"/>
                <w:lang w:val="nb-NO"/>
              </w:rPr>
            </w:pPr>
            <w:r>
              <w:rPr>
                <w:b/>
                <w:bCs/>
                <w:sz w:val="20"/>
              </w:rPr>
              <w:t>Điểm kỹ thuật (nếu có)</w:t>
            </w:r>
          </w:p>
        </w:tc>
        <w:tc>
          <w:tcPr>
            <w:tcW w:w="650" w:type="dxa"/>
            <w:tcBorders>
              <w:top w:val="single" w:sz="4" w:space="0" w:color="000000"/>
              <w:start w:val="single" w:sz="4" w:space="0" w:color="000000"/>
              <w:bottom w:val="single" w:sz="4" w:space="0" w:color="000000"/>
              <w:end w:val="single" w:sz="4" w:space="0" w:color="000000"/>
            </w:tcBorders>
            <w:vAlign w:val="center"/>
          </w:tcPr>
          <w:p>
            <w:pPr>
              <w:pStyle w:val="Normal"/>
              <w:jc w:val="center"/>
              <w:rPr>
                <w:b/>
                <w:bCs/>
                <w:sz w:val="20"/>
                <w:lang w:val="nb-NO"/>
              </w:rPr>
            </w:pPr>
            <w:r>
              <w:rPr>
                <w:b/>
                <w:bCs/>
                <w:sz w:val="20"/>
              </w:rPr>
              <w:t>Giá đánh giá (nếu có)</w:t>
            </w:r>
          </w:p>
        </w:tc>
        <w:tc>
          <w:tcPr>
            <w:tcW w:w="1369" w:type="dxa"/>
            <w:tcBorders>
              <w:top w:val="single" w:sz="4" w:space="0" w:color="000000"/>
              <w:start w:val="single" w:sz="4" w:space="0" w:color="000000"/>
              <w:bottom w:val="single" w:sz="4" w:space="0" w:color="000000"/>
              <w:end w:val="single" w:sz="4" w:space="0" w:color="000000"/>
            </w:tcBorders>
            <w:vAlign w:val="center"/>
          </w:tcPr>
          <w:p>
            <w:pPr>
              <w:pStyle w:val="Normal"/>
              <w:jc w:val="center"/>
              <w:rPr>
                <w:b/>
                <w:bCs/>
                <w:sz w:val="20"/>
                <w:lang w:val="nb-NO"/>
              </w:rPr>
            </w:pPr>
            <w:r>
              <w:rPr>
                <w:b/>
                <w:bCs/>
                <w:sz w:val="20"/>
                <w:lang w:val="nb-NO"/>
              </w:rPr>
              <w:t>Giá trúng thầu (VND)</w:t>
            </w:r>
          </w:p>
        </w:tc>
        <w:tc>
          <w:tcPr>
            <w:tcW w:w="629" w:type="dxa"/>
            <w:tcBorders>
              <w:top w:val="single" w:sz="4" w:space="0" w:color="000000"/>
              <w:start w:val="single" w:sz="4" w:space="0" w:color="000000"/>
              <w:bottom w:val="single" w:sz="4" w:space="0" w:color="000000"/>
              <w:end w:val="single" w:sz="4" w:space="0" w:color="000000"/>
            </w:tcBorders>
            <w:vAlign w:val="center"/>
          </w:tcPr>
          <w:p>
            <w:pPr>
              <w:pStyle w:val="Normal"/>
              <w:jc w:val="center"/>
              <w:rPr>
                <w:b/>
                <w:bCs/>
                <w:sz w:val="20"/>
                <w:lang w:val="nb-NO"/>
              </w:rPr>
            </w:pPr>
            <w:r>
              <w:rPr>
                <w:b/>
                <w:bCs/>
                <w:sz w:val="20"/>
                <w:lang w:val="nb-NO"/>
              </w:rPr>
              <w:t>Thời gian thực hiện gói thầu</w:t>
            </w:r>
          </w:p>
        </w:tc>
        <w:tc>
          <w:tcPr>
            <w:tcW w:w="639" w:type="dxa"/>
            <w:tcBorders>
              <w:top w:val="single" w:sz="4" w:space="0" w:color="000000"/>
              <w:start w:val="single" w:sz="4" w:space="0" w:color="000000"/>
              <w:bottom w:val="single" w:sz="4" w:space="0" w:color="000000"/>
              <w:end w:val="single" w:sz="4" w:space="0" w:color="000000"/>
            </w:tcBorders>
            <w:vAlign w:val="center"/>
          </w:tcPr>
          <w:p>
            <w:pPr>
              <w:pStyle w:val="Normal"/>
              <w:jc w:val="center"/>
              <w:rPr>
                <w:b/>
                <w:bCs/>
                <w:sz w:val="20"/>
                <w:lang w:val="nb-NO"/>
              </w:rPr>
            </w:pPr>
            <w:r>
              <w:rPr>
                <w:b/>
                <w:bCs/>
                <w:sz w:val="20"/>
                <w:lang w:val="nb-NO"/>
              </w:rPr>
              <w:t>Thời gian thực hiện hợp đồng</w:t>
            </w:r>
          </w:p>
        </w:tc>
        <w:tc>
          <w:tcPr>
            <w:tcW w:w="765" w:type="dxa"/>
            <w:tcBorders>
              <w:top w:val="single" w:sz="4" w:space="0" w:color="000000"/>
              <w:start w:val="single" w:sz="4" w:space="0" w:color="000000"/>
              <w:bottom w:val="single" w:sz="4" w:space="0" w:color="000000"/>
              <w:end w:val="single" w:sz="4" w:space="0" w:color="000000"/>
            </w:tcBorders>
            <w:vAlign w:val="center"/>
          </w:tcPr>
          <w:p>
            <w:pPr>
              <w:pStyle w:val="Normal"/>
              <w:jc w:val="center"/>
              <w:rPr>
                <w:b/>
                <w:bCs/>
                <w:sz w:val="20"/>
                <w:lang w:val="nb-NO"/>
              </w:rPr>
            </w:pPr>
            <w:r>
              <w:rPr>
                <w:b/>
                <w:bCs/>
                <w:sz w:val="20"/>
              </w:rPr>
              <w:t>Các nội dung khác (nếu có)</w:t>
            </w:r>
          </w:p>
        </w:tc>
      </w:tr>
      <w:tr>
        <w:trPr>
          <w:trHeight w:val="1741" w:hRule="atLeast"/>
        </w:trPr>
        <w:tc>
          <w:tcPr>
            <w:tcW w:w="483" w:type="dxa"/>
            <w:tcBorders>
              <w:top w:val="single" w:sz="4" w:space="0" w:color="000000"/>
              <w:start w:val="single" w:sz="4" w:space="0" w:color="000000"/>
              <w:bottom w:val="single" w:sz="4" w:space="0" w:color="000000"/>
              <w:end w:val="single" w:sz="4" w:space="0" w:color="000000"/>
            </w:tcBorders>
            <w:vAlign w:val="center"/>
          </w:tcPr>
          <w:p>
            <w:pPr>
              <w:pStyle w:val="Normal"/>
              <w:jc w:val="center"/>
              <w:rPr>
                <w:sz w:val="20"/>
                <w:lang w:val="nb-NO"/>
              </w:rPr>
            </w:pPr>
            <w:r>
              <w:rPr>
                <w:sz w:val="20"/>
                <w:lang w:val="nb-NO"/>
              </w:rPr>
              <w:t>1</w:t>
            </w:r>
          </w:p>
        </w:tc>
        <w:tc>
          <w:tcPr>
            <w:tcW w:w="1038" w:type="dxa"/>
            <w:tcBorders>
              <w:top w:val="single" w:sz="4" w:space="0" w:color="000000"/>
              <w:start w:val="single" w:sz="4" w:space="0" w:color="000000"/>
              <w:bottom w:val="single" w:sz="4" w:space="0" w:color="000000"/>
              <w:end w:val="single" w:sz="4" w:space="0" w:color="000000"/>
            </w:tcBorders>
            <w:vAlign w:val="center"/>
          </w:tcPr>
          <w:p>
            <w:pPr>
              <w:pStyle w:val="Normal"/>
              <w:jc w:val="center"/>
              <w:rPr>
                <w:sz w:val="20"/>
                <w:lang w:val="vi-VN"/>
              </w:rPr>
            </w:pPr>
            <w:r>
              <w:rPr>
                <w:sz w:val="20"/>
                <w:lang w:val="vi-VN"/>
              </w:rPr>
              <w:t>Công ty TNHH Mô Phỏng Mock</w:t>
            </w:r>
          </w:p>
        </w:tc>
        <w:tc>
          <w:tcPr>
            <w:tcW w:w="1216" w:type="dxa"/>
            <w:tcBorders>
              <w:top w:val="single" w:sz="4" w:space="0" w:color="000000"/>
              <w:start w:val="single" w:sz="4" w:space="0" w:color="000000"/>
              <w:bottom w:val="single" w:sz="4" w:space="0" w:color="000000"/>
              <w:end w:val="single" w:sz="4" w:space="0" w:color="000000"/>
            </w:tcBorders>
            <w:vAlign w:val="center"/>
          </w:tcPr>
          <w:p>
            <w:pPr>
              <w:pStyle w:val="Normal"/>
              <w:jc w:val="center"/>
              <w:rPr>
                <w:sz w:val="20"/>
              </w:rPr>
            </w:pPr>
            <w:r>
              <w:rPr>
                <w:sz w:val="20"/>
                <w:lang w:val="vi-VN"/>
              </w:rPr>
              <w:t>0101540844</w:t>
            </w:r>
          </w:p>
        </w:tc>
        <w:tc>
          <w:tcPr>
            <w:tcW w:w="1379" w:type="dxa"/>
            <w:tcBorders>
              <w:top w:val="single" w:sz="4" w:space="0" w:color="000000"/>
              <w:start w:val="single" w:sz="4" w:space="0" w:color="000000"/>
              <w:bottom w:val="single" w:sz="4" w:space="0" w:color="000000"/>
              <w:end w:val="single" w:sz="4" w:space="0" w:color="000000"/>
            </w:tcBorders>
            <w:vAlign w:val="center"/>
          </w:tcPr>
          <w:p>
            <w:pPr>
              <w:pStyle w:val="Normal"/>
              <w:jc w:val="center"/>
              <w:rPr>
                <w:sz w:val="20"/>
                <w:lang w:val="vi-VN"/>
              </w:rPr>
            </w:pPr>
            <w:r>
              <w:rPr>
                <w:sz w:val="20"/>
                <w:lang w:val="vi-VN"/>
              </w:rPr>
              <w:t>1.946.700.000</w:t>
            </w:r>
          </w:p>
        </w:tc>
        <w:tc>
          <w:tcPr>
            <w:tcW w:w="1366" w:type="dxa"/>
            <w:tcBorders>
              <w:top w:val="single" w:sz="4" w:space="0" w:color="000000"/>
              <w:start w:val="single" w:sz="4" w:space="0" w:color="000000"/>
              <w:bottom w:val="single" w:sz="4" w:space="0" w:color="000000"/>
              <w:end w:val="single" w:sz="4" w:space="0" w:color="000000"/>
            </w:tcBorders>
            <w:vAlign w:val="center"/>
          </w:tcPr>
          <w:p>
            <w:pPr>
              <w:pStyle w:val="Normal"/>
              <w:jc w:val="center"/>
              <w:rPr>
                <w:sz w:val="20"/>
                <w:lang w:val="vi-VN"/>
              </w:rPr>
            </w:pPr>
            <w:r>
              <w:rPr>
                <w:sz w:val="20"/>
                <w:lang w:val="vi-VN"/>
              </w:rPr>
              <w:t>1.946.700.000</w:t>
            </w:r>
          </w:p>
        </w:tc>
        <w:tc>
          <w:tcPr>
            <w:tcW w:w="672" w:type="dxa"/>
            <w:tcBorders>
              <w:top w:val="single" w:sz="4" w:space="0" w:color="000000"/>
              <w:start w:val="single" w:sz="4" w:space="0" w:color="000000"/>
              <w:bottom w:val="single" w:sz="4" w:space="0" w:color="000000"/>
              <w:end w:val="single" w:sz="4" w:space="0" w:color="000000"/>
            </w:tcBorders>
          </w:tcPr>
          <w:p>
            <w:pPr>
              <w:pStyle w:val="Normal"/>
              <w:snapToGrid w:val="false"/>
              <w:jc w:val="center"/>
              <w:rPr>
                <w:sz w:val="20"/>
              </w:rPr>
            </w:pPr>
            <w:r>
              <w:rPr>
                <w:sz w:val="20"/>
                <w:lang w:val="vi-VN"/>
              </w:rPr>
            </w:r>
          </w:p>
        </w:tc>
        <w:tc>
          <w:tcPr>
            <w:tcW w:w="650" w:type="dxa"/>
            <w:tcBorders>
              <w:top w:val="single" w:sz="4" w:space="0" w:color="000000"/>
              <w:start w:val="single" w:sz="4" w:space="0" w:color="000000"/>
              <w:bottom w:val="single" w:sz="4" w:space="0" w:color="000000"/>
              <w:end w:val="single" w:sz="4" w:space="0" w:color="000000"/>
            </w:tcBorders>
          </w:tcPr>
          <w:p>
            <w:pPr>
              <w:pStyle w:val="Normal"/>
              <w:snapToGrid w:val="false"/>
              <w:jc w:val="center"/>
              <w:rPr>
                <w:sz w:val="20"/>
              </w:rPr>
            </w:pPr>
            <w:r>
              <w:rPr>
                <w:sz w:val="20"/>
              </w:rPr>
            </w:r>
          </w:p>
        </w:tc>
        <w:tc>
          <w:tcPr>
            <w:tcW w:w="1369" w:type="dxa"/>
            <w:tcBorders>
              <w:top w:val="single" w:sz="4" w:space="0" w:color="000000"/>
              <w:start w:val="single" w:sz="4" w:space="0" w:color="000000"/>
              <w:bottom w:val="single" w:sz="4" w:space="0" w:color="000000"/>
              <w:end w:val="single" w:sz="4" w:space="0" w:color="000000"/>
            </w:tcBorders>
            <w:vAlign w:val="center"/>
          </w:tcPr>
          <w:p>
            <w:pPr>
              <w:pStyle w:val="Normal"/>
              <w:jc w:val="center"/>
              <w:rPr>
                <w:sz w:val="20"/>
                <w:lang w:val="vi-VN"/>
              </w:rPr>
            </w:pPr>
            <w:r>
              <w:rPr>
                <w:sz w:val="20"/>
                <w:lang w:val="vi-VN"/>
              </w:rPr>
              <w:t>1.946.700.000</w:t>
            </w:r>
          </w:p>
        </w:tc>
        <w:tc>
          <w:tcPr>
            <w:tcW w:w="629" w:type="dxa"/>
            <w:tcBorders>
              <w:top w:val="single" w:sz="4" w:space="0" w:color="000000"/>
              <w:start w:val="single" w:sz="4" w:space="0" w:color="000000"/>
              <w:bottom w:val="single" w:sz="4" w:space="0" w:color="000000"/>
              <w:end w:val="single" w:sz="4" w:space="0" w:color="000000"/>
            </w:tcBorders>
            <w:vAlign w:val="center"/>
          </w:tcPr>
          <w:p>
            <w:pPr>
              <w:pStyle w:val="Normal"/>
              <w:jc w:val="center"/>
              <w:rPr>
                <w:sz w:val="20"/>
                <w:lang w:val="nb-NO"/>
              </w:rPr>
            </w:pPr>
            <w:r>
              <w:rPr>
                <w:iCs/>
                <w:sz w:val="20"/>
                <w:lang w:val="vi-VN"/>
              </w:rPr>
              <w:t>240</w:t>
            </w:r>
            <w:r>
              <w:rPr>
                <w:iCs/>
                <w:sz w:val="20"/>
                <w:lang w:val="nb-NO"/>
              </w:rPr>
              <w:t xml:space="preserve"> ngày</w:t>
            </w:r>
          </w:p>
        </w:tc>
        <w:tc>
          <w:tcPr>
            <w:tcW w:w="639" w:type="dxa"/>
            <w:tcBorders>
              <w:top w:val="single" w:sz="4" w:space="0" w:color="000000"/>
              <w:start w:val="single" w:sz="4" w:space="0" w:color="000000"/>
              <w:bottom w:val="single" w:sz="4" w:space="0" w:color="000000"/>
              <w:end w:val="single" w:sz="4" w:space="0" w:color="000000"/>
            </w:tcBorders>
            <w:vAlign w:val="center"/>
          </w:tcPr>
          <w:p>
            <w:pPr>
              <w:pStyle w:val="Normal"/>
              <w:jc w:val="center"/>
              <w:rPr>
                <w:sz w:val="20"/>
                <w:lang w:val="nb-NO"/>
              </w:rPr>
            </w:pPr>
            <w:r>
              <w:rPr>
                <w:iCs/>
                <w:sz w:val="20"/>
                <w:lang w:val="vi-VN"/>
              </w:rPr>
              <w:t>240</w:t>
            </w:r>
            <w:r>
              <w:rPr>
                <w:iCs/>
                <w:sz w:val="20"/>
                <w:lang w:val="nb-NO"/>
              </w:rPr>
              <w:t xml:space="preserve"> ngày</w:t>
            </w:r>
          </w:p>
        </w:tc>
        <w:tc>
          <w:tcPr>
            <w:tcW w:w="765" w:type="dxa"/>
            <w:tcBorders>
              <w:top w:val="single" w:sz="4" w:space="0" w:color="000000"/>
              <w:start w:val="single" w:sz="4" w:space="0" w:color="000000"/>
              <w:bottom w:val="single" w:sz="4" w:space="0" w:color="000000"/>
              <w:end w:val="single" w:sz="4" w:space="0" w:color="000000"/>
            </w:tcBorders>
            <w:vAlign w:val="center"/>
          </w:tcPr>
          <w:p>
            <w:pPr>
              <w:pStyle w:val="Normal"/>
              <w:jc w:val="center"/>
              <w:rPr>
                <w:iCs/>
                <w:sz w:val="20"/>
                <w:lang w:val="nb-NO"/>
              </w:rPr>
            </w:pPr>
            <w:r>
              <w:rPr>
                <w:iCs/>
                <w:sz w:val="20"/>
              </w:rPr>
              <w:t>Không có</w:t>
            </w:r>
          </w:p>
        </w:tc>
      </w:tr>
    </w:tbl>
    <w:p>
      <w:pPr>
        <w:pStyle w:val="Normal"/>
        <w:tabs>
          <w:tab w:val="clear" w:pos="720"/>
          <w:tab w:val="left" w:pos="540" w:leader="none"/>
        </w:tabs>
        <w:spacing w:lineRule="auto" w:line="288" w:before="120" w:after="120"/>
        <w:ind w:firstLine="567" w:end="0"/>
        <w:jc w:val="both"/>
        <w:rPr>
          <w:b/>
          <w:bCs/>
          <w:sz w:val="28"/>
          <w:szCs w:val="28"/>
        </w:rPr>
      </w:pPr>
      <w:r>
        <w:rPr>
          <w:b/>
          <w:bCs/>
          <w:sz w:val="28"/>
          <w:szCs w:val="28"/>
        </w:rPr>
        <w:t>3. Thông tin về hàng hóa trúng thầu</w:t>
      </w:r>
    </w:p>
    <w:tbl>
      <w:tblPr>
        <w:tblW w:w="11057" w:type="dxa"/>
        <w:jc w:val="start"/>
        <w:tblInd w:w="-1168" w:type="dxa"/>
        <w:tblLayout w:type="fixed"/>
        <w:tblCellMar>
          <w:top w:w="0" w:type="dxa"/>
          <w:start w:w="108" w:type="dxa"/>
          <w:bottom w:w="0" w:type="dxa"/>
          <w:end w:w="108" w:type="dxa"/>
        </w:tblCellMar>
      </w:tblPr>
      <w:tblGrid>
        <w:gridCol w:w="283"/>
        <w:gridCol w:w="851"/>
        <w:gridCol w:w="851"/>
        <w:gridCol w:w="992"/>
        <w:gridCol w:w="709"/>
        <w:gridCol w:w="709"/>
        <w:gridCol w:w="992"/>
        <w:gridCol w:w="2268"/>
        <w:gridCol w:w="851"/>
        <w:gridCol w:w="850"/>
        <w:gridCol w:w="567"/>
        <w:gridCol w:w="1134"/>
      </w:tblGrid>
      <w:tr>
        <w:trPr>
          <w:tblHeader w:val="true"/>
          <w:trHeight w:val="567" w:hRule="atLeast"/>
        </w:trPr>
        <w:tc>
          <w:tcPr>
            <w:tcW w:w="283" w:type="dxa"/>
            <w:tcBorders>
              <w:top w:val="single" w:sz="4" w:space="0" w:color="000000"/>
              <w:start w:val="single" w:sz="4" w:space="0" w:color="000000"/>
              <w:bottom w:val="single" w:sz="4" w:space="0" w:color="000000"/>
              <w:end w:val="single" w:sz="4" w:space="0" w:color="000000"/>
            </w:tcBorders>
            <w:vAlign w:val="center"/>
          </w:tcPr>
          <w:p>
            <w:pPr>
              <w:pStyle w:val="Sub-ClauseText"/>
              <w:spacing w:lineRule="auto" w:line="276" w:before="0" w:after="0"/>
              <w:jc w:val="center"/>
              <w:rPr>
                <w:b/>
                <w:bCs/>
                <w:sz w:val="20"/>
              </w:rPr>
            </w:pPr>
            <w:r>
              <w:rPr>
                <w:b/>
                <w:bCs/>
                <w:sz w:val="20"/>
              </w:rPr>
              <w:t>STT</w:t>
            </w:r>
          </w:p>
        </w:tc>
        <w:tc>
          <w:tcPr>
            <w:tcW w:w="851" w:type="dxa"/>
            <w:tcBorders>
              <w:top w:val="single" w:sz="4" w:space="0" w:color="000000"/>
              <w:start w:val="single" w:sz="4" w:space="0" w:color="000000"/>
              <w:bottom w:val="single" w:sz="4" w:space="0" w:color="000000"/>
              <w:end w:val="single" w:sz="4" w:space="0" w:color="000000"/>
            </w:tcBorders>
            <w:vAlign w:val="center"/>
          </w:tcPr>
          <w:p>
            <w:pPr>
              <w:pStyle w:val="Sub-ClauseText"/>
              <w:spacing w:lineRule="auto" w:line="276" w:before="0" w:after="0"/>
              <w:jc w:val="center"/>
              <w:rPr>
                <w:b/>
                <w:bCs/>
                <w:sz w:val="20"/>
                <w:lang w:val="vi-VN"/>
              </w:rPr>
            </w:pPr>
            <w:r>
              <w:rPr>
                <w:b/>
                <w:bCs/>
                <w:sz w:val="20"/>
              </w:rPr>
              <w:t xml:space="preserve">Tên </w:t>
            </w:r>
            <w:r>
              <w:rPr>
                <w:b/>
                <w:bCs/>
                <w:sz w:val="20"/>
                <w:lang w:val="vi-VN"/>
              </w:rPr>
              <w:t>vật tư y tế</w:t>
            </w:r>
          </w:p>
        </w:tc>
        <w:tc>
          <w:tcPr>
            <w:tcW w:w="851" w:type="dxa"/>
            <w:tcBorders>
              <w:top w:val="single" w:sz="4" w:space="0" w:color="000000"/>
              <w:start w:val="single" w:sz="4" w:space="0" w:color="000000"/>
              <w:bottom w:val="single" w:sz="4" w:space="0" w:color="000000"/>
              <w:end w:val="single" w:sz="4" w:space="0" w:color="000000"/>
            </w:tcBorders>
            <w:vAlign w:val="center"/>
          </w:tcPr>
          <w:p>
            <w:pPr>
              <w:pStyle w:val="Sub-ClauseText"/>
              <w:spacing w:lineRule="auto" w:line="276" w:before="0" w:after="0"/>
              <w:jc w:val="center"/>
              <w:rPr>
                <w:b/>
                <w:bCs/>
                <w:sz w:val="20"/>
              </w:rPr>
            </w:pPr>
            <w:r>
              <w:rPr>
                <w:b/>
                <w:bCs/>
                <w:sz w:val="20"/>
              </w:rPr>
              <w:t>Ký mã hiệu</w:t>
            </w:r>
          </w:p>
        </w:tc>
        <w:tc>
          <w:tcPr>
            <w:tcW w:w="992" w:type="dxa"/>
            <w:tcBorders>
              <w:top w:val="single" w:sz="4" w:space="0" w:color="000000"/>
              <w:start w:val="single" w:sz="4" w:space="0" w:color="000000"/>
              <w:bottom w:val="single" w:sz="4" w:space="0" w:color="000000"/>
              <w:end w:val="single" w:sz="4" w:space="0" w:color="000000"/>
            </w:tcBorders>
            <w:vAlign w:val="center"/>
          </w:tcPr>
          <w:p>
            <w:pPr>
              <w:pStyle w:val="Sub-ClauseText"/>
              <w:spacing w:lineRule="auto" w:line="276" w:before="0" w:after="0"/>
              <w:jc w:val="center"/>
              <w:rPr>
                <w:b/>
                <w:bCs/>
                <w:sz w:val="20"/>
              </w:rPr>
            </w:pPr>
            <w:r>
              <w:rPr>
                <w:b/>
                <w:bCs/>
                <w:sz w:val="20"/>
              </w:rPr>
              <w:t>Nhãn hiệu</w:t>
            </w:r>
          </w:p>
        </w:tc>
        <w:tc>
          <w:tcPr>
            <w:tcW w:w="709" w:type="dxa"/>
            <w:tcBorders>
              <w:top w:val="single" w:sz="4" w:space="0" w:color="000000"/>
              <w:start w:val="single" w:sz="4" w:space="0" w:color="000000"/>
              <w:bottom w:val="single" w:sz="4" w:space="0" w:color="000000"/>
              <w:end w:val="single" w:sz="4" w:space="0" w:color="000000"/>
            </w:tcBorders>
            <w:vAlign w:val="center"/>
          </w:tcPr>
          <w:p>
            <w:pPr>
              <w:pStyle w:val="Sub-ClauseText"/>
              <w:spacing w:lineRule="auto" w:line="276" w:before="0" w:after="0"/>
              <w:jc w:val="center"/>
              <w:rPr>
                <w:b/>
                <w:bCs/>
                <w:sz w:val="20"/>
              </w:rPr>
            </w:pPr>
            <w:r>
              <w:rPr>
                <w:b/>
                <w:bCs/>
                <w:sz w:val="20"/>
              </w:rPr>
              <w:t>Năm sản xuất</w:t>
            </w:r>
          </w:p>
        </w:tc>
        <w:tc>
          <w:tcPr>
            <w:tcW w:w="709" w:type="dxa"/>
            <w:tcBorders>
              <w:top w:val="single" w:sz="4" w:space="0" w:color="000000"/>
              <w:start w:val="single" w:sz="4" w:space="0" w:color="000000"/>
              <w:bottom w:val="single" w:sz="4" w:space="0" w:color="000000"/>
              <w:end w:val="single" w:sz="4" w:space="0" w:color="000000"/>
            </w:tcBorders>
            <w:vAlign w:val="center"/>
          </w:tcPr>
          <w:p>
            <w:pPr>
              <w:pStyle w:val="Sub-ClauseText"/>
              <w:spacing w:lineRule="auto" w:line="276" w:before="0" w:after="0"/>
              <w:jc w:val="center"/>
              <w:rPr>
                <w:b/>
                <w:bCs/>
                <w:sz w:val="20"/>
              </w:rPr>
            </w:pPr>
            <w:r>
              <w:rPr>
                <w:b/>
                <w:bCs/>
                <w:sz w:val="20"/>
              </w:rPr>
              <w:t>Xuất xứ</w:t>
            </w:r>
          </w:p>
        </w:tc>
        <w:tc>
          <w:tcPr>
            <w:tcW w:w="992" w:type="dxa"/>
            <w:tcBorders>
              <w:top w:val="single" w:sz="4" w:space="0" w:color="000000"/>
              <w:start w:val="single" w:sz="4" w:space="0" w:color="000000"/>
              <w:bottom w:val="single" w:sz="4" w:space="0" w:color="000000"/>
              <w:end w:val="single" w:sz="4" w:space="0" w:color="000000"/>
            </w:tcBorders>
            <w:vAlign w:val="center"/>
          </w:tcPr>
          <w:p>
            <w:pPr>
              <w:pStyle w:val="Sub-ClauseText"/>
              <w:spacing w:lineRule="auto" w:line="276" w:before="0" w:after="0"/>
              <w:jc w:val="center"/>
              <w:rPr>
                <w:b/>
                <w:bCs/>
                <w:sz w:val="20"/>
              </w:rPr>
            </w:pPr>
            <w:r>
              <w:rPr>
                <w:b/>
                <w:bCs/>
                <w:sz w:val="20"/>
              </w:rPr>
              <w:t>Hãng sản xuất</w:t>
            </w:r>
          </w:p>
        </w:tc>
        <w:tc>
          <w:tcPr>
            <w:tcW w:w="2268" w:type="dxa"/>
            <w:tcBorders>
              <w:top w:val="single" w:sz="4" w:space="0" w:color="000000"/>
              <w:start w:val="single" w:sz="4" w:space="0" w:color="000000"/>
              <w:bottom w:val="single" w:sz="4" w:space="0" w:color="000000"/>
              <w:end w:val="single" w:sz="4" w:space="0" w:color="000000"/>
            </w:tcBorders>
            <w:vAlign w:val="center"/>
          </w:tcPr>
          <w:p>
            <w:pPr>
              <w:pStyle w:val="Sub-ClauseText"/>
              <w:spacing w:lineRule="auto" w:line="276" w:before="0" w:after="0"/>
              <w:jc w:val="center"/>
              <w:rPr>
                <w:b/>
                <w:bCs/>
                <w:sz w:val="20"/>
              </w:rPr>
            </w:pPr>
            <w:r>
              <w:rPr>
                <w:b/>
                <w:bCs/>
                <w:sz w:val="20"/>
                <w:lang w:val="de-DE"/>
              </w:rPr>
              <w:t>Cấu hình, tính năng kỹ thuật cơ bản</w:t>
            </w:r>
          </w:p>
        </w:tc>
        <w:tc>
          <w:tcPr>
            <w:tcW w:w="851" w:type="dxa"/>
            <w:tcBorders>
              <w:top w:val="single" w:sz="4" w:space="0" w:color="000000"/>
              <w:start w:val="single" w:sz="4" w:space="0" w:color="000000"/>
              <w:bottom w:val="single" w:sz="4" w:space="0" w:color="000000"/>
              <w:end w:val="single" w:sz="4" w:space="0" w:color="000000"/>
            </w:tcBorders>
            <w:vAlign w:val="center"/>
          </w:tcPr>
          <w:p>
            <w:pPr>
              <w:pStyle w:val="Sub-ClauseText"/>
              <w:spacing w:lineRule="auto" w:line="276" w:before="0" w:after="0"/>
              <w:jc w:val="center"/>
              <w:rPr>
                <w:b/>
                <w:bCs/>
                <w:sz w:val="20"/>
              </w:rPr>
            </w:pPr>
            <w:r>
              <w:rPr>
                <w:b/>
                <w:bCs/>
                <w:sz w:val="20"/>
              </w:rPr>
              <w:t>Đơn vị tính</w:t>
            </w:r>
          </w:p>
        </w:tc>
        <w:tc>
          <w:tcPr>
            <w:tcW w:w="850" w:type="dxa"/>
            <w:tcBorders>
              <w:top w:val="single" w:sz="4" w:space="0" w:color="000000"/>
              <w:start w:val="single" w:sz="4" w:space="0" w:color="000000"/>
              <w:bottom w:val="single" w:sz="4" w:space="0" w:color="000000"/>
              <w:end w:val="single" w:sz="4" w:space="0" w:color="000000"/>
            </w:tcBorders>
            <w:vAlign w:val="center"/>
          </w:tcPr>
          <w:p>
            <w:pPr>
              <w:pStyle w:val="Sub-ClauseText"/>
              <w:spacing w:lineRule="auto" w:line="276" w:before="0" w:after="0"/>
              <w:jc w:val="center"/>
              <w:rPr>
                <w:b/>
                <w:bCs/>
                <w:sz w:val="20"/>
              </w:rPr>
            </w:pPr>
            <w:r>
              <w:rPr>
                <w:b/>
                <w:bCs/>
                <w:sz w:val="20"/>
              </w:rPr>
              <w:t>Khối lượng</w:t>
            </w:r>
          </w:p>
        </w:tc>
        <w:tc>
          <w:tcPr>
            <w:tcW w:w="567" w:type="dxa"/>
            <w:tcBorders>
              <w:top w:val="single" w:sz="4" w:space="0" w:color="000000"/>
              <w:start w:val="single" w:sz="4" w:space="0" w:color="000000"/>
              <w:bottom w:val="single" w:sz="4" w:space="0" w:color="000000"/>
              <w:end w:val="single" w:sz="4" w:space="0" w:color="000000"/>
            </w:tcBorders>
            <w:vAlign w:val="center"/>
          </w:tcPr>
          <w:p>
            <w:pPr>
              <w:pStyle w:val="Sub-ClauseText"/>
              <w:spacing w:lineRule="auto" w:line="276" w:before="0" w:after="0"/>
              <w:jc w:val="center"/>
              <w:rPr>
                <w:b/>
                <w:bCs/>
                <w:sz w:val="20"/>
                <w:highlight w:val="yellow"/>
              </w:rPr>
            </w:pPr>
            <w:r>
              <w:rPr>
                <w:b/>
                <w:bCs/>
                <w:sz w:val="20"/>
              </w:rPr>
              <w:t>Mã HS</w:t>
            </w:r>
          </w:p>
        </w:tc>
        <w:tc>
          <w:tcPr>
            <w:tcW w:w="1134" w:type="dxa"/>
            <w:tcBorders>
              <w:top w:val="single" w:sz="4" w:space="0" w:color="000000"/>
              <w:start w:val="single" w:sz="4" w:space="0" w:color="000000"/>
              <w:bottom w:val="single" w:sz="4" w:space="0" w:color="000000"/>
              <w:end w:val="single" w:sz="4" w:space="0" w:color="000000"/>
            </w:tcBorders>
            <w:vAlign w:val="center"/>
          </w:tcPr>
          <w:p>
            <w:pPr>
              <w:pStyle w:val="Sub-ClauseText"/>
              <w:spacing w:lineRule="auto" w:line="276" w:before="0" w:after="0"/>
              <w:jc w:val="center"/>
              <w:rPr>
                <w:b/>
                <w:bCs/>
                <w:sz w:val="20"/>
              </w:rPr>
            </w:pPr>
            <w:r>
              <w:rPr>
                <w:b/>
                <w:bCs/>
                <w:sz w:val="20"/>
              </w:rPr>
              <w:t>Đơn giá trúng thầu</w:t>
            </w:r>
          </w:p>
        </w:tc>
      </w:tr>
      <w:tr>
        <w:trPr>
          <w:trHeight w:val="695" w:hRule="atLeast"/>
        </w:trPr>
        <w:tc>
          <w:tcPr>
            <w:tcW w:w="283" w:type="dxa"/>
            <w:tcBorders>
              <w:top w:val="single" w:sz="4" w:space="0" w:color="000000"/>
              <w:start w:val="single" w:sz="4" w:space="0" w:color="000000"/>
              <w:bottom w:val="single" w:sz="4" w:space="0" w:color="000000"/>
              <w:end w:val="single" w:sz="4" w:space="0" w:color="000000"/>
            </w:tcBorders>
            <w:vAlign w:val="center"/>
          </w:tcPr>
          <w:p>
            <w:pPr>
              <w:pStyle w:val="Sub-ClauseText"/>
              <w:spacing w:lineRule="auto" w:line="276" w:before="0" w:after="0"/>
              <w:jc w:val="center"/>
              <w:rPr>
                <w:sz w:val="20"/>
              </w:rPr>
            </w:pPr>
            <w:r>
              <w:rPr>
                <w:sz w:val="20"/>
              </w:rPr>
              <w:t>1</w:t>
            </w:r>
          </w:p>
        </w:tc>
        <w:tc>
          <w:tcPr>
            <w:tcW w:w="851" w:type="dxa"/>
            <w:tcBorders>
              <w:top w:val="single" w:sz="4" w:space="0" w:color="000000"/>
              <w:start w:val="single" w:sz="4" w:space="0" w:color="000000"/>
              <w:bottom w:val="single" w:sz="4" w:space="0" w:color="000000"/>
              <w:end w:val="single" w:sz="4" w:space="0" w:color="000000"/>
            </w:tcBorders>
            <w:vAlign w:val="center"/>
          </w:tcPr>
          <w:p>
            <w:pPr>
              <w:pStyle w:val="Normal"/>
              <w:jc w:val="center"/>
              <w:rPr>
                <w:color w:val="000000"/>
                <w:sz w:val="20"/>
              </w:rPr>
            </w:pPr>
            <w:r>
              <w:rPr>
                <w:color w:val="000000"/>
                <w:sz w:val="20"/>
                <w:lang w:val="vi-VN"/>
              </w:rPr>
              <w:t>Bộ xét nghiệm định lượng virus viêm gan B</w:t>
            </w:r>
          </w:p>
        </w:tc>
        <w:tc>
          <w:tcPr>
            <w:tcW w:w="851" w:type="dxa"/>
            <w:tcBorders>
              <w:top w:val="single" w:sz="4" w:space="0" w:color="000000"/>
              <w:start w:val="single" w:sz="4" w:space="0" w:color="000000"/>
              <w:bottom w:val="single" w:sz="4" w:space="0" w:color="000000"/>
              <w:end w:val="single" w:sz="4" w:space="0" w:color="000000"/>
            </w:tcBorders>
            <w:vAlign w:val="center"/>
          </w:tcPr>
          <w:p>
            <w:pPr>
              <w:pStyle w:val="Normal"/>
              <w:tabs>
                <w:tab w:val="left" w:pos="540" w:leader="none"/>
                <w:tab w:val="left" w:pos="720" w:leader="none"/>
                <w:tab w:val="left" w:pos="810" w:leader="none"/>
              </w:tabs>
              <w:spacing w:lineRule="auto" w:line="276"/>
              <w:ind w:end="-20"/>
              <w:jc w:val="center"/>
              <w:rPr>
                <w:color w:val="000000"/>
                <w:sz w:val="20"/>
              </w:rPr>
            </w:pPr>
            <w:r>
              <w:rPr>
                <w:color w:val="000000"/>
                <w:sz w:val="20"/>
              </w:rPr>
              <w:t>HBV ELITe MGB® Kit /RTK602ING</w:t>
            </w:r>
          </w:p>
        </w:tc>
        <w:tc>
          <w:tcPr>
            <w:tcW w:w="992" w:type="dxa"/>
            <w:tcBorders>
              <w:top w:val="single" w:sz="4" w:space="0" w:color="000000"/>
              <w:start w:val="single" w:sz="4" w:space="0" w:color="000000"/>
              <w:bottom w:val="single" w:sz="4" w:space="0" w:color="000000"/>
              <w:end w:val="single" w:sz="4" w:space="0" w:color="000000"/>
            </w:tcBorders>
            <w:vAlign w:val="center"/>
          </w:tcPr>
          <w:p>
            <w:pPr>
              <w:pStyle w:val="Normal"/>
              <w:jc w:val="center"/>
              <w:rPr>
                <w:color w:val="000000"/>
                <w:sz w:val="20"/>
              </w:rPr>
            </w:pPr>
            <w:r>
              <w:rPr>
                <w:color w:val="000000"/>
                <w:sz w:val="20"/>
              </w:rPr>
              <w:t>ELITechGroup S.p.A.</w:t>
            </w:r>
          </w:p>
        </w:tc>
        <w:tc>
          <w:tcPr>
            <w:tcW w:w="709" w:type="dxa"/>
            <w:tcBorders>
              <w:top w:val="single" w:sz="4" w:space="0" w:color="000000"/>
              <w:start w:val="single" w:sz="4" w:space="0" w:color="000000"/>
              <w:bottom w:val="single" w:sz="4" w:space="0" w:color="000000"/>
              <w:end w:val="single" w:sz="4" w:space="0" w:color="000000"/>
            </w:tcBorders>
            <w:vAlign w:val="center"/>
          </w:tcPr>
          <w:p>
            <w:pPr>
              <w:pStyle w:val="Normal"/>
              <w:jc w:val="center"/>
              <w:rPr>
                <w:color w:val="000000"/>
                <w:sz w:val="20"/>
              </w:rPr>
            </w:pPr>
            <w:r>
              <w:rPr>
                <w:color w:val="000000"/>
                <w:sz w:val="20"/>
              </w:rPr>
              <w:t>2025 trở về sau</w:t>
            </w:r>
          </w:p>
        </w:tc>
        <w:tc>
          <w:tcPr>
            <w:tcW w:w="709" w:type="dxa"/>
            <w:tcBorders>
              <w:top w:val="single" w:sz="4" w:space="0" w:color="000000"/>
              <w:start w:val="single" w:sz="4" w:space="0" w:color="000000"/>
              <w:bottom w:val="single" w:sz="4" w:space="0" w:color="000000"/>
              <w:end w:val="single" w:sz="4" w:space="0" w:color="000000"/>
            </w:tcBorders>
            <w:vAlign w:val="center"/>
          </w:tcPr>
          <w:p>
            <w:pPr>
              <w:pStyle w:val="Normal"/>
              <w:jc w:val="center"/>
              <w:rPr>
                <w:color w:val="000000"/>
                <w:sz w:val="20"/>
              </w:rPr>
            </w:pPr>
            <w:r>
              <w:rPr>
                <w:color w:val="000000"/>
                <w:sz w:val="20"/>
              </w:rPr>
              <w:t>Italy/ Ý</w:t>
            </w:r>
          </w:p>
        </w:tc>
        <w:tc>
          <w:tcPr>
            <w:tcW w:w="992" w:type="dxa"/>
            <w:tcBorders>
              <w:top w:val="single" w:sz="4" w:space="0" w:color="000000"/>
              <w:start w:val="single" w:sz="4" w:space="0" w:color="000000"/>
              <w:bottom w:val="single" w:sz="4" w:space="0" w:color="000000"/>
              <w:end w:val="single" w:sz="4" w:space="0" w:color="000000"/>
            </w:tcBorders>
            <w:vAlign w:val="center"/>
          </w:tcPr>
          <w:p>
            <w:pPr>
              <w:pStyle w:val="Normal"/>
              <w:jc w:val="center"/>
              <w:rPr>
                <w:color w:val="000000"/>
                <w:sz w:val="20"/>
              </w:rPr>
            </w:pPr>
            <w:r>
              <w:rPr>
                <w:color w:val="000000"/>
                <w:sz w:val="20"/>
              </w:rPr>
              <w:t>ELITechGroup S.p.A.</w:t>
            </w:r>
          </w:p>
        </w:tc>
        <w:tc>
          <w:tcPr>
            <w:tcW w:w="2268" w:type="dxa"/>
            <w:tcBorders>
              <w:top w:val="single" w:sz="4" w:space="0" w:color="000000"/>
              <w:start w:val="single" w:sz="4" w:space="0" w:color="000000"/>
              <w:bottom w:val="single" w:sz="4" w:space="0" w:color="000000"/>
              <w:end w:val="single" w:sz="4" w:space="0" w:color="000000"/>
            </w:tcBorders>
            <w:vAlign w:val="center"/>
          </w:tcPr>
          <w:p>
            <w:pPr>
              <w:pStyle w:val="Normal"/>
              <w:rPr>
                <w:color w:val="000000"/>
                <w:sz w:val="20"/>
              </w:rPr>
            </w:pPr>
            <w:r>
              <w:rPr>
                <w:color w:val="000000"/>
                <w:sz w:val="20"/>
                <w:lang w:val="vi-VN"/>
              </w:rPr>
              <w:t>-</w:t>
            </w:r>
            <w:r>
              <w:rPr>
                <w:color w:val="000000"/>
                <w:sz w:val="20"/>
              </w:rPr>
              <w:t xml:space="preserve"> Để phát hiện và định lượng DNA của Vi-rút Viêm gan B (HBV) được tách chiết từ các mẫu bệnh phẩm.  </w:t>
              <w:br/>
            </w:r>
            <w:r>
              <w:rPr>
                <w:color w:val="000000"/>
                <w:sz w:val="20"/>
                <w:lang w:val="vi-VN"/>
              </w:rPr>
              <w:t>-</w:t>
            </w:r>
            <w:r>
              <w:rPr>
                <w:color w:val="000000"/>
                <w:sz w:val="20"/>
              </w:rPr>
              <w:t xml:space="preserve"> Thành phần: </w:t>
              <w:br/>
              <w:t xml:space="preserve">Hoá chất phản ứng (HBV Mix) </w:t>
              <w:br/>
              <w:t xml:space="preserve">Thang chuẩn (HBV Standard) </w:t>
              <w:br/>
              <w:t>Chứng dương (HBV Positive Control)</w:t>
              <w:br/>
              <w:t>Chứng âm (HBV Internal Control)</w:t>
              <w:br/>
            </w:r>
            <w:r>
              <w:rPr>
                <w:color w:val="000000"/>
                <w:sz w:val="20"/>
                <w:lang w:val="vi-VN"/>
              </w:rPr>
              <w:t xml:space="preserve">- </w:t>
            </w:r>
            <w:r>
              <w:rPr>
                <w:color w:val="000000"/>
                <w:sz w:val="20"/>
              </w:rPr>
              <w:t xml:space="preserve">Ngưỡng phát hiện (LoD): 9 IU/mL (38 copies/mL) mẫu huyết thanh, huyết tương </w:t>
              <w:br/>
            </w:r>
            <w:r>
              <w:rPr>
                <w:color w:val="000000"/>
                <w:sz w:val="20"/>
                <w:lang w:val="vi-VN"/>
              </w:rPr>
              <w:t>-</w:t>
            </w:r>
            <w:r>
              <w:rPr>
                <w:color w:val="000000"/>
                <w:sz w:val="20"/>
              </w:rPr>
              <w:t xml:space="preserve"> Độ đặc hiệu: 97.6%</w:t>
            </w:r>
          </w:p>
        </w:tc>
        <w:tc>
          <w:tcPr>
            <w:tcW w:w="851" w:type="dxa"/>
            <w:tcBorders>
              <w:top w:val="single" w:sz="4" w:space="0" w:color="000000"/>
              <w:start w:val="single" w:sz="4" w:space="0" w:color="000000"/>
              <w:bottom w:val="single" w:sz="4" w:space="0" w:color="000000"/>
              <w:end w:val="single" w:sz="4" w:space="0" w:color="000000"/>
            </w:tcBorders>
            <w:vAlign w:val="center"/>
          </w:tcPr>
          <w:p>
            <w:pPr>
              <w:pStyle w:val="Normal"/>
              <w:jc w:val="center"/>
              <w:rPr>
                <w:color w:val="000000"/>
                <w:sz w:val="20"/>
              </w:rPr>
            </w:pPr>
            <w:r>
              <w:rPr>
                <w:color w:val="000000"/>
                <w:sz w:val="20"/>
              </w:rPr>
              <w:t>Test</w:t>
            </w:r>
          </w:p>
        </w:tc>
        <w:tc>
          <w:tcPr>
            <w:tcW w:w="850" w:type="dxa"/>
            <w:tcBorders>
              <w:top w:val="single" w:sz="4" w:space="0" w:color="000000"/>
              <w:start w:val="single" w:sz="4" w:space="0" w:color="000000"/>
              <w:bottom w:val="single" w:sz="4" w:space="0" w:color="000000"/>
              <w:end w:val="single" w:sz="4" w:space="0" w:color="000000"/>
            </w:tcBorders>
            <w:vAlign w:val="center"/>
          </w:tcPr>
          <w:p>
            <w:pPr>
              <w:pStyle w:val="Normal"/>
              <w:jc w:val="center"/>
              <w:rPr>
                <w:color w:val="000000"/>
                <w:sz w:val="20"/>
              </w:rPr>
            </w:pPr>
            <w:r>
              <w:rPr>
                <w:color w:val="000000"/>
                <w:sz w:val="20"/>
                <w:lang w:val="vi-VN"/>
              </w:rPr>
              <w:t>4.</w:t>
            </w:r>
            <w:r>
              <w:rPr>
                <w:color w:val="000000"/>
                <w:sz w:val="20"/>
              </w:rPr>
              <w:t>320</w:t>
            </w:r>
          </w:p>
        </w:tc>
        <w:tc>
          <w:tcPr>
            <w:tcW w:w="567" w:type="dxa"/>
            <w:tcBorders>
              <w:top w:val="single" w:sz="4" w:space="0" w:color="000000"/>
              <w:start w:val="single" w:sz="4" w:space="0" w:color="000000"/>
              <w:bottom w:val="single" w:sz="4" w:space="0" w:color="000000"/>
              <w:end w:val="single" w:sz="4" w:space="0" w:color="000000"/>
            </w:tcBorders>
            <w:vAlign w:val="center"/>
          </w:tcPr>
          <w:p>
            <w:pPr>
              <w:pStyle w:val="Sub-ClauseText"/>
              <w:snapToGrid w:val="false"/>
              <w:spacing w:before="0" w:after="0"/>
              <w:jc w:val="center"/>
              <w:rPr>
                <w:sz w:val="20"/>
              </w:rPr>
            </w:pPr>
            <w:r>
              <w:rPr>
                <w:color w:val="000000"/>
                <w:sz w:val="20"/>
              </w:rPr>
            </w:r>
          </w:p>
        </w:tc>
        <w:tc>
          <w:tcPr>
            <w:tcW w:w="1134" w:type="dxa"/>
            <w:tcBorders>
              <w:top w:val="single" w:sz="4" w:space="0" w:color="000000"/>
              <w:start w:val="single" w:sz="4" w:space="0" w:color="000000"/>
              <w:bottom w:val="single" w:sz="4" w:space="0" w:color="000000"/>
              <w:end w:val="single" w:sz="4" w:space="0" w:color="000000"/>
            </w:tcBorders>
            <w:vAlign w:val="center"/>
          </w:tcPr>
          <w:p>
            <w:pPr>
              <w:pStyle w:val="Sub-ClauseText"/>
              <w:spacing w:before="0" w:after="0"/>
              <w:jc w:val="end"/>
              <w:rPr>
                <w:sz w:val="20"/>
                <w:lang w:val="vi-VN"/>
              </w:rPr>
            </w:pPr>
            <w:r>
              <w:rPr>
                <w:sz w:val="20"/>
                <w:lang w:val="vi-VN"/>
              </w:rPr>
              <w:t>354.375</w:t>
            </w:r>
          </w:p>
        </w:tc>
      </w:tr>
      <w:tr>
        <w:trPr>
          <w:trHeight w:val="695" w:hRule="atLeast"/>
        </w:trPr>
        <w:tc>
          <w:tcPr>
            <w:tcW w:w="283" w:type="dxa"/>
            <w:tcBorders>
              <w:top w:val="single" w:sz="4" w:space="0" w:color="000000"/>
              <w:start w:val="single" w:sz="4" w:space="0" w:color="000000"/>
              <w:bottom w:val="single" w:sz="4" w:space="0" w:color="000000"/>
              <w:end w:val="single" w:sz="4" w:space="0" w:color="000000"/>
            </w:tcBorders>
            <w:vAlign w:val="center"/>
          </w:tcPr>
          <w:p>
            <w:pPr>
              <w:pStyle w:val="Sub-ClauseText"/>
              <w:spacing w:lineRule="auto" w:line="276" w:before="0" w:after="0"/>
              <w:jc w:val="center"/>
              <w:rPr>
                <w:sz w:val="20"/>
              </w:rPr>
            </w:pPr>
            <w:r>
              <w:rPr>
                <w:sz w:val="20"/>
                <w:lang w:val="vi-VN"/>
              </w:rPr>
              <w:t>2</w:t>
            </w:r>
          </w:p>
        </w:tc>
        <w:tc>
          <w:tcPr>
            <w:tcW w:w="851" w:type="dxa"/>
            <w:tcBorders>
              <w:start w:val="single" w:sz="4" w:space="0" w:color="000000"/>
              <w:bottom w:val="single" w:sz="4" w:space="0" w:color="000000"/>
              <w:end w:val="single" w:sz="4" w:space="0" w:color="000000"/>
            </w:tcBorders>
            <w:vAlign w:val="center"/>
          </w:tcPr>
          <w:p>
            <w:pPr>
              <w:pStyle w:val="Normal"/>
              <w:jc w:val="center"/>
              <w:rPr>
                <w:color w:val="000000"/>
                <w:sz w:val="20"/>
              </w:rPr>
            </w:pPr>
            <w:r>
              <w:rPr>
                <w:color w:val="000000"/>
                <w:sz w:val="20"/>
              </w:rPr>
              <w:t>Bộ xét nghiệm định lượng virus Viêm gan C</w:t>
            </w:r>
          </w:p>
        </w:tc>
        <w:tc>
          <w:tcPr>
            <w:tcW w:w="851" w:type="dxa"/>
            <w:tcBorders>
              <w:top w:val="single" w:sz="4" w:space="0" w:color="000000"/>
              <w:start w:val="single" w:sz="4" w:space="0" w:color="000000"/>
              <w:bottom w:val="single" w:sz="4" w:space="0" w:color="000000"/>
              <w:end w:val="single" w:sz="4" w:space="0" w:color="000000"/>
            </w:tcBorders>
            <w:vAlign w:val="center"/>
          </w:tcPr>
          <w:p>
            <w:pPr>
              <w:pStyle w:val="Normal"/>
              <w:tabs>
                <w:tab w:val="left" w:pos="540" w:leader="none"/>
                <w:tab w:val="left" w:pos="720" w:leader="none"/>
                <w:tab w:val="left" w:pos="810" w:leader="none"/>
              </w:tabs>
              <w:spacing w:lineRule="auto" w:line="276"/>
              <w:ind w:end="-20"/>
              <w:jc w:val="center"/>
              <w:rPr>
                <w:color w:val="000000"/>
                <w:sz w:val="20"/>
              </w:rPr>
            </w:pPr>
            <w:r>
              <w:rPr>
                <w:color w:val="000000"/>
                <w:sz w:val="20"/>
              </w:rPr>
              <w:t>HCV ELITe MGB® Kit/RTK601ING</w:t>
            </w:r>
          </w:p>
        </w:tc>
        <w:tc>
          <w:tcPr>
            <w:tcW w:w="992" w:type="dxa"/>
            <w:tcBorders>
              <w:top w:val="single" w:sz="4" w:space="0" w:color="000000"/>
              <w:start w:val="single" w:sz="4" w:space="0" w:color="000000"/>
              <w:bottom w:val="single" w:sz="4" w:space="0" w:color="000000"/>
              <w:end w:val="single" w:sz="4" w:space="0" w:color="000000"/>
            </w:tcBorders>
            <w:vAlign w:val="center"/>
          </w:tcPr>
          <w:p>
            <w:pPr>
              <w:pStyle w:val="Normal"/>
              <w:jc w:val="center"/>
              <w:rPr>
                <w:color w:val="000000"/>
                <w:sz w:val="20"/>
              </w:rPr>
            </w:pPr>
            <w:r>
              <w:rPr>
                <w:color w:val="000000"/>
                <w:sz w:val="20"/>
              </w:rPr>
              <w:t>ELITechGroup S.p.A.</w:t>
            </w:r>
          </w:p>
        </w:tc>
        <w:tc>
          <w:tcPr>
            <w:tcW w:w="709" w:type="dxa"/>
            <w:tcBorders>
              <w:top w:val="single" w:sz="4" w:space="0" w:color="000000"/>
              <w:start w:val="single" w:sz="4" w:space="0" w:color="000000"/>
              <w:bottom w:val="single" w:sz="4" w:space="0" w:color="000000"/>
              <w:end w:val="single" w:sz="4" w:space="0" w:color="000000"/>
            </w:tcBorders>
            <w:vAlign w:val="center"/>
          </w:tcPr>
          <w:p>
            <w:pPr>
              <w:pStyle w:val="Normal"/>
              <w:jc w:val="center"/>
              <w:rPr>
                <w:color w:val="000000"/>
                <w:sz w:val="20"/>
              </w:rPr>
            </w:pPr>
            <w:r>
              <w:rPr>
                <w:color w:val="000000"/>
                <w:sz w:val="20"/>
              </w:rPr>
              <w:t>2025 trở về sau</w:t>
            </w:r>
          </w:p>
        </w:tc>
        <w:tc>
          <w:tcPr>
            <w:tcW w:w="709" w:type="dxa"/>
            <w:tcBorders>
              <w:top w:val="single" w:sz="4" w:space="0" w:color="000000"/>
              <w:start w:val="single" w:sz="4" w:space="0" w:color="000000"/>
              <w:bottom w:val="single" w:sz="4" w:space="0" w:color="000000"/>
              <w:end w:val="single" w:sz="4" w:space="0" w:color="000000"/>
            </w:tcBorders>
            <w:vAlign w:val="center"/>
          </w:tcPr>
          <w:p>
            <w:pPr>
              <w:pStyle w:val="Normal"/>
              <w:jc w:val="center"/>
              <w:rPr>
                <w:color w:val="000000"/>
                <w:sz w:val="20"/>
              </w:rPr>
            </w:pPr>
            <w:r>
              <w:rPr>
                <w:color w:val="000000"/>
                <w:sz w:val="20"/>
              </w:rPr>
              <w:t>Italy/ Ý</w:t>
            </w:r>
          </w:p>
        </w:tc>
        <w:tc>
          <w:tcPr>
            <w:tcW w:w="992" w:type="dxa"/>
            <w:tcBorders>
              <w:top w:val="single" w:sz="4" w:space="0" w:color="000000"/>
              <w:start w:val="single" w:sz="4" w:space="0" w:color="000000"/>
              <w:bottom w:val="single" w:sz="4" w:space="0" w:color="000000"/>
              <w:end w:val="single" w:sz="4" w:space="0" w:color="000000"/>
            </w:tcBorders>
            <w:vAlign w:val="center"/>
          </w:tcPr>
          <w:p>
            <w:pPr>
              <w:pStyle w:val="Normal"/>
              <w:jc w:val="center"/>
              <w:rPr>
                <w:color w:val="000000"/>
                <w:sz w:val="20"/>
              </w:rPr>
            </w:pPr>
            <w:r>
              <w:rPr>
                <w:color w:val="000000"/>
                <w:sz w:val="20"/>
              </w:rPr>
              <w:t>ELITechGroup S.p.A.</w:t>
            </w:r>
          </w:p>
        </w:tc>
        <w:tc>
          <w:tcPr>
            <w:tcW w:w="2268" w:type="dxa"/>
            <w:tcBorders>
              <w:top w:val="single" w:sz="4" w:space="0" w:color="000000"/>
              <w:start w:val="single" w:sz="4" w:space="0" w:color="000000"/>
              <w:bottom w:val="single" w:sz="4" w:space="0" w:color="000000"/>
              <w:end w:val="single" w:sz="4" w:space="0" w:color="000000"/>
            </w:tcBorders>
            <w:vAlign w:val="center"/>
          </w:tcPr>
          <w:p>
            <w:pPr>
              <w:pStyle w:val="Normal"/>
              <w:rPr>
                <w:color w:val="000000"/>
                <w:sz w:val="20"/>
              </w:rPr>
            </w:pPr>
            <w:r>
              <w:rPr>
                <w:color w:val="000000"/>
                <w:sz w:val="20"/>
                <w:lang w:val="vi-VN"/>
              </w:rPr>
              <w:t>-</w:t>
            </w:r>
            <w:r>
              <w:rPr>
                <w:color w:val="000000"/>
                <w:sz w:val="20"/>
              </w:rPr>
              <w:t xml:space="preserve"> Xét nghiệm phiên mã ngược axit nucleic và khuếch đại định lượng để phát hiện và định lượng RNA của vi rút viêm gan C </w:t>
              <w:br/>
            </w:r>
            <w:r>
              <w:rPr>
                <w:color w:val="000000"/>
                <w:sz w:val="20"/>
                <w:lang w:val="vi-VN"/>
              </w:rPr>
              <w:t>-</w:t>
            </w:r>
            <w:r>
              <w:rPr>
                <w:color w:val="000000"/>
                <w:sz w:val="20"/>
              </w:rPr>
              <w:t xml:space="preserve"> Thành phần: </w:t>
            </w:r>
          </w:p>
          <w:p>
            <w:pPr>
              <w:pStyle w:val="Normal"/>
              <w:rPr>
                <w:color w:val="000000"/>
                <w:sz w:val="20"/>
              </w:rPr>
            </w:pPr>
            <w:r>
              <w:rPr>
                <w:color w:val="000000"/>
                <w:sz w:val="20"/>
              </w:rPr>
              <w:t>Hoá chất phản ứng (HCV Mix)</w:t>
            </w:r>
          </w:p>
          <w:p>
            <w:pPr>
              <w:pStyle w:val="Normal"/>
              <w:rPr>
                <w:color w:val="000000"/>
                <w:sz w:val="20"/>
              </w:rPr>
            </w:pPr>
            <w:r>
              <w:rPr>
                <w:color w:val="000000"/>
                <w:sz w:val="20"/>
              </w:rPr>
              <w:t>Thang chuẩn định lượng (HCV Standard)</w:t>
            </w:r>
          </w:p>
          <w:p>
            <w:pPr>
              <w:pStyle w:val="Normal"/>
              <w:rPr>
                <w:color w:val="000000"/>
                <w:sz w:val="20"/>
              </w:rPr>
            </w:pPr>
            <w:r>
              <w:rPr>
                <w:color w:val="000000"/>
                <w:sz w:val="20"/>
              </w:rPr>
              <w:t>Chứng dương (HCV Positive</w:t>
            </w:r>
            <w:r>
              <w:rPr>
                <w:color w:val="000000"/>
                <w:sz w:val="20"/>
                <w:lang w:val="vi-VN"/>
              </w:rPr>
              <w:t xml:space="preserve"> </w:t>
            </w:r>
            <w:r>
              <w:rPr>
                <w:color w:val="000000"/>
                <w:sz w:val="20"/>
              </w:rPr>
              <w:t>Control)</w:t>
            </w:r>
          </w:p>
          <w:p>
            <w:pPr>
              <w:pStyle w:val="Normal"/>
              <w:rPr>
                <w:color w:val="000000"/>
                <w:sz w:val="20"/>
              </w:rPr>
            </w:pPr>
            <w:r>
              <w:rPr>
                <w:color w:val="000000"/>
                <w:sz w:val="20"/>
              </w:rPr>
              <w:t>Chứng âm (HCV Internal Control)</w:t>
              <w:br/>
            </w:r>
            <w:r>
              <w:rPr>
                <w:color w:val="000000"/>
                <w:sz w:val="20"/>
                <w:lang w:val="vi-VN"/>
              </w:rPr>
              <w:t xml:space="preserve">- </w:t>
            </w:r>
            <w:r>
              <w:rPr>
                <w:color w:val="000000"/>
                <w:sz w:val="20"/>
              </w:rPr>
              <w:t>Ngưỡng phát hiện (LoD): 26 IU/mL (11 copies/mL) mẫu huyết thanh, huyết tương</w:t>
              <w:br/>
            </w:r>
            <w:r>
              <w:rPr>
                <w:color w:val="000000"/>
                <w:sz w:val="20"/>
                <w:lang w:val="vi-VN"/>
              </w:rPr>
              <w:t xml:space="preserve">- </w:t>
            </w:r>
            <w:r>
              <w:rPr>
                <w:color w:val="000000"/>
                <w:sz w:val="20"/>
              </w:rPr>
              <w:t>Độ đặc hiệu: 100%</w:t>
            </w:r>
          </w:p>
        </w:tc>
        <w:tc>
          <w:tcPr>
            <w:tcW w:w="851" w:type="dxa"/>
            <w:tcBorders>
              <w:top w:val="single" w:sz="4" w:space="0" w:color="000000"/>
              <w:start w:val="single" w:sz="4" w:space="0" w:color="000000"/>
              <w:bottom w:val="single" w:sz="4" w:space="0" w:color="000000"/>
              <w:end w:val="single" w:sz="4" w:space="0" w:color="000000"/>
            </w:tcBorders>
            <w:vAlign w:val="center"/>
          </w:tcPr>
          <w:p>
            <w:pPr>
              <w:pStyle w:val="Normal"/>
              <w:jc w:val="center"/>
              <w:rPr>
                <w:color w:val="000000"/>
                <w:sz w:val="20"/>
              </w:rPr>
            </w:pPr>
            <w:r>
              <w:rPr>
                <w:color w:val="000000"/>
                <w:sz w:val="20"/>
              </w:rPr>
              <w:t>Test</w:t>
            </w:r>
          </w:p>
        </w:tc>
        <w:tc>
          <w:tcPr>
            <w:tcW w:w="850" w:type="dxa"/>
            <w:tcBorders>
              <w:top w:val="single" w:sz="4" w:space="0" w:color="000000"/>
              <w:start w:val="single" w:sz="4" w:space="0" w:color="000000"/>
              <w:bottom w:val="single" w:sz="4" w:space="0" w:color="000000"/>
              <w:end w:val="single" w:sz="4" w:space="0" w:color="000000"/>
            </w:tcBorders>
            <w:vAlign w:val="center"/>
          </w:tcPr>
          <w:p>
            <w:pPr>
              <w:pStyle w:val="Normal"/>
              <w:jc w:val="center"/>
              <w:rPr>
                <w:color w:val="000000"/>
                <w:sz w:val="20"/>
              </w:rPr>
            </w:pPr>
            <w:r>
              <w:rPr>
                <w:color w:val="000000"/>
                <w:sz w:val="20"/>
              </w:rPr>
              <w:t>960</w:t>
            </w:r>
          </w:p>
        </w:tc>
        <w:tc>
          <w:tcPr>
            <w:tcW w:w="567" w:type="dxa"/>
            <w:tcBorders>
              <w:top w:val="single" w:sz="4" w:space="0" w:color="000000"/>
              <w:start w:val="single" w:sz="4" w:space="0" w:color="000000"/>
              <w:bottom w:val="single" w:sz="4" w:space="0" w:color="000000"/>
              <w:end w:val="single" w:sz="4" w:space="0" w:color="000000"/>
            </w:tcBorders>
            <w:vAlign w:val="center"/>
          </w:tcPr>
          <w:p>
            <w:pPr>
              <w:pStyle w:val="Sub-ClauseText"/>
              <w:snapToGrid w:val="false"/>
              <w:spacing w:before="0" w:after="0"/>
              <w:jc w:val="center"/>
              <w:rPr>
                <w:sz w:val="20"/>
              </w:rPr>
            </w:pPr>
            <w:r>
              <w:rPr>
                <w:color w:val="000000"/>
                <w:sz w:val="20"/>
              </w:rPr>
            </w:r>
          </w:p>
        </w:tc>
        <w:tc>
          <w:tcPr>
            <w:tcW w:w="1134" w:type="dxa"/>
            <w:tcBorders>
              <w:top w:val="single" w:sz="4" w:space="0" w:color="000000"/>
              <w:start w:val="single" w:sz="4" w:space="0" w:color="000000"/>
              <w:bottom w:val="single" w:sz="4" w:space="0" w:color="000000"/>
              <w:end w:val="single" w:sz="4" w:space="0" w:color="000000"/>
            </w:tcBorders>
            <w:vAlign w:val="center"/>
          </w:tcPr>
          <w:p>
            <w:pPr>
              <w:pStyle w:val="Sub-ClauseText"/>
              <w:spacing w:before="0" w:after="0"/>
              <w:jc w:val="end"/>
              <w:rPr>
                <w:sz w:val="20"/>
                <w:lang w:val="vi-VN"/>
              </w:rPr>
            </w:pPr>
            <w:r>
              <w:rPr>
                <w:sz w:val="20"/>
                <w:lang w:val="vi-VN"/>
              </w:rPr>
              <w:t>433.125</w:t>
            </w:r>
          </w:p>
        </w:tc>
      </w:tr>
    </w:tbl>
    <w:p>
      <w:pPr>
        <w:pStyle w:val="Normal"/>
        <w:spacing w:lineRule="auto" w:line="288" w:before="120" w:after="60"/>
        <w:ind w:firstLine="709" w:end="0"/>
        <w:jc w:val="both"/>
        <w:rPr>
          <w:bCs/>
          <w:sz w:val="28"/>
          <w:szCs w:val="28"/>
          <w:lang w:val="nl-NL"/>
        </w:rPr>
      </w:pPr>
      <w:r>
        <w:rPr>
          <w:b/>
          <w:sz w:val="28"/>
          <w:szCs w:val="28"/>
          <w:lang w:val="nl-NL"/>
        </w:rPr>
        <w:t xml:space="preserve">Điều 2. </w:t>
      </w:r>
      <w:r>
        <w:rPr>
          <w:bCs/>
          <w:sz w:val="28"/>
          <w:szCs w:val="28"/>
          <w:lang w:val="nl-NL"/>
        </w:rPr>
        <w:t>Tổ chức thực hiện</w:t>
      </w:r>
    </w:p>
    <w:p>
      <w:pPr>
        <w:pStyle w:val="Normal"/>
        <w:spacing w:lineRule="auto" w:line="288" w:before="0" w:after="120"/>
        <w:ind w:firstLine="720" w:end="0"/>
        <w:jc w:val="both"/>
        <w:rPr>
          <w:sz w:val="28"/>
          <w:szCs w:val="28"/>
        </w:rPr>
      </w:pPr>
      <w:r>
        <w:rPr>
          <w:sz w:val="28"/>
          <w:szCs w:val="28"/>
        </w:rPr>
        <w:t xml:space="preserve">Giao </w:t>
      </w:r>
      <w:r>
        <w:rPr>
          <w:sz w:val="28"/>
          <w:szCs w:val="28"/>
          <w:lang w:val="vi-VN"/>
        </w:rPr>
        <w:t>Công ty TNHH Mô Phỏng Mock</w:t>
      </w:r>
      <w:r>
        <w:rPr>
          <w:sz w:val="28"/>
          <w:szCs w:val="28"/>
        </w:rPr>
        <w:t xml:space="preserve">, phòng Vật tư - thiết bị y tế, phòng Tài chính kế toán, Tổ chuyên gia, các khoa, phòng, trung tâm và đơn vị liên quan căn cứ nội dung được phê duyệt tại Điều 1 của Quyết định này, tiến hành tổ chức hoàn thiện hợp đồng. </w:t>
      </w:r>
    </w:p>
    <w:p>
      <w:pPr>
        <w:pStyle w:val="Normal"/>
        <w:spacing w:lineRule="auto" w:line="288" w:before="120" w:after="0"/>
        <w:ind w:firstLine="720" w:end="0"/>
        <w:jc w:val="both"/>
        <w:rPr>
          <w:sz w:val="28"/>
          <w:szCs w:val="28"/>
        </w:rPr>
      </w:pPr>
      <w:r>
        <w:rPr>
          <w:b/>
          <w:bCs/>
          <w:sz w:val="28"/>
          <w:szCs w:val="28"/>
        </w:rPr>
        <w:t>Điều 3.</w:t>
      </w:r>
      <w:r>
        <w:rPr>
          <w:sz w:val="28"/>
          <w:szCs w:val="28"/>
        </w:rPr>
        <w:t xml:space="preserve"> Quyết định này có hiệu lực kể từ ngày ký. </w:t>
      </w:r>
      <w:r>
        <w:rPr>
          <w:sz w:val="28"/>
          <w:szCs w:val="28"/>
          <w:lang w:val="vi-VN"/>
        </w:rPr>
        <w:t>Công ty TNHH Mô Phỏng Mock</w:t>
      </w:r>
      <w:r>
        <w:rPr>
          <w:sz w:val="28"/>
          <w:szCs w:val="28"/>
        </w:rPr>
        <w:t>, phòng Vật tư - thiết bị y tế, phòng Tài chính kế toán, Tổ chuyên gia, các khoa, phòng, trung tâm và đơn vị liên quan chịu trách nhiệm thi hành Quyết định này./.</w:t>
      </w:r>
    </w:p>
    <w:tbl>
      <w:tblPr>
        <w:tblW w:w="9145" w:type="dxa"/>
        <w:jc w:val="start"/>
        <w:tblInd w:w="108" w:type="dxa"/>
        <w:tblLayout w:type="fixed"/>
        <w:tblCellMar>
          <w:top w:w="0" w:type="dxa"/>
          <w:start w:w="108" w:type="dxa"/>
          <w:bottom w:w="0" w:type="dxa"/>
          <w:end w:w="108" w:type="dxa"/>
        </w:tblCellMar>
      </w:tblPr>
      <w:tblGrid>
        <w:gridCol w:w="4379"/>
        <w:gridCol w:w="4766"/>
      </w:tblGrid>
      <w:tr>
        <w:trPr>
          <w:trHeight w:val="2426" w:hRule="atLeast"/>
        </w:trPr>
        <w:tc>
          <w:tcPr>
            <w:tcW w:w="4379" w:type="dxa"/>
            <w:tcBorders/>
          </w:tcPr>
          <w:p>
            <w:pPr>
              <w:pStyle w:val="Normal"/>
              <w:keepNext w:val="true"/>
              <w:numPr>
                <w:ilvl w:val="0"/>
                <w:numId w:val="0"/>
              </w:numPr>
              <w:snapToGrid w:val="false"/>
              <w:spacing w:lineRule="auto" w:line="276"/>
              <w:outlineLvl w:val="1"/>
              <w:rPr>
                <w:b/>
                <w:i/>
                <w:sz w:val="24"/>
                <w:szCs w:val="24"/>
                <w:lang w:val="nl-NL"/>
              </w:rPr>
            </w:pPr>
            <w:r>
              <w:rPr>
                <w:b/>
                <w:i/>
                <w:sz w:val="24"/>
                <w:szCs w:val="24"/>
                <w:lang w:val="nl-NL"/>
              </w:rPr>
            </w:r>
          </w:p>
          <w:p>
            <w:pPr>
              <w:pStyle w:val="Normal"/>
              <w:keepNext w:val="true"/>
              <w:numPr>
                <w:ilvl w:val="0"/>
                <w:numId w:val="0"/>
              </w:numPr>
              <w:spacing w:lineRule="auto" w:line="276"/>
              <w:ind w:firstLine="105" w:start="-105" w:end="0"/>
              <w:outlineLvl w:val="1"/>
              <w:rPr>
                <w:b/>
                <w:bCs/>
                <w:i/>
                <w:sz w:val="24"/>
                <w:szCs w:val="24"/>
                <w:lang w:val="nl-NL"/>
              </w:rPr>
            </w:pPr>
            <w:r>
              <w:rPr>
                <w:b/>
                <w:i/>
                <w:sz w:val="24"/>
                <w:szCs w:val="24"/>
                <w:lang w:val="nl-NL"/>
              </w:rPr>
              <w:t xml:space="preserve"> </w:t>
            </w:r>
            <w:r>
              <w:rPr>
                <w:b/>
                <w:i/>
                <w:sz w:val="24"/>
                <w:szCs w:val="24"/>
                <w:lang w:val="nl-NL"/>
              </w:rPr>
              <w:t>Nơi nhận:</w:t>
              <w:tab/>
            </w:r>
            <w:r>
              <w:rPr>
                <w:i/>
                <w:sz w:val="24"/>
                <w:szCs w:val="24"/>
                <w:lang w:val="nl-NL"/>
              </w:rPr>
              <w:tab/>
              <w:tab/>
              <w:t xml:space="preserve">  </w:t>
            </w:r>
          </w:p>
          <w:p>
            <w:pPr>
              <w:pStyle w:val="Normal"/>
              <w:spacing w:lineRule="auto" w:line="276"/>
              <w:rPr>
                <w:sz w:val="22"/>
                <w:szCs w:val="22"/>
                <w:lang w:val="nl-NL"/>
              </w:rPr>
            </w:pPr>
            <w:r>
              <w:rPr>
                <w:sz w:val="22"/>
                <w:szCs w:val="22"/>
                <w:lang w:val="nl-NL"/>
              </w:rPr>
              <w:t>- Như Điều 3;</w:t>
            </w:r>
          </w:p>
          <w:p>
            <w:pPr>
              <w:pStyle w:val="Normal"/>
              <w:spacing w:lineRule="auto" w:line="276"/>
              <w:rPr>
                <w:b/>
                <w:sz w:val="28"/>
                <w:szCs w:val="28"/>
                <w:lang w:val="nl-NL"/>
              </w:rPr>
            </w:pPr>
            <w:r>
              <w:rPr>
                <w:sz w:val="22"/>
                <w:szCs w:val="22"/>
                <w:lang w:val="nl-NL"/>
              </w:rPr>
              <w:t xml:space="preserve">- Lưu: </w:t>
            </w:r>
            <w:r>
              <w:rPr>
                <w:sz w:val="22"/>
                <w:szCs w:val="22"/>
              </w:rPr>
              <w:t xml:space="preserve">VT, </w:t>
            </w:r>
            <w:r>
              <w:rPr>
                <w:sz w:val="22"/>
                <w:szCs w:val="22"/>
                <w:lang w:val="vi-VN"/>
              </w:rPr>
              <w:t>TCG</w:t>
            </w:r>
            <w:r>
              <w:rPr>
                <w:sz w:val="22"/>
                <w:szCs w:val="22"/>
              </w:rPr>
              <w:t>, VTYT, TCKT.</w:t>
            </w:r>
          </w:p>
        </w:tc>
        <w:tc>
          <w:tcPr>
            <w:tcW w:w="4766" w:type="dxa"/>
            <w:tcBorders/>
          </w:tcPr>
          <w:p>
            <w:pPr>
              <w:pStyle w:val="Normal"/>
              <w:snapToGrid w:val="false"/>
              <w:spacing w:lineRule="auto" w:line="276"/>
              <w:jc w:val="center"/>
              <w:rPr>
                <w:b/>
                <w:sz w:val="28"/>
                <w:szCs w:val="28"/>
                <w:lang w:val="nl-NL"/>
              </w:rPr>
            </w:pPr>
            <w:r>
              <w:rPr>
                <w:b/>
                <w:sz w:val="28"/>
                <w:szCs w:val="28"/>
                <w:lang w:val="nl-NL"/>
              </w:rPr>
            </w:r>
          </w:p>
          <w:p>
            <w:pPr>
              <w:pStyle w:val="Normal"/>
              <w:spacing w:lineRule="auto" w:line="276"/>
              <w:jc w:val="center"/>
              <w:rPr>
                <w:b/>
                <w:sz w:val="28"/>
                <w:szCs w:val="28"/>
                <w:lang w:val="nl-NL"/>
              </w:rPr>
            </w:pPr>
            <w:r>
              <w:rPr>
                <w:b/>
                <w:sz w:val="28"/>
                <w:szCs w:val="28"/>
                <w:lang w:val="nl-NL"/>
              </w:rPr>
              <w:t>GIÁM ĐỐC</w:t>
            </w:r>
          </w:p>
          <w:p>
            <w:pPr>
              <w:pStyle w:val="Normal"/>
              <w:spacing w:lineRule="auto" w:line="276"/>
              <w:jc w:val="center"/>
              <w:rPr>
                <w:b/>
                <w:sz w:val="34"/>
                <w:szCs w:val="28"/>
                <w:lang w:val="nl-NL"/>
              </w:rPr>
            </w:pPr>
            <w:r>
              <w:rPr>
                <w:b/>
                <w:sz w:val="34"/>
                <w:szCs w:val="28"/>
                <w:lang w:val="nl-NL"/>
              </w:rPr>
            </w:r>
          </w:p>
          <w:p>
            <w:pPr>
              <w:pStyle w:val="Normal"/>
              <w:spacing w:lineRule="auto" w:line="276"/>
              <w:jc w:val="center"/>
              <w:rPr>
                <w:b/>
                <w:sz w:val="32"/>
                <w:szCs w:val="28"/>
                <w:lang w:val="nl-NL"/>
              </w:rPr>
            </w:pPr>
            <w:r>
              <w:rPr>
                <w:b/>
                <w:sz w:val="32"/>
                <w:szCs w:val="28"/>
                <w:lang w:val="nl-NL"/>
              </w:rPr>
            </w:r>
          </w:p>
          <w:p>
            <w:pPr>
              <w:pStyle w:val="Normal"/>
              <w:spacing w:lineRule="auto" w:line="276"/>
              <w:jc w:val="center"/>
              <w:rPr>
                <w:b/>
                <w:sz w:val="32"/>
                <w:szCs w:val="28"/>
                <w:lang w:val="nl-NL"/>
              </w:rPr>
            </w:pPr>
            <w:r>
              <w:rPr>
                <w:b/>
                <w:sz w:val="32"/>
                <w:szCs w:val="28"/>
                <w:lang w:val="nl-NL"/>
              </w:rPr>
            </w:r>
          </w:p>
          <w:p>
            <w:pPr>
              <w:pStyle w:val="Normal"/>
              <w:spacing w:lineRule="auto" w:line="276"/>
              <w:jc w:val="center"/>
              <w:rPr>
                <w:b/>
                <w:sz w:val="16"/>
                <w:szCs w:val="28"/>
                <w:lang w:val="nl-NL"/>
              </w:rPr>
            </w:pPr>
            <w:r>
              <w:rPr>
                <w:b/>
                <w:sz w:val="16"/>
                <w:szCs w:val="28"/>
                <w:lang w:val="nl-NL"/>
              </w:rPr>
            </w:r>
          </w:p>
          <w:p>
            <w:pPr>
              <w:pStyle w:val="Normal"/>
              <w:spacing w:lineRule="auto" w:line="276"/>
              <w:jc w:val="center"/>
              <w:rPr>
                <w:b/>
                <w:sz w:val="28"/>
                <w:szCs w:val="28"/>
                <w:lang w:val="nl-NL"/>
              </w:rPr>
            </w:pPr>
            <w:r>
              <w:rPr>
                <w:b/>
                <w:sz w:val="28"/>
                <w:szCs w:val="28"/>
                <w:lang w:val="nl-NL"/>
              </w:rPr>
              <w:t>Lê Đình Thanh Sơn</w:t>
            </w:r>
          </w:p>
        </w:tc>
      </w:tr>
    </w:tbl>
    <w:p>
      <w:pPr>
        <w:pStyle w:val="Normal"/>
        <w:spacing w:lineRule="auto" w:line="276"/>
        <w:rPr/>
      </w:pPr>
      <w:r>
        <w:rPr/>
        <w:t xml:space="preserve"> </w:t>
      </w:r>
    </w:p>
    <w:sectPr>
      <w:headerReference w:type="default" r:id="rId2"/>
      <w:headerReference w:type="first" r:id="rId3"/>
      <w:footerReference w:type="default" r:id="rId4"/>
      <w:footerReference w:type="first" r:id="rId5"/>
      <w:type w:val="nextPage"/>
      <w:pgSz w:w="11906" w:h="16838"/>
      <w:pgMar w:left="1701" w:right="1134" w:gutter="0" w:header="567" w:top="1134" w:footer="340" w:bottom="567"/>
      <w:pgNumType w:start="1" w:fmt="decimal"/>
      <w:formProt w:val="false"/>
      <w:titlePg/>
      <w:textDirection w:val="lrTb"/>
      <w:docGrid w:type="default" w:linePitch="381"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VnTimeH">
    <w:altName w:val="Courier New"/>
    <w:charset w:val="00" w:characterSet="windows-1252"/>
    <w:family w:val="swiss"/>
    <w:pitch w:val="variable"/>
  </w:font>
  <w:font w:name="Calibri">
    <w:charset w:val="00" w:characterSet="windows-1252"/>
    <w:family w:val="swiss"/>
    <w:pitch w:val="variable"/>
  </w:font>
  <w:font w:name=".VnTime">
    <w:altName w:val="Courier New"/>
    <w:charset w:val="00" w:characterSet="windows-1252"/>
    <w:family w:val="swiss"/>
    <w:pitch w:val="variable"/>
  </w:font>
  <w:font w:name="Wingdings">
    <w:charset w:val="02"/>
    <w:family w:val="auto"/>
    <w:pitch w:val="variable"/>
  </w:font>
  <w:font w:name="Courier New">
    <w:charset w:val="00" w:characterSet="windows-1252"/>
    <w:family w:val="modern"/>
    <w:pitch w:val="default"/>
  </w:font>
  <w:font w:name=".VnCourier New">
    <w:charset w:val="00" w:characterSet="windows-1252"/>
    <w:family w:val="roman"/>
    <w:pitch w:val="variable"/>
  </w:font>
  <w:font w:name="Cambria">
    <w:charset w:val="00" w:characterSet="windows-1252"/>
    <w:family w:val="roman"/>
    <w:pitch w:val="variable"/>
  </w:font>
  <w:font w:name="VNI-Times">
    <w:charset w:val="00" w:characterSet="windows-1252"/>
    <w:family w:val="auto"/>
    <w:pitch w:val="variable"/>
  </w:font>
  <w:font w:name="Segoe UI">
    <w:charset w:val="00" w:characterSet="windows-1252"/>
    <w:family w:val="swiss"/>
    <w:pitch w:val="variable"/>
  </w:font>
  <w:font w:name="3C_Palatino_T">
    <w:altName w:val="Courier New"/>
    <w:charset w:val="00" w:characterSet="windows-1252"/>
    <w:family w:val="swiss"/>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rFonts w:ascii="Times New Roman" w:hAnsi="Times New Roman" w:cs="Times New Roman"/>
      </w:rPr>
    </w:pPr>
    <w:r>
      <w:rPr>
        <w:rFonts w:cs="Times New Roman" w:ascii="Times New Roman" w:hAnsi="Times New Roman"/>
      </w:rPr>
    </w:r>
  </w:p>
  <w:p>
    <w:pPr>
      <w:pStyle w:val="Footer"/>
      <w:rPr/>
    </w:pPr>
    <w:r>
      <w:rPr>
        <w:rFonts w:cs="Times New Roman" w:ascii="Times New Roman" w:hAnsi="Times New Roman"/>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jc w:val="center"/>
      <w:rPr>
        <w:rFonts w:ascii="Times New Roman" w:hAnsi="Times New Roman" w:cs="Times New Roman"/>
      </w:rPr>
    </w:pPr>
    <w:r>
      <w:rPr>
        <w:rFonts w:cs="Times New Roman" w:ascii="Times New Roman" w:hAnsi="Times New Roman"/>
      </w:rPr>
      <w:fldChar w:fldCharType="begin"/>
    </w:r>
    <w:r>
      <w:rPr>
        <w:rFonts w:cs="Times New Roman" w:ascii="Times New Roman" w:hAnsi="Times New Roman"/>
      </w:rPr>
      <w:instrText xml:space="preserve"> PAGE </w:instrText>
    </w:r>
    <w:r>
      <w:rPr>
        <w:rFonts w:cs="Times New Roman" w:ascii="Times New Roman" w:hAnsi="Times New Roman"/>
      </w:rPr>
      <w:fldChar w:fldCharType="separate"/>
    </w:r>
    <w:r>
      <w:rPr>
        <w:rFonts w:cs="Times New Roman" w:ascii="Times New Roman" w:hAnsi="Times New Roman"/>
      </w:rPr>
      <w:t>5</w:t>
    </w:r>
    <w:r>
      <w:rPr>
        <w:rFonts w:cs="Times New Roman" w:ascii="Times New Roman" w:hAnsi="Times New Roman"/>
      </w:rPr>
      <w:fldChar w:fldCharType="end"/>
    </w:r>
  </w:p>
  <w:p>
    <w:pPr>
      <w:pStyle w:val="Header"/>
      <w:rPr/>
    </w:pPr>
    <w:r>
      <w:rPr>
        <w:rFonts w:cs="Times New Roman" w:ascii="Times New Roman" w:hAnsi="Times New Roman"/>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pStyle w:val="Heading1"/>
      <w:suff w:val="nothing"/>
      <w:lvlText w:val=""/>
      <w:lvlJc w:val="start"/>
      <w:pPr>
        <w:tabs>
          <w:tab w:val="num" w:pos="0"/>
        </w:tabs>
        <w:ind w:start="0" w:hanging="0"/>
      </w:pPr>
    </w:lvl>
    <w:lvl w:ilvl="1">
      <w:start w:val="1"/>
      <w:numFmt w:val="none"/>
      <w:pStyle w:val="Heading2"/>
      <w:suff w:val="nothing"/>
      <w:lvlText w:val=""/>
      <w:lvlJc w:val="start"/>
      <w:pPr>
        <w:tabs>
          <w:tab w:val="num" w:pos="0"/>
        </w:tabs>
        <w:ind w:start="0" w:hanging="0"/>
      </w:pPr>
    </w:lvl>
    <w:lvl w:ilvl="2">
      <w:start w:val="1"/>
      <w:numFmt w:val="none"/>
      <w:pStyle w:val="Heading3"/>
      <w:suff w:val="nothing"/>
      <w:lvlText w:val=""/>
      <w:lvlJc w:val="start"/>
      <w:pPr>
        <w:tabs>
          <w:tab w:val="num" w:pos="0"/>
        </w:tabs>
        <w:ind w:start="0" w:hanging="0"/>
      </w:pPr>
    </w:lvl>
    <w:lvl w:ilvl="3">
      <w:start w:val="1"/>
      <w:numFmt w:val="none"/>
      <w:pStyle w:val="Heading4"/>
      <w:suff w:val="nothing"/>
      <w:lvlText w:val=""/>
      <w:lvlJc w:val="start"/>
      <w:pPr>
        <w:tabs>
          <w:tab w:val="num" w:pos="0"/>
        </w:tabs>
        <w:ind w:start="0" w:hanging="0"/>
      </w:pPr>
    </w:lvl>
    <w:lvl w:ilvl="4">
      <w:start w:val="1"/>
      <w:numFmt w:val="none"/>
      <w:pStyle w:val="Heading5"/>
      <w:suff w:val="nothing"/>
      <w:lvlText w:val=""/>
      <w:lvlJc w:val="start"/>
      <w:pPr>
        <w:tabs>
          <w:tab w:val="num" w:pos="0"/>
        </w:tabs>
        <w:ind w:start="0" w:hanging="0"/>
      </w:pPr>
    </w:lvl>
    <w:lvl w:ilvl="5">
      <w:start w:val="1"/>
      <w:numFmt w:val="none"/>
      <w:pStyle w:val="Heading6"/>
      <w:suff w:val="nothing"/>
      <w:lvlText w:val=""/>
      <w:lvlJc w:val="start"/>
      <w:pPr>
        <w:tabs>
          <w:tab w:val="num" w:pos="0"/>
        </w:tabs>
        <w:ind w:start="0" w:hanging="0"/>
      </w:pPr>
    </w:lvl>
    <w:lvl w:ilvl="6">
      <w:start w:val="1"/>
      <w:numFmt w:val="none"/>
      <w:pStyle w:val="Heading7"/>
      <w:suff w:val="nothing"/>
      <w:lvlText w:val=""/>
      <w:lvlJc w:val="start"/>
      <w:pPr>
        <w:tabs>
          <w:tab w:val="num" w:pos="0"/>
        </w:tabs>
        <w:ind w:start="0" w:hanging="0"/>
      </w:pPr>
    </w:lvl>
    <w:lvl w:ilvl="7">
      <w:start w:val="1"/>
      <w:numFmt w:val="none"/>
      <w:pStyle w:val="Heading8"/>
      <w:suff w:val="nothing"/>
      <w:lvlText w:val=""/>
      <w:lvlJc w:val="start"/>
      <w:pPr>
        <w:tabs>
          <w:tab w:val="num" w:pos="0"/>
        </w:tabs>
        <w:ind w:start="0" w:hanging="0"/>
      </w:pPr>
    </w:lvl>
    <w:lvl w:ilvl="8">
      <w:start w:val="1"/>
      <w:numFmt w:val="none"/>
      <w:pStyle w:val="Heading9"/>
      <w:suff w:val="nothing"/>
      <w:lvlText w:val=""/>
      <w:lvlJc w:val="start"/>
      <w:pPr>
        <w:tabs>
          <w:tab w:val="num" w:pos="0"/>
        </w:tabs>
        <w:ind w:start="0" w:hanging="0"/>
      </w:pPr>
    </w:lvl>
  </w:abstractNum>
  <w:num w:numId="1">
    <w:abstractNumId w:val="1"/>
  </w:num>
</w:numbering>
</file>

<file path=word/settings.xml><?xml version="1.0" encoding="utf-8"?>
<w:settings xmlns:w="http://schemas.openxmlformats.org/wordprocessingml/2006/main">
  <w:zoom w:percent="143"/>
  <w:defaultTabStop w:val="720"/>
  <w:autoHyphenation w:val="true"/>
  <w:hyphenationZone w:val="0"/>
  <w:compat>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vi-VN" w:eastAsia="zh-CN" w:bidi="hi-IN"/>
      </w:rPr>
    </w:rPrDefault>
    <w:pPrDefault>
      <w:pPr>
        <w:suppressAutoHyphens w:val="true"/>
      </w:pPr>
    </w:pPrDefault>
  </w:docDefaults>
  <w:style w:type="paragraph" w:styleId="Normal">
    <w:name w:val="Normal"/>
    <w:qFormat/>
    <w:pPr>
      <w:widowControl w:val="false"/>
      <w:bidi w:val="0"/>
    </w:pPr>
    <w:rPr>
      <w:rFonts w:ascii="Times New Roman" w:hAnsi="Times New Roman" w:eastAsia="Times New Roman" w:cs="Times New Roman"/>
      <w:color w:val="auto"/>
      <w:sz w:val="26"/>
      <w:szCs w:val="20"/>
      <w:lang w:val="en-US" w:bidi="ar-SA" w:eastAsia="zh-CN"/>
    </w:rPr>
  </w:style>
  <w:style w:type="paragraph" w:styleId="Heading1">
    <w:name w:val="heading 1"/>
    <w:basedOn w:val="Normal"/>
    <w:next w:val="Normal"/>
    <w:qFormat/>
    <w:pPr>
      <w:keepNext w:val="true"/>
      <w:numPr>
        <w:ilvl w:val="0"/>
        <w:numId w:val="1"/>
      </w:numPr>
      <w:jc w:val="center"/>
      <w:outlineLvl w:val="0"/>
    </w:pPr>
    <w:rPr>
      <w:rFonts w:ascii=".VnTimeH;Courier New" w:hAnsi=".VnTimeH;Courier New" w:cs=".VnTimeH;Courier New"/>
      <w:b/>
      <w:sz w:val="28"/>
    </w:rPr>
  </w:style>
  <w:style w:type="paragraph" w:styleId="Heading2">
    <w:name w:val="heading 2"/>
    <w:basedOn w:val="Normal"/>
    <w:next w:val="Normal"/>
    <w:qFormat/>
    <w:pPr>
      <w:keepNext w:val="true"/>
      <w:numPr>
        <w:ilvl w:val="1"/>
        <w:numId w:val="1"/>
      </w:numPr>
      <w:jc w:val="center"/>
      <w:outlineLvl w:val="1"/>
    </w:pPr>
    <w:rPr>
      <w:b/>
      <w:i/>
      <w:sz w:val="28"/>
      <w:lang w:val="vi-VN"/>
    </w:rPr>
  </w:style>
  <w:style w:type="paragraph" w:styleId="Heading3">
    <w:name w:val="heading 3"/>
    <w:basedOn w:val="Normal"/>
    <w:next w:val="Normal"/>
    <w:qFormat/>
    <w:pPr>
      <w:keepNext w:val="true"/>
      <w:numPr>
        <w:ilvl w:val="2"/>
        <w:numId w:val="1"/>
      </w:numPr>
      <w:spacing w:before="240" w:after="60"/>
      <w:outlineLvl w:val="2"/>
    </w:pPr>
    <w:rPr>
      <w:rFonts w:ascii="Arial" w:hAnsi="Arial" w:cs="Arial"/>
      <w:b/>
      <w:bCs/>
      <w:szCs w:val="26"/>
      <w:lang w:val="vi-VN"/>
    </w:rPr>
  </w:style>
  <w:style w:type="paragraph" w:styleId="Heading4">
    <w:name w:val="heading 4"/>
    <w:basedOn w:val="Normal"/>
    <w:next w:val="Normal"/>
    <w:qFormat/>
    <w:pPr>
      <w:keepNext w:val="true"/>
      <w:numPr>
        <w:ilvl w:val="3"/>
        <w:numId w:val="1"/>
      </w:numPr>
      <w:spacing w:before="240" w:after="60"/>
      <w:outlineLvl w:val="3"/>
    </w:pPr>
    <w:rPr>
      <w:rFonts w:ascii="Calibri" w:hAnsi="Calibri" w:cs="Calibri"/>
      <w:b/>
      <w:bCs/>
      <w:sz w:val="28"/>
      <w:szCs w:val="28"/>
      <w:lang w:val="vi-VN"/>
    </w:rPr>
  </w:style>
  <w:style w:type="paragraph" w:styleId="Heading5">
    <w:name w:val="heading 5"/>
    <w:basedOn w:val="Normal"/>
    <w:next w:val="Normal"/>
    <w:qFormat/>
    <w:pPr>
      <w:numPr>
        <w:ilvl w:val="4"/>
        <w:numId w:val="1"/>
      </w:numPr>
      <w:spacing w:before="240" w:after="60"/>
      <w:outlineLvl w:val="4"/>
    </w:pPr>
    <w:rPr>
      <w:rFonts w:ascii="Calibri" w:hAnsi="Calibri" w:cs="Calibri"/>
      <w:b/>
      <w:bCs/>
      <w:i/>
      <w:iCs/>
      <w:szCs w:val="26"/>
      <w:lang w:val="vi-VN"/>
    </w:rPr>
  </w:style>
  <w:style w:type="paragraph" w:styleId="Heading6">
    <w:name w:val="heading 6"/>
    <w:basedOn w:val="Normal"/>
    <w:next w:val="Normal"/>
    <w:qFormat/>
    <w:pPr>
      <w:keepNext w:val="true"/>
      <w:widowControl/>
      <w:numPr>
        <w:ilvl w:val="5"/>
        <w:numId w:val="1"/>
      </w:numPr>
      <w:pBdr>
        <w:top w:val="double" w:sz="4" w:space="1" w:color="000000"/>
        <w:left w:val="double" w:sz="4" w:space="0" w:color="000000"/>
        <w:bottom w:val="double" w:sz="4" w:space="1" w:color="000000"/>
        <w:right w:val="double" w:sz="4" w:space="13" w:color="000000"/>
      </w:pBdr>
      <w:jc w:val="center"/>
      <w:outlineLvl w:val="5"/>
    </w:pPr>
    <w:rPr>
      <w:rFonts w:ascii=".VnTime;Courier New" w:hAnsi=".VnTime;Courier New" w:cs=".VnTime;Courier New"/>
      <w:b/>
      <w:iCs/>
      <w:sz w:val="28"/>
      <w:lang w:val="vi-VN"/>
    </w:rPr>
  </w:style>
  <w:style w:type="paragraph" w:styleId="Heading7">
    <w:name w:val="heading 7"/>
    <w:basedOn w:val="Normal"/>
    <w:next w:val="Normal"/>
    <w:qFormat/>
    <w:pPr>
      <w:keepNext w:val="true"/>
      <w:widowControl/>
      <w:numPr>
        <w:ilvl w:val="6"/>
        <w:numId w:val="1"/>
      </w:numPr>
      <w:outlineLvl w:val="6"/>
    </w:pPr>
    <w:rPr>
      <w:rFonts w:ascii=".VnTime;Courier New" w:hAnsi=".VnTime;Courier New" w:cs=".VnTime;Courier New"/>
      <w:b/>
      <w:i/>
      <w:sz w:val="28"/>
      <w:lang w:val="vi-VN"/>
    </w:rPr>
  </w:style>
  <w:style w:type="paragraph" w:styleId="Heading8">
    <w:name w:val="heading 8"/>
    <w:basedOn w:val="Normal"/>
    <w:next w:val="Normal"/>
    <w:qFormat/>
    <w:pPr>
      <w:keepNext w:val="true"/>
      <w:widowControl/>
      <w:numPr>
        <w:ilvl w:val="7"/>
        <w:numId w:val="1"/>
      </w:numPr>
      <w:jc w:val="center"/>
      <w:outlineLvl w:val="7"/>
    </w:pPr>
    <w:rPr>
      <w:rFonts w:ascii=".VnTime;Courier New" w:hAnsi=".VnTime;Courier New" w:cs=".VnTime;Courier New"/>
      <w:b/>
      <w:i/>
      <w:sz w:val="28"/>
      <w:lang w:val="vi-VN"/>
    </w:rPr>
  </w:style>
  <w:style w:type="paragraph" w:styleId="Heading9">
    <w:name w:val="heading 9"/>
    <w:basedOn w:val="Normal"/>
    <w:next w:val="Normal"/>
    <w:qFormat/>
    <w:pPr>
      <w:keepNext w:val="true"/>
      <w:widowControl/>
      <w:numPr>
        <w:ilvl w:val="8"/>
        <w:numId w:val="1"/>
      </w:numPr>
      <w:ind w:firstLine="720" w:start="0" w:end="0"/>
      <w:jc w:val="center"/>
      <w:outlineLvl w:val="8"/>
    </w:pPr>
    <w:rPr>
      <w:rFonts w:ascii=".VnTime;Courier New" w:hAnsi=".VnTime;Courier New" w:cs=".VnTime;Courier New"/>
      <w:b/>
      <w:sz w:val="28"/>
      <w:lang w:val="vi-VN"/>
    </w:rPr>
  </w:style>
  <w:style w:type="character" w:styleId="WW8Num1z0">
    <w:name w:val="WW8Num1z0"/>
    <w:qFormat/>
    <w:rPr>
      <w:rFonts w:ascii="Times New Roman" w:hAnsi="Times New Roman" w:eastAsia="Times New Roman" w:cs="Times New Roman"/>
      <w:b/>
    </w:rPr>
  </w:style>
  <w:style w:type="character" w:styleId="WW8Num1z1">
    <w:name w:val="WW8Num1z1"/>
    <w:qFormat/>
    <w:rPr>
      <w:rFonts w:ascii="Wingdings" w:hAnsi="Wingdings" w:cs="Wingdings"/>
    </w:rPr>
  </w:style>
  <w:style w:type="character" w:styleId="WW8Num1z3">
    <w:name w:val="WW8Num1z3"/>
    <w:qFormat/>
    <w:rPr>
      <w:rFonts w:ascii="Symbol" w:hAnsi="Symbol" w:cs="Symbol"/>
    </w:rPr>
  </w:style>
  <w:style w:type="character" w:styleId="WW8Num1z4">
    <w:name w:val="WW8Num1z4"/>
    <w:qFormat/>
    <w:rPr>
      <w:rFonts w:ascii="Courier New" w:hAnsi="Courier New" w:cs="Courier New"/>
    </w:rPr>
  </w:style>
  <w:style w:type="character" w:styleId="WW8Num2z0">
    <w:name w:val="WW8Num2z0"/>
    <w:qFormat/>
    <w:rPr>
      <w:rFonts w:ascii="Times New Roman" w:hAnsi="Times New Roman" w:cs="Times New Roman"/>
      <w:b/>
      <w:bCs/>
    </w:rPr>
  </w:style>
  <w:style w:type="character" w:styleId="WW8Num2z1">
    <w:name w:val="WW8Num2z1"/>
    <w:qFormat/>
    <w:rPr>
      <w:rFonts w:ascii="Courier New" w:hAnsi="Courier New" w:cs="Courier New"/>
    </w:rPr>
  </w:style>
  <w:style w:type="character" w:styleId="WW8Num2z2">
    <w:name w:val="WW8Num2z2"/>
    <w:qFormat/>
    <w:rPr>
      <w:rFonts w:ascii="Wingdings" w:hAnsi="Wingdings" w:cs="Wingdings"/>
    </w:rPr>
  </w:style>
  <w:style w:type="character" w:styleId="WW8Num2z3">
    <w:name w:val="WW8Num2z3"/>
    <w:qFormat/>
    <w:rPr>
      <w:rFonts w:ascii="Symbol" w:hAnsi="Symbol" w:cs="Symbol"/>
    </w:rPr>
  </w:style>
  <w:style w:type="character" w:styleId="WW8Num3z0">
    <w:name w:val="WW8Num3z0"/>
    <w:qFormat/>
    <w:rPr/>
  </w:style>
  <w:style w:type="character" w:styleId="WW8Num5z0">
    <w:name w:val="WW8Num5z0"/>
    <w:qFormat/>
    <w:rPr/>
  </w:style>
  <w:style w:type="character" w:styleId="WW8Num6z0">
    <w:name w:val="WW8Num6z0"/>
    <w:qFormat/>
    <w:rPr/>
  </w:style>
  <w:style w:type="character" w:styleId="WW8Num8z0">
    <w:name w:val="WW8Num8z0"/>
    <w:qFormat/>
    <w:rPr>
      <w:rFonts w:ascii="Wingdings" w:hAnsi="Wingdings" w:cs="Wingdings"/>
    </w:rPr>
  </w:style>
  <w:style w:type="character" w:styleId="WW8Num8z1">
    <w:name w:val="WW8Num8z1"/>
    <w:qFormat/>
    <w:rPr>
      <w:rFonts w:ascii="Courier New" w:hAnsi="Courier New" w:cs="Courier New"/>
    </w:rPr>
  </w:style>
  <w:style w:type="character" w:styleId="WW8Num8z3">
    <w:name w:val="WW8Num8z3"/>
    <w:qFormat/>
    <w:rPr>
      <w:rFonts w:ascii="Symbol" w:hAnsi="Symbol" w:cs="Symbol"/>
    </w:rPr>
  </w:style>
  <w:style w:type="character" w:styleId="WW8Num9z0">
    <w:name w:val="WW8Num9z0"/>
    <w:qFormat/>
    <w:rPr/>
  </w:style>
  <w:style w:type="character" w:styleId="WW8Num10z0">
    <w:name w:val="WW8Num10z0"/>
    <w:qFormat/>
    <w:rPr/>
  </w:style>
  <w:style w:type="character" w:styleId="WW8Num11z0">
    <w:name w:val="WW8Num11z0"/>
    <w:qFormat/>
    <w:rPr>
      <w:rFonts w:ascii="Times New Roman" w:hAnsi="Times New Roman" w:cs="Times New Roman"/>
      <w:b w:val="false"/>
      <w:i w:val="false"/>
      <w:sz w:val="22"/>
      <w:szCs w:val="22"/>
    </w:rPr>
  </w:style>
  <w:style w:type="character" w:styleId="WW8Num11z1">
    <w:name w:val="WW8Num11z1"/>
    <w:qFormat/>
    <w:rPr>
      <w:rFonts w:ascii="Courier New" w:hAnsi="Courier New" w:cs="Courier New"/>
    </w:rPr>
  </w:style>
  <w:style w:type="character" w:styleId="WW8Num11z2">
    <w:name w:val="WW8Num11z2"/>
    <w:qFormat/>
    <w:rPr>
      <w:rFonts w:ascii="Wingdings" w:hAnsi="Wingdings" w:cs="Wingdings"/>
    </w:rPr>
  </w:style>
  <w:style w:type="character" w:styleId="WW8Num11z3">
    <w:name w:val="WW8Num11z3"/>
    <w:qFormat/>
    <w:rPr>
      <w:rFonts w:ascii="Symbol" w:hAnsi="Symbol" w:cs="Symbol"/>
    </w:rPr>
  </w:style>
  <w:style w:type="character" w:styleId="WW8Num12z0">
    <w:name w:val="WW8Num12z0"/>
    <w:qFormat/>
    <w:rPr>
      <w:rFonts w:ascii="Times New Roman" w:hAnsi="Times New Roman" w:cs="Times New Roman"/>
      <w:b/>
      <w:bCs/>
    </w:rPr>
  </w:style>
  <w:style w:type="character" w:styleId="WW8Num12z1">
    <w:name w:val="WW8Num12z1"/>
    <w:qFormat/>
    <w:rPr>
      <w:rFonts w:ascii="Courier New" w:hAnsi="Courier New" w:cs="Courier New"/>
    </w:rPr>
  </w:style>
  <w:style w:type="character" w:styleId="WW8Num12z2">
    <w:name w:val="WW8Num12z2"/>
    <w:qFormat/>
    <w:rPr>
      <w:rFonts w:ascii="Wingdings" w:hAnsi="Wingdings" w:cs="Wingdings"/>
    </w:rPr>
  </w:style>
  <w:style w:type="character" w:styleId="WW8Num12z3">
    <w:name w:val="WW8Num12z3"/>
    <w:qFormat/>
    <w:rPr>
      <w:rFonts w:ascii="Symbol" w:hAnsi="Symbol" w:cs="Symbol"/>
    </w:rPr>
  </w:style>
  <w:style w:type="character" w:styleId="WW8Num13z0">
    <w:name w:val="WW8Num13z0"/>
    <w:qFormat/>
    <w:rPr>
      <w:rFonts w:ascii="Symbol" w:hAnsi="Symbol" w:cs="Symbol"/>
    </w:rPr>
  </w:style>
  <w:style w:type="character" w:styleId="WW8Num13z1">
    <w:name w:val="WW8Num13z1"/>
    <w:qFormat/>
    <w:rPr>
      <w:rFonts w:ascii="Courier New" w:hAnsi="Courier New" w:cs="Courier New"/>
    </w:rPr>
  </w:style>
  <w:style w:type="character" w:styleId="WW8Num13z2">
    <w:name w:val="WW8Num13z2"/>
    <w:qFormat/>
    <w:rPr>
      <w:rFonts w:ascii="Wingdings" w:hAnsi="Wingdings" w:cs="Wingdings"/>
    </w:rPr>
  </w:style>
  <w:style w:type="character" w:styleId="WW8Num14z0">
    <w:name w:val="WW8Num14z0"/>
    <w:qFormat/>
    <w:rPr>
      <w:rFonts w:ascii="Times New Roman" w:hAnsi="Times New Roman" w:cs="Times New Roman"/>
      <w:b/>
      <w:bCs/>
    </w:rPr>
  </w:style>
  <w:style w:type="character" w:styleId="WW8Num14z1">
    <w:name w:val="WW8Num14z1"/>
    <w:qFormat/>
    <w:rPr>
      <w:rFonts w:ascii="Courier New" w:hAnsi="Courier New" w:cs="Courier New"/>
    </w:rPr>
  </w:style>
  <w:style w:type="character" w:styleId="WW8Num14z2">
    <w:name w:val="WW8Num14z2"/>
    <w:qFormat/>
    <w:rPr>
      <w:rFonts w:ascii="Wingdings" w:hAnsi="Wingdings" w:cs="Wingdings"/>
    </w:rPr>
  </w:style>
  <w:style w:type="character" w:styleId="WW8Num14z3">
    <w:name w:val="WW8Num14z3"/>
    <w:qFormat/>
    <w:rPr>
      <w:rFonts w:ascii="Symbol" w:hAnsi="Symbol" w:cs="Symbol"/>
    </w:rPr>
  </w:style>
  <w:style w:type="character" w:styleId="WW8Num15z0">
    <w:name w:val="WW8Num15z0"/>
    <w:qFormat/>
    <w:rPr>
      <w:rFonts w:ascii="Times New Roman" w:hAnsi="Times New Roman" w:cs="Times New Roman"/>
      <w:b/>
      <w:bCs/>
    </w:rPr>
  </w:style>
  <w:style w:type="character" w:styleId="WW8Num15z2">
    <w:name w:val="WW8Num15z2"/>
    <w:qFormat/>
    <w:rPr>
      <w:rFonts w:ascii="Wingdings" w:hAnsi="Wingdings" w:cs="Wingdings"/>
    </w:rPr>
  </w:style>
  <w:style w:type="character" w:styleId="WW8Num15z3">
    <w:name w:val="WW8Num15z3"/>
    <w:qFormat/>
    <w:rPr>
      <w:rFonts w:ascii="Symbol" w:hAnsi="Symbol" w:cs="Symbol"/>
    </w:rPr>
  </w:style>
  <w:style w:type="character" w:styleId="WW8Num15z4">
    <w:name w:val="WW8Num15z4"/>
    <w:qFormat/>
    <w:rPr>
      <w:rFonts w:ascii="Courier New" w:hAnsi="Courier New" w:cs="Courier New"/>
    </w:rPr>
  </w:style>
  <w:style w:type="character" w:styleId="WW8Num16z0">
    <w:name w:val="WW8Num16z0"/>
    <w:qFormat/>
    <w:rPr>
      <w:b/>
    </w:rPr>
  </w:style>
  <w:style w:type="character" w:styleId="WW8Num17z0">
    <w:name w:val="WW8Num17z0"/>
    <w:qFormat/>
    <w:rPr/>
  </w:style>
  <w:style w:type="character" w:styleId="WW8Num18z0">
    <w:name w:val="WW8Num18z0"/>
    <w:qFormat/>
    <w:rPr/>
  </w:style>
  <w:style w:type="character" w:styleId="WW8Num19z0">
    <w:name w:val="WW8Num19z0"/>
    <w:qFormat/>
    <w:rPr/>
  </w:style>
  <w:style w:type="character" w:styleId="WW8Num19z2">
    <w:name w:val="WW8Num19z2"/>
    <w:qFormat/>
    <w:rPr>
      <w:rFonts w:ascii="Symbol" w:hAnsi="Symbol" w:cs="Symbol"/>
      <w:b/>
      <w:i w:val="false"/>
      <w:strike w:val="false"/>
      <w:dstrike w:val="false"/>
      <w:color w:val="000000"/>
      <w:position w:val="0"/>
      <w:sz w:val="24"/>
      <w:szCs w:val="24"/>
      <w:vertAlign w:val="baseline"/>
    </w:rPr>
  </w:style>
  <w:style w:type="character" w:styleId="WW8Num20z0">
    <w:name w:val="WW8Num20z0"/>
    <w:qFormat/>
    <w:rPr/>
  </w:style>
  <w:style w:type="character" w:styleId="WW8Num21z0">
    <w:name w:val="WW8Num21z0"/>
    <w:qFormat/>
    <w:rPr>
      <w:rFonts w:ascii="Courier New" w:hAnsi="Courier New" w:cs="Courier New"/>
    </w:rPr>
  </w:style>
  <w:style w:type="character" w:styleId="WW8Num21z2">
    <w:name w:val="WW8Num21z2"/>
    <w:qFormat/>
    <w:rPr>
      <w:rFonts w:ascii="Wingdings" w:hAnsi="Wingdings" w:cs="Wingdings"/>
    </w:rPr>
  </w:style>
  <w:style w:type="character" w:styleId="WW8Num21z3">
    <w:name w:val="WW8Num21z3"/>
    <w:qFormat/>
    <w:rPr>
      <w:rFonts w:ascii="Symbol" w:hAnsi="Symbol" w:cs="Symbol"/>
    </w:rPr>
  </w:style>
  <w:style w:type="character" w:styleId="WW8Num22z0">
    <w:name w:val="WW8Num22z0"/>
    <w:qFormat/>
    <w:rPr/>
  </w:style>
  <w:style w:type="character" w:styleId="WW8Num22z4">
    <w:name w:val="WW8Num22z4"/>
    <w:qFormat/>
    <w:rPr>
      <w:rFonts w:ascii="Wingdings" w:hAnsi="Wingdings" w:cs="Wingdings"/>
    </w:rPr>
  </w:style>
  <w:style w:type="character" w:styleId="WW8Num23z0">
    <w:name w:val="WW8Num23z0"/>
    <w:qFormat/>
    <w:rPr>
      <w:rFonts w:ascii="Times New Roman" w:hAnsi="Times New Roman" w:cs="Times New Roman"/>
      <w:b/>
      <w:sz w:val="24"/>
      <w:szCs w:val="24"/>
    </w:rPr>
  </w:style>
  <w:style w:type="character" w:styleId="WW8Num24z0">
    <w:name w:val="WW8Num24z0"/>
    <w:qFormat/>
    <w:rPr/>
  </w:style>
  <w:style w:type="character" w:styleId="WW8Num24z2">
    <w:name w:val="WW8Num24z2"/>
    <w:qFormat/>
    <w:rPr>
      <w:rFonts w:ascii="Times New Roman" w:hAnsi="Times New Roman" w:eastAsia="Times New Roman" w:cs="Times New Roman"/>
      <w:b/>
      <w:i w:val="false"/>
      <w:strike w:val="false"/>
      <w:dstrike w:val="false"/>
      <w:color w:val="000000"/>
      <w:position w:val="0"/>
      <w:sz w:val="24"/>
      <w:szCs w:val="24"/>
      <w:vertAlign w:val="baseline"/>
    </w:rPr>
  </w:style>
  <w:style w:type="character" w:styleId="WW8Num25z0">
    <w:name w:val="WW8Num25z0"/>
    <w:qFormat/>
    <w:rPr>
      <w:rFonts w:ascii="Times New Roman" w:hAnsi="Times New Roman" w:cs="Times New Roman"/>
      <w:b/>
      <w:bCs/>
    </w:rPr>
  </w:style>
  <w:style w:type="character" w:styleId="WW8Num25z1">
    <w:name w:val="WW8Num25z1"/>
    <w:qFormat/>
    <w:rPr>
      <w:rFonts w:ascii="Courier New" w:hAnsi="Courier New" w:cs="Courier New"/>
    </w:rPr>
  </w:style>
  <w:style w:type="character" w:styleId="WW8Num25z2">
    <w:name w:val="WW8Num25z2"/>
    <w:qFormat/>
    <w:rPr>
      <w:rFonts w:ascii="Wingdings" w:hAnsi="Wingdings" w:cs="Wingdings"/>
    </w:rPr>
  </w:style>
  <w:style w:type="character" w:styleId="WW8Num25z3">
    <w:name w:val="WW8Num25z3"/>
    <w:qFormat/>
    <w:rPr>
      <w:rFonts w:ascii="Symbol" w:hAnsi="Symbol" w:cs="Symbol"/>
    </w:rPr>
  </w:style>
  <w:style w:type="character" w:styleId="WW8Num26z0">
    <w:name w:val="WW8Num26z0"/>
    <w:qFormat/>
    <w:rPr>
      <w:rFonts w:ascii="Symbol" w:hAnsi="Symbol" w:cs="Symbol"/>
    </w:rPr>
  </w:style>
  <w:style w:type="character" w:styleId="WW8Num26z1">
    <w:name w:val="WW8Num26z1"/>
    <w:qFormat/>
    <w:rPr>
      <w:rFonts w:ascii="Wingdings" w:hAnsi="Wingdings" w:cs="Wingdings"/>
    </w:rPr>
  </w:style>
  <w:style w:type="character" w:styleId="WW8Num26z4">
    <w:name w:val="WW8Num26z4"/>
    <w:qFormat/>
    <w:rPr>
      <w:rFonts w:ascii="Courier New" w:hAnsi="Courier New" w:cs="Courier New"/>
    </w:rPr>
  </w:style>
  <w:style w:type="character" w:styleId="WW8Num27z0">
    <w:name w:val="WW8Num27z0"/>
    <w:qFormat/>
    <w:rPr>
      <w:rFonts w:ascii="Symbol" w:hAnsi="Symbol" w:cs="Symbol"/>
      <w:b/>
      <w:i w:val="false"/>
    </w:rPr>
  </w:style>
  <w:style w:type="character" w:styleId="WW8Num28z0">
    <w:name w:val="WW8Num28z0"/>
    <w:qFormat/>
    <w:rPr>
      <w:b/>
    </w:rPr>
  </w:style>
  <w:style w:type="character" w:styleId="WW8Num28z3">
    <w:name w:val="WW8Num28z3"/>
    <w:qFormat/>
    <w:rPr>
      <w:rFonts w:ascii="Symbol" w:hAnsi="Symbol" w:cs="Symbol"/>
    </w:rPr>
  </w:style>
  <w:style w:type="character" w:styleId="WW8Num29z0">
    <w:name w:val="WW8Num29z0"/>
    <w:qFormat/>
    <w:rPr>
      <w:rFonts w:ascii="Times New Roman" w:hAnsi="Times New Roman" w:eastAsia="Times New Roman" w:cs="Times New Roman"/>
    </w:rPr>
  </w:style>
  <w:style w:type="character" w:styleId="WW8Num29z2">
    <w:name w:val="WW8Num29z2"/>
    <w:qFormat/>
    <w:rPr>
      <w:rFonts w:ascii=".VnTime;Courier New" w:hAnsi=".VnTime;Courier New" w:cs=".VnTime;Courier New"/>
    </w:rPr>
  </w:style>
  <w:style w:type="character" w:styleId="WW8Num29z3">
    <w:name w:val="WW8Num29z3"/>
    <w:qFormat/>
    <w:rPr>
      <w:rFonts w:ascii="Symbol" w:hAnsi="Symbol" w:cs="Symbol"/>
    </w:rPr>
  </w:style>
  <w:style w:type="character" w:styleId="WW8Num29z4">
    <w:name w:val="WW8Num29z4"/>
    <w:qFormat/>
    <w:rPr>
      <w:rFonts w:ascii=".VnCourier New" w:hAnsi=".VnCourier New" w:cs=".VnCourier New"/>
    </w:rPr>
  </w:style>
  <w:style w:type="character" w:styleId="WW8Num30z0">
    <w:name w:val="WW8Num30z0"/>
    <w:qFormat/>
    <w:rPr>
      <w:rFonts w:ascii="Symbol" w:hAnsi="Symbol" w:cs="Symbol"/>
      <w:b/>
      <w:color w:val="000000"/>
      <w:sz w:val="20"/>
    </w:rPr>
  </w:style>
  <w:style w:type="character" w:styleId="WW8Num30z1">
    <w:name w:val="WW8Num30z1"/>
    <w:qFormat/>
    <w:rPr>
      <w:rFonts w:ascii="Courier New" w:hAnsi="Courier New" w:cs="Courier New"/>
    </w:rPr>
  </w:style>
  <w:style w:type="character" w:styleId="WW8Num30z2">
    <w:name w:val="WW8Num30z2"/>
    <w:qFormat/>
    <w:rPr>
      <w:rFonts w:ascii="Wingdings" w:hAnsi="Wingdings" w:cs="Wingdings"/>
    </w:rPr>
  </w:style>
  <w:style w:type="character" w:styleId="WW8Num30z3">
    <w:name w:val="WW8Num30z3"/>
    <w:qFormat/>
    <w:rPr>
      <w:rFonts w:ascii="Symbol" w:hAnsi="Symbol" w:cs="Symbol"/>
    </w:rPr>
  </w:style>
  <w:style w:type="character" w:styleId="WW8Num31z0">
    <w:name w:val="WW8Num31z0"/>
    <w:qFormat/>
    <w:rPr/>
  </w:style>
  <w:style w:type="character" w:styleId="WW8Num32z0">
    <w:name w:val="WW8Num32z0"/>
    <w:qFormat/>
    <w:rPr>
      <w:rFonts w:ascii="Times New Roman" w:hAnsi="Times New Roman" w:eastAsia="Times New Roman" w:cs="Times New Roman"/>
      <w:b/>
      <w:i w:val="false"/>
      <w:strike w:val="false"/>
      <w:dstrike w:val="false"/>
      <w:color w:val="000000"/>
      <w:position w:val="0"/>
      <w:sz w:val="24"/>
      <w:szCs w:val="24"/>
      <w:vertAlign w:val="baseline"/>
    </w:rPr>
  </w:style>
  <w:style w:type="character" w:styleId="WW8Num32z1">
    <w:name w:val="WW8Num32z1"/>
    <w:qFormat/>
    <w:rPr>
      <w:rFonts w:ascii="Courier New" w:hAnsi="Courier New" w:cs="Courier New"/>
    </w:rPr>
  </w:style>
  <w:style w:type="character" w:styleId="WW8Num32z2">
    <w:name w:val="WW8Num32z2"/>
    <w:qFormat/>
    <w:rPr>
      <w:rFonts w:ascii="Wingdings" w:hAnsi="Wingdings" w:cs="Wingdings"/>
    </w:rPr>
  </w:style>
  <w:style w:type="character" w:styleId="WW8Num32z3">
    <w:name w:val="WW8Num32z3"/>
    <w:qFormat/>
    <w:rPr>
      <w:rFonts w:ascii="Symbol" w:hAnsi="Symbol" w:cs="Symbol"/>
    </w:rPr>
  </w:style>
  <w:style w:type="character" w:styleId="WW8Num33z0">
    <w:name w:val="WW8Num33z0"/>
    <w:qFormat/>
    <w:rPr>
      <w:b/>
    </w:rPr>
  </w:style>
  <w:style w:type="character" w:styleId="WW8Num34z0">
    <w:name w:val="WW8Num34z0"/>
    <w:qFormat/>
    <w:rPr>
      <w:rFonts w:ascii="Times New Roman" w:hAnsi="Times New Roman" w:cs="Times New Roman"/>
    </w:rPr>
  </w:style>
  <w:style w:type="character" w:styleId="WW8Num34z1">
    <w:name w:val="WW8Num34z1"/>
    <w:qFormat/>
    <w:rPr>
      <w:rFonts w:ascii="Times New Roman" w:hAnsi="Times New Roman" w:cs="Times New Roman"/>
      <w:b w:val="false"/>
      <w:i w:val="false"/>
      <w:strike w:val="false"/>
      <w:dstrike w:val="false"/>
      <w:color w:val="000000"/>
      <w:position w:val="0"/>
      <w:sz w:val="24"/>
      <w:u w:val="none"/>
      <w:vertAlign w:val="baseline"/>
    </w:rPr>
  </w:style>
  <w:style w:type="character" w:styleId="WW8Num34z2">
    <w:name w:val="WW8Num34z2"/>
    <w:qFormat/>
    <w:rPr>
      <w:rFonts w:ascii="Wingdings" w:hAnsi="Wingdings" w:cs="Wingdings"/>
    </w:rPr>
  </w:style>
  <w:style w:type="character" w:styleId="WW8Num34z3">
    <w:name w:val="WW8Num34z3"/>
    <w:qFormat/>
    <w:rPr>
      <w:rFonts w:ascii="Symbol" w:hAnsi="Symbol" w:cs="Symbol"/>
    </w:rPr>
  </w:style>
  <w:style w:type="character" w:styleId="WW8Num34z4">
    <w:name w:val="WW8Num34z4"/>
    <w:qFormat/>
    <w:rPr>
      <w:rFonts w:ascii="Courier New" w:hAnsi="Courier New" w:cs="Courier New"/>
    </w:rPr>
  </w:style>
  <w:style w:type="character" w:styleId="WW8Num35z0">
    <w:name w:val="WW8Num35z0"/>
    <w:qFormat/>
    <w:rPr>
      <w:rFonts w:ascii="Times New Roman" w:hAnsi="Times New Roman" w:cs="Times New Roman"/>
      <w:b/>
      <w:bCs/>
    </w:rPr>
  </w:style>
  <w:style w:type="character" w:styleId="WW8Num35z1">
    <w:name w:val="WW8Num35z1"/>
    <w:qFormat/>
    <w:rPr>
      <w:rFonts w:ascii="Courier New" w:hAnsi="Courier New" w:cs="Courier New"/>
    </w:rPr>
  </w:style>
  <w:style w:type="character" w:styleId="WW8Num35z2">
    <w:name w:val="WW8Num35z2"/>
    <w:qFormat/>
    <w:rPr>
      <w:rFonts w:ascii="Wingdings" w:hAnsi="Wingdings" w:cs="Wingdings"/>
    </w:rPr>
  </w:style>
  <w:style w:type="character" w:styleId="WW8Num35z3">
    <w:name w:val="WW8Num35z3"/>
    <w:qFormat/>
    <w:rPr>
      <w:rFonts w:ascii="Symbol" w:hAnsi="Symbol" w:cs="Symbol"/>
    </w:rPr>
  </w:style>
  <w:style w:type="character" w:styleId="WW8Num36z0">
    <w:name w:val="WW8Num36z0"/>
    <w:qFormat/>
    <w:rPr/>
  </w:style>
  <w:style w:type="character" w:styleId="WW8Num37z0">
    <w:name w:val="WW8Num37z0"/>
    <w:qFormat/>
    <w:rPr>
      <w:rFonts w:ascii="Times New Roman" w:hAnsi="Times New Roman" w:cs="Times New Roman"/>
      <w:b/>
      <w:bCs/>
    </w:rPr>
  </w:style>
  <w:style w:type="character" w:styleId="WW8Num38z0">
    <w:name w:val="WW8Num38z0"/>
    <w:qFormat/>
    <w:rPr>
      <w:rFonts w:ascii="Symbol" w:hAnsi="Symbol" w:cs="Symbol"/>
    </w:rPr>
  </w:style>
  <w:style w:type="character" w:styleId="WW8Num38z1">
    <w:name w:val="WW8Num38z1"/>
    <w:qFormat/>
    <w:rPr>
      <w:rFonts w:ascii="Courier New" w:hAnsi="Courier New" w:cs="Courier New"/>
    </w:rPr>
  </w:style>
  <w:style w:type="character" w:styleId="WW8Num38z2">
    <w:name w:val="WW8Num38z2"/>
    <w:qFormat/>
    <w:rPr>
      <w:rFonts w:ascii="Wingdings" w:hAnsi="Wingdings" w:cs="Wingdings"/>
    </w:rPr>
  </w:style>
  <w:style w:type="character" w:styleId="WW8Num39z0">
    <w:name w:val="WW8Num39z0"/>
    <w:qFormat/>
    <w:rPr>
      <w:rFonts w:ascii="Times New Roman" w:hAnsi="Times New Roman" w:cs="Times New Roman"/>
      <w:b/>
      <w:bCs/>
    </w:rPr>
  </w:style>
  <w:style w:type="character" w:styleId="WW8Num41z0">
    <w:name w:val="WW8Num41z0"/>
    <w:qFormat/>
    <w:rPr>
      <w:rFonts w:ascii="Times New Roman" w:hAnsi="Times New Roman" w:cs="Times New Roman"/>
      <w:b/>
      <w:sz w:val="24"/>
      <w:szCs w:val="24"/>
    </w:rPr>
  </w:style>
  <w:style w:type="character" w:styleId="WW8Num42z0">
    <w:name w:val="WW8Num42z0"/>
    <w:qFormat/>
    <w:rPr/>
  </w:style>
  <w:style w:type="character" w:styleId="WW8Num44z0">
    <w:name w:val="WW8Num44z0"/>
    <w:qFormat/>
    <w:rPr/>
  </w:style>
  <w:style w:type="character" w:styleId="WW8Num45z0">
    <w:name w:val="WW8Num45z0"/>
    <w:qFormat/>
    <w:rPr/>
  </w:style>
  <w:style w:type="character" w:styleId="WW8Num46z0">
    <w:name w:val="WW8Num46z0"/>
    <w:qFormat/>
    <w:rPr>
      <w:rFonts w:ascii="Times New Roman" w:hAnsi="Times New Roman" w:cs="Times New Roman"/>
      <w:b/>
      <w:bCs/>
    </w:rPr>
  </w:style>
  <w:style w:type="character" w:styleId="WW8Num46z1">
    <w:name w:val="WW8Num46z1"/>
    <w:qFormat/>
    <w:rPr>
      <w:rFonts w:ascii="Courier New" w:hAnsi="Courier New" w:cs="Courier New"/>
    </w:rPr>
  </w:style>
  <w:style w:type="character" w:styleId="WW8Num46z2">
    <w:name w:val="WW8Num46z2"/>
    <w:qFormat/>
    <w:rPr>
      <w:rFonts w:ascii="Wingdings" w:hAnsi="Wingdings" w:cs="Wingdings"/>
    </w:rPr>
  </w:style>
  <w:style w:type="character" w:styleId="WW8Num46z3">
    <w:name w:val="WW8Num46z3"/>
    <w:qFormat/>
    <w:rPr>
      <w:rFonts w:ascii="Symbol" w:hAnsi="Symbol" w:cs="Symbol"/>
    </w:rPr>
  </w:style>
  <w:style w:type="character" w:styleId="WW8Num47z0">
    <w:name w:val="WW8Num47z0"/>
    <w:qFormat/>
    <w:rPr>
      <w:rFonts w:ascii="Times New Roman" w:hAnsi="Times New Roman" w:eastAsia="Times New Roman" w:cs="Times New Roman"/>
      <w:b/>
    </w:rPr>
  </w:style>
  <w:style w:type="character" w:styleId="WW8Num47z1">
    <w:name w:val="WW8Num47z1"/>
    <w:qFormat/>
    <w:rPr>
      <w:rFonts w:ascii="Symbol" w:hAnsi="Symbol" w:cs="Symbol"/>
    </w:rPr>
  </w:style>
  <w:style w:type="character" w:styleId="WW8Num47z2">
    <w:name w:val="WW8Num47z2"/>
    <w:qFormat/>
    <w:rPr>
      <w:rFonts w:ascii="Wingdings" w:hAnsi="Wingdings" w:cs="Wingdings"/>
    </w:rPr>
  </w:style>
  <w:style w:type="character" w:styleId="WW8Num47z4">
    <w:name w:val="WW8Num47z4"/>
    <w:qFormat/>
    <w:rPr>
      <w:rFonts w:ascii="Courier New" w:hAnsi="Courier New" w:cs="Courier New"/>
    </w:rPr>
  </w:style>
  <w:style w:type="character" w:styleId="WW8Num48z0">
    <w:name w:val="WW8Num48z0"/>
    <w:qFormat/>
    <w:rPr>
      <w:rFonts w:ascii="Times New Roman" w:hAnsi="Times New Roman" w:cs="Times New Roman"/>
      <w:b/>
      <w:bCs/>
    </w:rPr>
  </w:style>
  <w:style w:type="character" w:styleId="WW8Num48z1">
    <w:name w:val="WW8Num48z1"/>
    <w:qFormat/>
    <w:rPr>
      <w:rFonts w:ascii="Courier New" w:hAnsi="Courier New" w:cs="Courier New"/>
    </w:rPr>
  </w:style>
  <w:style w:type="character" w:styleId="WW8Num48z2">
    <w:name w:val="WW8Num48z2"/>
    <w:qFormat/>
    <w:rPr>
      <w:rFonts w:ascii="Wingdings" w:hAnsi="Wingdings" w:cs="Wingdings"/>
    </w:rPr>
  </w:style>
  <w:style w:type="character" w:styleId="WW8Num48z3">
    <w:name w:val="WW8Num48z3"/>
    <w:qFormat/>
    <w:rPr>
      <w:rFonts w:ascii="Symbol" w:hAnsi="Symbol" w:cs="Symbol"/>
    </w:rPr>
  </w:style>
  <w:style w:type="character" w:styleId="WW8Num49z0">
    <w:name w:val="WW8Num49z0"/>
    <w:qFormat/>
    <w:rPr>
      <w:rFonts w:ascii="Arial" w:hAnsi="Arial" w:eastAsia="Batang;바탕" w:cs="Arial"/>
    </w:rPr>
  </w:style>
  <w:style w:type="character" w:styleId="WW8Num49z1">
    <w:name w:val="WW8Num49z1"/>
    <w:qFormat/>
    <w:rPr>
      <w:rFonts w:ascii="Courier New" w:hAnsi="Courier New" w:cs="Courier New"/>
    </w:rPr>
  </w:style>
  <w:style w:type="character" w:styleId="WW8Num49z2">
    <w:name w:val="WW8Num49z2"/>
    <w:qFormat/>
    <w:rPr>
      <w:rFonts w:ascii="Wingdings" w:hAnsi="Wingdings" w:cs="Wingdings"/>
    </w:rPr>
  </w:style>
  <w:style w:type="character" w:styleId="WW8Num49z3">
    <w:name w:val="WW8Num49z3"/>
    <w:qFormat/>
    <w:rPr>
      <w:rFonts w:ascii="Symbol" w:hAnsi="Symbol" w:cs="Symbol"/>
    </w:rPr>
  </w:style>
  <w:style w:type="character" w:styleId="WW8Num51z0">
    <w:name w:val="WW8Num51z0"/>
    <w:qFormat/>
    <w:rPr>
      <w:rFonts w:ascii="Calibri" w:hAnsi="Calibri" w:eastAsia="Calibri" w:cs="Calibri"/>
    </w:rPr>
  </w:style>
  <w:style w:type="character" w:styleId="WW8Num51z1">
    <w:name w:val="WW8Num51z1"/>
    <w:qFormat/>
    <w:rPr>
      <w:rFonts w:ascii="Courier New" w:hAnsi="Courier New" w:cs="Courier New"/>
    </w:rPr>
  </w:style>
  <w:style w:type="character" w:styleId="WW8Num51z2">
    <w:name w:val="WW8Num51z2"/>
    <w:qFormat/>
    <w:rPr>
      <w:rFonts w:ascii="Wingdings" w:hAnsi="Wingdings" w:cs="Wingdings"/>
    </w:rPr>
  </w:style>
  <w:style w:type="character" w:styleId="WW8Num51z3">
    <w:name w:val="WW8Num51z3"/>
    <w:qFormat/>
    <w:rPr>
      <w:rFonts w:ascii="Symbol" w:hAnsi="Symbol" w:cs="Symbol"/>
    </w:rPr>
  </w:style>
  <w:style w:type="character" w:styleId="WW8Num52z0">
    <w:name w:val="WW8Num52z0"/>
    <w:qFormat/>
    <w:rPr>
      <w:rFonts w:ascii="Times New Roman" w:hAnsi="Times New Roman" w:cs="Times New Roman"/>
      <w:b/>
      <w:bCs/>
    </w:rPr>
  </w:style>
  <w:style w:type="character" w:styleId="WW8Num53z0">
    <w:name w:val="WW8Num53z0"/>
    <w:qFormat/>
    <w:rPr/>
  </w:style>
  <w:style w:type="character" w:styleId="WW8Num54z0">
    <w:name w:val="WW8Num54z0"/>
    <w:qFormat/>
    <w:rPr>
      <w:rFonts w:ascii="Times New Roman" w:hAnsi="Times New Roman" w:cs="Times New Roman"/>
    </w:rPr>
  </w:style>
  <w:style w:type="character" w:styleId="WW8Num54z1">
    <w:name w:val="WW8Num54z1"/>
    <w:qFormat/>
    <w:rPr>
      <w:rFonts w:ascii="Times New Roman" w:hAnsi="Times New Roman" w:cs="Times New Roman"/>
      <w:b w:val="false"/>
      <w:i w:val="false"/>
      <w:strike w:val="false"/>
      <w:dstrike w:val="false"/>
      <w:color w:val="000000"/>
      <w:position w:val="0"/>
      <w:sz w:val="24"/>
      <w:u w:val="none"/>
      <w:vertAlign w:val="baseline"/>
    </w:rPr>
  </w:style>
  <w:style w:type="character" w:styleId="WW8Num54z2">
    <w:name w:val="WW8Num54z2"/>
    <w:qFormat/>
    <w:rPr>
      <w:rFonts w:ascii="Wingdings" w:hAnsi="Wingdings" w:cs="Wingdings"/>
    </w:rPr>
  </w:style>
  <w:style w:type="character" w:styleId="WW8Num54z3">
    <w:name w:val="WW8Num54z3"/>
    <w:qFormat/>
    <w:rPr>
      <w:rFonts w:ascii="Symbol" w:hAnsi="Symbol" w:cs="Symbol"/>
    </w:rPr>
  </w:style>
  <w:style w:type="character" w:styleId="WW8Num54z4">
    <w:name w:val="WW8Num54z4"/>
    <w:qFormat/>
    <w:rPr>
      <w:rFonts w:ascii="Courier New" w:hAnsi="Courier New" w:cs="Courier New"/>
    </w:rPr>
  </w:style>
  <w:style w:type="character" w:styleId="WW8Num55z0">
    <w:name w:val="WW8Num55z0"/>
    <w:qFormat/>
    <w:rPr>
      <w:rFonts w:ascii="Symbol" w:hAnsi="Symbol" w:cs="Symbol"/>
      <w:color w:val="000000"/>
      <w:sz w:val="20"/>
    </w:rPr>
  </w:style>
  <w:style w:type="character" w:styleId="WW8Num55z1">
    <w:name w:val="WW8Num55z1"/>
    <w:qFormat/>
    <w:rPr>
      <w:rFonts w:ascii="Courier New" w:hAnsi="Courier New" w:cs="Courier New"/>
    </w:rPr>
  </w:style>
  <w:style w:type="character" w:styleId="WW8Num55z2">
    <w:name w:val="WW8Num55z2"/>
    <w:qFormat/>
    <w:rPr>
      <w:rFonts w:ascii="Times New Roman" w:hAnsi="Times New Roman" w:cs="Times New Roman"/>
    </w:rPr>
  </w:style>
  <w:style w:type="character" w:styleId="WW8Num56z0">
    <w:name w:val="WW8Num56z0"/>
    <w:qFormat/>
    <w:rPr>
      <w:rFonts w:ascii="Symbol" w:hAnsi="Symbol" w:cs="Symbol"/>
    </w:rPr>
  </w:style>
  <w:style w:type="character" w:styleId="WW8Num56z1">
    <w:name w:val="WW8Num56z1"/>
    <w:qFormat/>
    <w:rPr>
      <w:rFonts w:ascii="Courier New" w:hAnsi="Courier New" w:cs="Courier New"/>
    </w:rPr>
  </w:style>
  <w:style w:type="character" w:styleId="WW8Num56z2">
    <w:name w:val="WW8Num56z2"/>
    <w:qFormat/>
    <w:rPr>
      <w:rFonts w:ascii="Wingdings" w:hAnsi="Wingdings" w:cs="Wingdings"/>
    </w:rPr>
  </w:style>
  <w:style w:type="character" w:styleId="WW8Num57z0">
    <w:name w:val="WW8Num57z0"/>
    <w:qFormat/>
    <w:rPr>
      <w:rFonts w:ascii="Cambria" w:hAnsi="Cambria" w:cs="Arial"/>
      <w:color w:val="000000"/>
    </w:rPr>
  </w:style>
  <w:style w:type="character" w:styleId="WW8Num58z0">
    <w:name w:val="WW8Num58z0"/>
    <w:qFormat/>
    <w:rPr>
      <w:rFonts w:ascii="Times New Roman" w:hAnsi="Times New Roman" w:cs="Times New Roman"/>
      <w:b/>
      <w:bCs/>
    </w:rPr>
  </w:style>
  <w:style w:type="character" w:styleId="WW8Num58z1">
    <w:name w:val="WW8Num58z1"/>
    <w:qFormat/>
    <w:rPr>
      <w:rFonts w:ascii="Courier New" w:hAnsi="Courier New" w:cs="Courier New"/>
    </w:rPr>
  </w:style>
  <w:style w:type="character" w:styleId="WW8Num58z2">
    <w:name w:val="WW8Num58z2"/>
    <w:qFormat/>
    <w:rPr>
      <w:rFonts w:ascii="Wingdings" w:hAnsi="Wingdings" w:cs="Wingdings"/>
    </w:rPr>
  </w:style>
  <w:style w:type="character" w:styleId="WW8Num58z3">
    <w:name w:val="WW8Num58z3"/>
    <w:qFormat/>
    <w:rPr>
      <w:rFonts w:ascii="Symbol" w:hAnsi="Symbol" w:cs="Symbol"/>
    </w:rPr>
  </w:style>
  <w:style w:type="character" w:styleId="WW8Num59z0">
    <w:name w:val="WW8Num59z0"/>
    <w:qFormat/>
    <w:rPr/>
  </w:style>
  <w:style w:type="character" w:styleId="WW8Num60z0">
    <w:name w:val="WW8Num60z0"/>
    <w:qFormat/>
    <w:rPr>
      <w:b/>
    </w:rPr>
  </w:style>
  <w:style w:type="character" w:styleId="WW8Num62z0">
    <w:name w:val="WW8Num62z0"/>
    <w:qFormat/>
    <w:rPr/>
  </w:style>
  <w:style w:type="character" w:styleId="WW8Num63z0">
    <w:name w:val="WW8Num63z0"/>
    <w:qFormat/>
    <w:rPr>
      <w:b/>
    </w:rPr>
  </w:style>
  <w:style w:type="character" w:styleId="WW8Num65z0">
    <w:name w:val="WW8Num65z0"/>
    <w:qFormat/>
    <w:rPr/>
  </w:style>
  <w:style w:type="character" w:styleId="WW8Num66z0">
    <w:name w:val="WW8Num66z0"/>
    <w:qFormat/>
    <w:rPr>
      <w:rFonts w:ascii="Times New Roman" w:hAnsi="Times New Roman" w:eastAsia="Times New Roman" w:cs="Times New Roman"/>
      <w:b/>
    </w:rPr>
  </w:style>
  <w:style w:type="character" w:styleId="WW8Num66z1">
    <w:name w:val="WW8Num66z1"/>
    <w:qFormat/>
    <w:rPr>
      <w:rFonts w:ascii="Courier New" w:hAnsi="Courier New" w:cs="Courier New"/>
    </w:rPr>
  </w:style>
  <w:style w:type="character" w:styleId="WW8Num66z2">
    <w:name w:val="WW8Num66z2"/>
    <w:qFormat/>
    <w:rPr>
      <w:rFonts w:ascii="Wingdings" w:hAnsi="Wingdings" w:cs="Wingdings"/>
    </w:rPr>
  </w:style>
  <w:style w:type="character" w:styleId="WW8Num66z3">
    <w:name w:val="WW8Num66z3"/>
    <w:qFormat/>
    <w:rPr>
      <w:rFonts w:ascii="Symbol" w:hAnsi="Symbol" w:cs="Symbol"/>
    </w:rPr>
  </w:style>
  <w:style w:type="character" w:styleId="WW8Num67z0">
    <w:name w:val="WW8Num67z0"/>
    <w:qFormat/>
    <w:rPr>
      <w:rFonts w:ascii="Times New Roman" w:hAnsi="Times New Roman" w:cs="Times New Roman"/>
      <w:b/>
    </w:rPr>
  </w:style>
  <w:style w:type="character" w:styleId="WW8Num67z1">
    <w:name w:val="WW8Num67z1"/>
    <w:qFormat/>
    <w:rPr>
      <w:rFonts w:ascii="Courier New" w:hAnsi="Courier New" w:cs="Courier New"/>
    </w:rPr>
  </w:style>
  <w:style w:type="character" w:styleId="WW8Num67z2">
    <w:name w:val="WW8Num67z2"/>
    <w:qFormat/>
    <w:rPr>
      <w:rFonts w:ascii="Wingdings" w:hAnsi="Wingdings" w:cs="Wingdings"/>
    </w:rPr>
  </w:style>
  <w:style w:type="character" w:styleId="WW8Num67z3">
    <w:name w:val="WW8Num67z3"/>
    <w:qFormat/>
    <w:rPr>
      <w:rFonts w:ascii="Symbol" w:hAnsi="Symbol" w:cs="Symbol"/>
    </w:rPr>
  </w:style>
  <w:style w:type="character" w:styleId="WW8Num68z0">
    <w:name w:val="WW8Num68z0"/>
    <w:qFormat/>
    <w:rPr>
      <w:b/>
      <w:i w:val="false"/>
    </w:rPr>
  </w:style>
  <w:style w:type="character" w:styleId="WW8Num69z0">
    <w:name w:val="WW8Num69z0"/>
    <w:qFormat/>
    <w:rPr/>
  </w:style>
  <w:style w:type="character" w:styleId="WW8Num70z0">
    <w:name w:val="WW8Num70z0"/>
    <w:qFormat/>
    <w:rPr>
      <w:rFonts w:ascii="VNI-Times" w:hAnsi="VNI-Times" w:eastAsia="Times New Roman" w:cs="Times New Roman"/>
    </w:rPr>
  </w:style>
  <w:style w:type="character" w:styleId="WW8Num71z0">
    <w:name w:val="WW8Num71z0"/>
    <w:qFormat/>
    <w:rPr>
      <w:rFonts w:ascii="Symbol" w:hAnsi="Symbol" w:cs="Symbol"/>
    </w:rPr>
  </w:style>
  <w:style w:type="character" w:styleId="WW8Num71z1">
    <w:name w:val="WW8Num71z1"/>
    <w:qFormat/>
    <w:rPr>
      <w:rFonts w:ascii="Courier New" w:hAnsi="Courier New" w:cs="Courier New"/>
    </w:rPr>
  </w:style>
  <w:style w:type="character" w:styleId="WW8Num71z2">
    <w:name w:val="WW8Num71z2"/>
    <w:qFormat/>
    <w:rPr>
      <w:rFonts w:ascii="Wingdings" w:hAnsi="Wingdings" w:cs="Wingdings"/>
    </w:rPr>
  </w:style>
  <w:style w:type="character" w:styleId="WW8Num72z0">
    <w:name w:val="WW8Num72z0"/>
    <w:qFormat/>
    <w:rPr/>
  </w:style>
  <w:style w:type="character" w:styleId="WW8Num73z0">
    <w:name w:val="WW8Num73z0"/>
    <w:qFormat/>
    <w:rPr>
      <w:rFonts w:ascii="Times New Roman" w:hAnsi="Times New Roman" w:eastAsia="Times New Roman" w:cs="Times New Roman"/>
      <w:b/>
      <w:i w:val="false"/>
      <w:strike w:val="false"/>
      <w:dstrike w:val="false"/>
      <w:color w:val="000000"/>
      <w:position w:val="0"/>
      <w:sz w:val="24"/>
      <w:szCs w:val="24"/>
      <w:vertAlign w:val="baseline"/>
    </w:rPr>
  </w:style>
  <w:style w:type="character" w:styleId="WW8Num73z1">
    <w:name w:val="WW8Num73z1"/>
    <w:qFormat/>
    <w:rPr>
      <w:rFonts w:ascii="Courier New" w:hAnsi="Courier New" w:cs="Courier New"/>
    </w:rPr>
  </w:style>
  <w:style w:type="character" w:styleId="WW8Num73z2">
    <w:name w:val="WW8Num73z2"/>
    <w:qFormat/>
    <w:rPr>
      <w:rFonts w:ascii="Wingdings" w:hAnsi="Wingdings" w:cs="Wingdings"/>
    </w:rPr>
  </w:style>
  <w:style w:type="character" w:styleId="WW8Num73z3">
    <w:name w:val="WW8Num73z3"/>
    <w:qFormat/>
    <w:rPr>
      <w:rFonts w:ascii="Symbol" w:hAnsi="Symbol" w:cs="Symbol"/>
    </w:rPr>
  </w:style>
  <w:style w:type="character" w:styleId="WW8Num74z0">
    <w:name w:val="WW8Num74z0"/>
    <w:qFormat/>
    <w:rPr/>
  </w:style>
  <w:style w:type="character" w:styleId="WW8Num75z0">
    <w:name w:val="WW8Num75z0"/>
    <w:qFormat/>
    <w:rPr>
      <w:rFonts w:ascii="Times New Roman" w:hAnsi="Times New Roman" w:cs="Times New Roman"/>
      <w:b/>
      <w:bCs/>
    </w:rPr>
  </w:style>
  <w:style w:type="character" w:styleId="WW8Num75z1">
    <w:name w:val="WW8Num75z1"/>
    <w:qFormat/>
    <w:rPr>
      <w:rFonts w:ascii="Courier New" w:hAnsi="Courier New" w:cs="Courier New"/>
    </w:rPr>
  </w:style>
  <w:style w:type="character" w:styleId="WW8Num75z2">
    <w:name w:val="WW8Num75z2"/>
    <w:qFormat/>
    <w:rPr>
      <w:rFonts w:ascii="Wingdings" w:hAnsi="Wingdings" w:cs="Wingdings"/>
    </w:rPr>
  </w:style>
  <w:style w:type="character" w:styleId="WW8Num75z3">
    <w:name w:val="WW8Num75z3"/>
    <w:qFormat/>
    <w:rPr>
      <w:rFonts w:ascii="Symbol" w:hAnsi="Symbol" w:cs="Symbol"/>
    </w:rPr>
  </w:style>
  <w:style w:type="character" w:styleId="WW8Num76z0">
    <w:name w:val="WW8Num76z0"/>
    <w:qFormat/>
    <w:rPr>
      <w:rFonts w:ascii="Courier New" w:hAnsi="Courier New" w:cs="Courier New"/>
    </w:rPr>
  </w:style>
  <w:style w:type="character" w:styleId="WW8Num76z2">
    <w:name w:val="WW8Num76z2"/>
    <w:qFormat/>
    <w:rPr>
      <w:rFonts w:ascii="Wingdings" w:hAnsi="Wingdings" w:cs="Wingdings"/>
    </w:rPr>
  </w:style>
  <w:style w:type="character" w:styleId="WW8Num76z3">
    <w:name w:val="WW8Num76z3"/>
    <w:qFormat/>
    <w:rPr>
      <w:rFonts w:ascii="Symbol" w:hAnsi="Symbol" w:cs="Symbol"/>
    </w:rPr>
  </w:style>
  <w:style w:type="character" w:styleId="WW8Num77z0">
    <w:name w:val="WW8Num77z0"/>
    <w:qFormat/>
    <w:rPr>
      <w:rFonts w:ascii="Calibri" w:hAnsi="Calibri" w:eastAsia="Calibri" w:cs="Calibri"/>
    </w:rPr>
  </w:style>
  <w:style w:type="character" w:styleId="WW8Num77z1">
    <w:name w:val="WW8Num77z1"/>
    <w:qFormat/>
    <w:rPr>
      <w:rFonts w:ascii="Courier New" w:hAnsi="Courier New" w:cs="Courier New"/>
    </w:rPr>
  </w:style>
  <w:style w:type="character" w:styleId="WW8Num77z2">
    <w:name w:val="WW8Num77z2"/>
    <w:qFormat/>
    <w:rPr>
      <w:rFonts w:ascii="Wingdings" w:hAnsi="Wingdings" w:cs="Wingdings"/>
    </w:rPr>
  </w:style>
  <w:style w:type="character" w:styleId="WW8Num77z3">
    <w:name w:val="WW8Num77z3"/>
    <w:qFormat/>
    <w:rPr>
      <w:rFonts w:ascii="Symbol" w:hAnsi="Symbol" w:cs="Symbol"/>
    </w:rPr>
  </w:style>
  <w:style w:type="character" w:styleId="WW8Num78z0">
    <w:name w:val="WW8Num78z0"/>
    <w:qFormat/>
    <w:rPr>
      <w:rFonts w:ascii="Times New Roman" w:hAnsi="Times New Roman" w:cs="Times New Roman"/>
      <w:b/>
    </w:rPr>
  </w:style>
  <w:style w:type="character" w:styleId="WW8Num78z1">
    <w:name w:val="WW8Num78z1"/>
    <w:qFormat/>
    <w:rPr>
      <w:rFonts w:ascii="Courier New" w:hAnsi="Courier New" w:cs="Courier New"/>
    </w:rPr>
  </w:style>
  <w:style w:type="character" w:styleId="WW8Num78z2">
    <w:name w:val="WW8Num78z2"/>
    <w:qFormat/>
    <w:rPr>
      <w:rFonts w:ascii="Wingdings" w:hAnsi="Wingdings" w:cs="Wingdings"/>
    </w:rPr>
  </w:style>
  <w:style w:type="character" w:styleId="WW8Num78z3">
    <w:name w:val="WW8Num78z3"/>
    <w:qFormat/>
    <w:rPr>
      <w:rFonts w:ascii="Symbol" w:hAnsi="Symbol" w:cs="Symbol"/>
    </w:rPr>
  </w:style>
  <w:style w:type="character" w:styleId="WW8Num79z0">
    <w:name w:val="WW8Num79z0"/>
    <w:qFormat/>
    <w:rPr>
      <w:rFonts w:ascii="Wingdings" w:hAnsi="Wingdings" w:cs="Wingdings"/>
    </w:rPr>
  </w:style>
  <w:style w:type="character" w:styleId="WW8Num79z1">
    <w:name w:val="WW8Num79z1"/>
    <w:qFormat/>
    <w:rPr>
      <w:rFonts w:ascii="Courier New" w:hAnsi="Courier New" w:cs="Courier New"/>
    </w:rPr>
  </w:style>
  <w:style w:type="character" w:styleId="WW8Num79z3">
    <w:name w:val="WW8Num79z3"/>
    <w:qFormat/>
    <w:rPr>
      <w:rFonts w:ascii="Symbol" w:hAnsi="Symbol" w:cs="Symbol"/>
    </w:rPr>
  </w:style>
  <w:style w:type="character" w:styleId="WW8Num81z0">
    <w:name w:val="WW8Num81z0"/>
    <w:qFormat/>
    <w:rPr>
      <w:rFonts w:ascii="Times New Roman" w:hAnsi="Times New Roman" w:cs="Times New Roman"/>
      <w:b/>
      <w:bCs/>
    </w:rPr>
  </w:style>
  <w:style w:type="character" w:styleId="WW8Num81z1">
    <w:name w:val="WW8Num81z1"/>
    <w:qFormat/>
    <w:rPr>
      <w:rFonts w:ascii="Courier New" w:hAnsi="Courier New" w:cs="Courier New"/>
    </w:rPr>
  </w:style>
  <w:style w:type="character" w:styleId="WW8Num81z2">
    <w:name w:val="WW8Num81z2"/>
    <w:qFormat/>
    <w:rPr>
      <w:rFonts w:ascii="Wingdings" w:hAnsi="Wingdings" w:cs="Wingdings"/>
    </w:rPr>
  </w:style>
  <w:style w:type="character" w:styleId="WW8Num81z3">
    <w:name w:val="WW8Num81z3"/>
    <w:qFormat/>
    <w:rPr>
      <w:rFonts w:ascii="Symbol" w:hAnsi="Symbol" w:cs="Symbol"/>
    </w:rPr>
  </w:style>
  <w:style w:type="character" w:styleId="WW8Num82z0">
    <w:name w:val="WW8Num82z0"/>
    <w:qFormat/>
    <w:rPr>
      <w:rFonts w:ascii="Times New Roman" w:hAnsi="Times New Roman" w:cs="Times New Roman"/>
      <w:b/>
      <w:bCs/>
    </w:rPr>
  </w:style>
  <w:style w:type="character" w:styleId="WW8Num82z1">
    <w:name w:val="WW8Num82z1"/>
    <w:qFormat/>
    <w:rPr>
      <w:rFonts w:ascii="Courier New" w:hAnsi="Courier New" w:cs="Courier New"/>
    </w:rPr>
  </w:style>
  <w:style w:type="character" w:styleId="WW8Num82z2">
    <w:name w:val="WW8Num82z2"/>
    <w:qFormat/>
    <w:rPr>
      <w:rFonts w:ascii="Wingdings" w:hAnsi="Wingdings" w:cs="Wingdings"/>
    </w:rPr>
  </w:style>
  <w:style w:type="character" w:styleId="WW8Num82z3">
    <w:name w:val="WW8Num82z3"/>
    <w:qFormat/>
    <w:rPr>
      <w:rFonts w:ascii="Symbol" w:hAnsi="Symbol" w:cs="Symbol"/>
    </w:rPr>
  </w:style>
  <w:style w:type="character" w:styleId="WW8Num83z0">
    <w:name w:val="WW8Num83z0"/>
    <w:qFormat/>
    <w:rPr>
      <w:rFonts w:ascii="Times New Roman" w:hAnsi="Times New Roman" w:eastAsia="Times New Roman" w:cs="Times New Roman"/>
      <w:b/>
    </w:rPr>
  </w:style>
  <w:style w:type="character" w:styleId="WW8Num83z1">
    <w:name w:val="WW8Num83z1"/>
    <w:qFormat/>
    <w:rPr>
      <w:rFonts w:ascii="Courier New" w:hAnsi="Courier New" w:cs="Courier New"/>
    </w:rPr>
  </w:style>
  <w:style w:type="character" w:styleId="WW8Num83z2">
    <w:name w:val="WW8Num83z2"/>
    <w:qFormat/>
    <w:rPr>
      <w:rFonts w:ascii="Wingdings" w:hAnsi="Wingdings" w:cs="Wingdings"/>
    </w:rPr>
  </w:style>
  <w:style w:type="character" w:styleId="WW8Num83z3">
    <w:name w:val="WW8Num83z3"/>
    <w:qFormat/>
    <w:rPr>
      <w:rFonts w:ascii="Symbol" w:hAnsi="Symbol" w:cs="Symbol"/>
    </w:rPr>
  </w:style>
  <w:style w:type="character" w:styleId="WW8Num85z0">
    <w:name w:val="WW8Num85z0"/>
    <w:qFormat/>
    <w:rPr>
      <w:b/>
    </w:rPr>
  </w:style>
  <w:style w:type="character" w:styleId="WW8Num86z0">
    <w:name w:val="WW8Num86z0"/>
    <w:qFormat/>
    <w:rPr>
      <w:rFonts w:ascii="Times New Roman" w:hAnsi="Times New Roman" w:cs="Times New Roman"/>
      <w:b/>
      <w:bCs/>
    </w:rPr>
  </w:style>
  <w:style w:type="character" w:styleId="WW8Num86z1">
    <w:name w:val="WW8Num86z1"/>
    <w:qFormat/>
    <w:rPr>
      <w:rFonts w:ascii="Courier New" w:hAnsi="Courier New" w:cs="Courier New"/>
    </w:rPr>
  </w:style>
  <w:style w:type="character" w:styleId="WW8Num86z2">
    <w:name w:val="WW8Num86z2"/>
    <w:qFormat/>
    <w:rPr>
      <w:rFonts w:ascii="Wingdings" w:hAnsi="Wingdings" w:cs="Wingdings"/>
    </w:rPr>
  </w:style>
  <w:style w:type="character" w:styleId="WW8Num86z3">
    <w:name w:val="WW8Num86z3"/>
    <w:qFormat/>
    <w:rPr>
      <w:rFonts w:ascii="Symbol" w:hAnsi="Symbol" w:cs="Symbol"/>
    </w:rPr>
  </w:style>
  <w:style w:type="character" w:styleId="WW8Num88z0">
    <w:name w:val="WW8Num88z0"/>
    <w:qFormat/>
    <w:rPr>
      <w:rFonts w:ascii="Times New Roman" w:hAnsi="Times New Roman" w:eastAsia="Times New Roman" w:cs="Times New Roman"/>
      <w:b/>
    </w:rPr>
  </w:style>
  <w:style w:type="character" w:styleId="WW8Num88z1">
    <w:name w:val="WW8Num88z1"/>
    <w:qFormat/>
    <w:rPr>
      <w:rFonts w:ascii="Courier New" w:hAnsi="Courier New" w:cs="Courier New"/>
    </w:rPr>
  </w:style>
  <w:style w:type="character" w:styleId="WW8Num88z2">
    <w:name w:val="WW8Num88z2"/>
    <w:qFormat/>
    <w:rPr>
      <w:rFonts w:ascii="Wingdings" w:hAnsi="Wingdings" w:cs="Wingdings"/>
    </w:rPr>
  </w:style>
  <w:style w:type="character" w:styleId="WW8Num88z3">
    <w:name w:val="WW8Num88z3"/>
    <w:qFormat/>
    <w:rPr>
      <w:rFonts w:ascii="Symbol" w:hAnsi="Symbol" w:cs="Symbol"/>
    </w:rPr>
  </w:style>
  <w:style w:type="character" w:styleId="WW8Num90z0">
    <w:name w:val="WW8Num90z0"/>
    <w:qFormat/>
    <w:rPr/>
  </w:style>
  <w:style w:type="character" w:styleId="WW8Num91z0">
    <w:name w:val="WW8Num91z0"/>
    <w:qFormat/>
    <w:rPr>
      <w:rFonts w:ascii="Times New Roman" w:hAnsi="Times New Roman" w:cs="Times New Roman"/>
      <w:b/>
      <w:bCs/>
    </w:rPr>
  </w:style>
  <w:style w:type="character" w:styleId="WW8Num91z1">
    <w:name w:val="WW8Num91z1"/>
    <w:qFormat/>
    <w:rPr>
      <w:rFonts w:ascii="Courier New" w:hAnsi="Courier New" w:cs="Courier New"/>
    </w:rPr>
  </w:style>
  <w:style w:type="character" w:styleId="WW8Num91z2">
    <w:name w:val="WW8Num91z2"/>
    <w:qFormat/>
    <w:rPr>
      <w:rFonts w:ascii="Wingdings" w:hAnsi="Wingdings" w:cs="Wingdings"/>
    </w:rPr>
  </w:style>
  <w:style w:type="character" w:styleId="WW8Num91z3">
    <w:name w:val="WW8Num91z3"/>
    <w:qFormat/>
    <w:rPr>
      <w:rFonts w:ascii="Symbol" w:hAnsi="Symbol" w:cs="Symbol"/>
    </w:rPr>
  </w:style>
  <w:style w:type="character" w:styleId="WW8Num92z0">
    <w:name w:val="WW8Num92z0"/>
    <w:qFormat/>
    <w:rPr>
      <w:rFonts w:ascii="Times New Roman" w:hAnsi="Times New Roman" w:cs="Times New Roman"/>
      <w:b/>
      <w:bCs/>
    </w:rPr>
  </w:style>
  <w:style w:type="character" w:styleId="WW8Num92z2">
    <w:name w:val="WW8Num92z2"/>
    <w:qFormat/>
    <w:rPr>
      <w:rFonts w:ascii="Wingdings" w:hAnsi="Wingdings" w:cs="Wingdings"/>
    </w:rPr>
  </w:style>
  <w:style w:type="character" w:styleId="WW8Num92z3">
    <w:name w:val="WW8Num92z3"/>
    <w:qFormat/>
    <w:rPr>
      <w:rFonts w:ascii="Symbol" w:hAnsi="Symbol" w:cs="Symbol"/>
    </w:rPr>
  </w:style>
  <w:style w:type="character" w:styleId="WW8Num92z4">
    <w:name w:val="WW8Num92z4"/>
    <w:qFormat/>
    <w:rPr>
      <w:rFonts w:ascii="Courier New" w:hAnsi="Courier New" w:cs="Courier New"/>
    </w:rPr>
  </w:style>
  <w:style w:type="character" w:styleId="WW8Num94z0">
    <w:name w:val="WW8Num94z0"/>
    <w:qFormat/>
    <w:rPr>
      <w:rFonts w:ascii="Times New Roman" w:hAnsi="Times New Roman" w:cs="Times New Roman"/>
      <w:b/>
      <w:bCs/>
    </w:rPr>
  </w:style>
  <w:style w:type="character" w:styleId="WW8Num94z1">
    <w:name w:val="WW8Num94z1"/>
    <w:qFormat/>
    <w:rPr>
      <w:rFonts w:ascii="Courier New" w:hAnsi="Courier New" w:cs="Courier New"/>
    </w:rPr>
  </w:style>
  <w:style w:type="character" w:styleId="WW8Num94z2">
    <w:name w:val="WW8Num94z2"/>
    <w:qFormat/>
    <w:rPr>
      <w:rFonts w:ascii="Wingdings" w:hAnsi="Wingdings" w:cs="Wingdings"/>
    </w:rPr>
  </w:style>
  <w:style w:type="character" w:styleId="WW8Num94z3">
    <w:name w:val="WW8Num94z3"/>
    <w:qFormat/>
    <w:rPr>
      <w:rFonts w:ascii="Symbol" w:hAnsi="Symbol" w:cs="Symbol"/>
    </w:rPr>
  </w:style>
  <w:style w:type="character" w:styleId="WW8Num95z0">
    <w:name w:val="WW8Num95z0"/>
    <w:qFormat/>
    <w:rPr/>
  </w:style>
  <w:style w:type="character" w:styleId="WW8Num96z0">
    <w:name w:val="WW8Num96z0"/>
    <w:qFormat/>
    <w:rPr>
      <w:rFonts w:ascii="Times New Roman" w:hAnsi="Times New Roman" w:eastAsia="Calibri" w:cs="Times New Roman"/>
    </w:rPr>
  </w:style>
  <w:style w:type="character" w:styleId="WW8Num96z1">
    <w:name w:val="WW8Num96z1"/>
    <w:qFormat/>
    <w:rPr>
      <w:rFonts w:ascii="Courier New" w:hAnsi="Courier New" w:cs="Courier New"/>
    </w:rPr>
  </w:style>
  <w:style w:type="character" w:styleId="WW8Num96z2">
    <w:name w:val="WW8Num96z2"/>
    <w:qFormat/>
    <w:rPr>
      <w:rFonts w:ascii="Wingdings" w:hAnsi="Wingdings" w:cs="Wingdings"/>
    </w:rPr>
  </w:style>
  <w:style w:type="character" w:styleId="WW8Num96z3">
    <w:name w:val="WW8Num96z3"/>
    <w:qFormat/>
    <w:rPr>
      <w:rFonts w:ascii="Symbol" w:hAnsi="Symbol" w:cs="Symbol"/>
    </w:rPr>
  </w:style>
  <w:style w:type="character" w:styleId="DefaultParagraphFont">
    <w:name w:val="Default Paragraph Font"/>
    <w:qFormat/>
    <w:rPr/>
  </w:style>
  <w:style w:type="character" w:styleId="HeaderChar">
    <w:name w:val="Header Char"/>
    <w:qFormat/>
    <w:rPr>
      <w:rFonts w:ascii=".VnTime;Courier New" w:hAnsi=".VnTime;Courier New" w:cs=".VnTime;Courier New"/>
      <w:sz w:val="26"/>
      <w:lang w:val="en-US"/>
    </w:rPr>
  </w:style>
  <w:style w:type="character" w:styleId="FooterChar">
    <w:name w:val="Footer Char"/>
    <w:qFormat/>
    <w:rPr>
      <w:rFonts w:ascii=".VnTime;Courier New" w:hAnsi=".VnTime;Courier New" w:cs=".VnTime;Courier New"/>
      <w:sz w:val="26"/>
      <w:lang w:val="en-US"/>
    </w:rPr>
  </w:style>
  <w:style w:type="character" w:styleId="CommentReference">
    <w:name w:val="Comment Reference"/>
    <w:qFormat/>
    <w:rPr>
      <w:sz w:val="16"/>
      <w:szCs w:val="16"/>
    </w:rPr>
  </w:style>
  <w:style w:type="character" w:styleId="CommentTextChar">
    <w:name w:val="Comment Text Char"/>
    <w:basedOn w:val="DefaultParagraphFont"/>
    <w:qFormat/>
    <w:rPr/>
  </w:style>
  <w:style w:type="character" w:styleId="CommentSubjectChar">
    <w:name w:val="Comment Subject Char"/>
    <w:qFormat/>
    <w:rPr>
      <w:b/>
      <w:bCs/>
    </w:rPr>
  </w:style>
  <w:style w:type="character" w:styleId="BalloonTextChar">
    <w:name w:val="Balloon Text Char"/>
    <w:qFormat/>
    <w:rPr>
      <w:rFonts w:ascii="Segoe UI" w:hAnsi="Segoe UI" w:cs="Segoe UI"/>
      <w:sz w:val="18"/>
      <w:szCs w:val="18"/>
    </w:rPr>
  </w:style>
  <w:style w:type="character" w:styleId="Heading4Char">
    <w:name w:val="Heading 4 Char"/>
    <w:qFormat/>
    <w:rPr>
      <w:rFonts w:ascii="Calibri" w:hAnsi="Calibri" w:eastAsia="Times New Roman" w:cs="Times New Roman"/>
      <w:b/>
      <w:bCs/>
      <w:sz w:val="28"/>
      <w:szCs w:val="28"/>
    </w:rPr>
  </w:style>
  <w:style w:type="character" w:styleId="Heading5Char">
    <w:name w:val="Heading 5 Char"/>
    <w:qFormat/>
    <w:rPr>
      <w:rFonts w:ascii="Calibri" w:hAnsi="Calibri" w:eastAsia="Times New Roman" w:cs="Times New Roman"/>
      <w:b/>
      <w:bCs/>
      <w:i/>
      <w:iCs/>
      <w:sz w:val="26"/>
      <w:szCs w:val="26"/>
    </w:rPr>
  </w:style>
  <w:style w:type="character" w:styleId="BodyText2Char">
    <w:name w:val="Body Text 2 Char"/>
    <w:qFormat/>
    <w:rPr>
      <w:sz w:val="26"/>
    </w:rPr>
  </w:style>
  <w:style w:type="character" w:styleId="Heading6Char">
    <w:name w:val="Heading 6 Char"/>
    <w:qFormat/>
    <w:rPr>
      <w:rFonts w:ascii=".VnTime;Courier New" w:hAnsi=".VnTime;Courier New" w:cs=".VnTime;Courier New"/>
      <w:b/>
      <w:iCs/>
      <w:sz w:val="28"/>
    </w:rPr>
  </w:style>
  <w:style w:type="character" w:styleId="Heading7Char">
    <w:name w:val="Heading 7 Char"/>
    <w:qFormat/>
    <w:rPr>
      <w:rFonts w:ascii=".VnTime;Courier New" w:hAnsi=".VnTime;Courier New" w:cs=".VnTime;Courier New"/>
      <w:b/>
      <w:i/>
      <w:sz w:val="28"/>
    </w:rPr>
  </w:style>
  <w:style w:type="character" w:styleId="Heading8Char">
    <w:name w:val="Heading 8 Char"/>
    <w:qFormat/>
    <w:rPr>
      <w:rFonts w:ascii=".VnTime;Courier New" w:hAnsi=".VnTime;Courier New" w:cs=".VnTime;Courier New"/>
      <w:b/>
      <w:i/>
      <w:sz w:val="28"/>
    </w:rPr>
  </w:style>
  <w:style w:type="character" w:styleId="Heading9Char">
    <w:name w:val="Heading 9 Char"/>
    <w:qFormat/>
    <w:rPr>
      <w:rFonts w:ascii=".VnTime;Courier New" w:hAnsi=".VnTime;Courier New" w:cs=".VnTime;Courier New"/>
      <w:b/>
      <w:sz w:val="28"/>
    </w:rPr>
  </w:style>
  <w:style w:type="character" w:styleId="PageNumber">
    <w:name w:val="page number"/>
    <w:rPr/>
  </w:style>
  <w:style w:type="character" w:styleId="BodyTextIndentChar">
    <w:name w:val="Body Text Indent Char"/>
    <w:qFormat/>
    <w:rPr>
      <w:rFonts w:ascii=".VnTime;Courier New" w:hAnsi=".VnTime;Courier New" w:cs=".VnTime;Courier New"/>
      <w:sz w:val="28"/>
    </w:rPr>
  </w:style>
  <w:style w:type="character" w:styleId="BodyTextIndent3Char">
    <w:name w:val="Body Text Indent 3 Char"/>
    <w:qFormat/>
    <w:rPr>
      <w:rFonts w:ascii=".VnTime;Courier New" w:hAnsi=".VnTime;Courier New" w:cs=".VnTime;Courier New"/>
      <w:color w:val="000000"/>
      <w:sz w:val="28"/>
    </w:rPr>
  </w:style>
  <w:style w:type="character" w:styleId="LineNumber">
    <w:name w:val="line number"/>
    <w:rPr/>
  </w:style>
  <w:style w:type="character" w:styleId="BodyText3Char">
    <w:name w:val="Body Text 3 Char"/>
    <w:qFormat/>
    <w:rPr>
      <w:rFonts w:ascii=".VnTime;Courier New" w:hAnsi=".VnTime;Courier New" w:cs=".VnTime;Courier New"/>
      <w:sz w:val="24"/>
      <w:szCs w:val="24"/>
    </w:rPr>
  </w:style>
  <w:style w:type="character" w:styleId="FootnoteTextChar">
    <w:name w:val="Footnote Text Char"/>
    <w:qFormat/>
    <w:rPr>
      <w:rFonts w:ascii=".VnTime;Courier New" w:hAnsi=".VnTime;Courier New" w:cs=".VnTime;Courier New"/>
      <w:sz w:val="24"/>
    </w:rPr>
  </w:style>
  <w:style w:type="character" w:styleId="TitleChar">
    <w:name w:val="Title Char"/>
    <w:qFormat/>
    <w:rPr>
      <w:rFonts w:ascii=".VnTimeH;Courier New" w:hAnsi=".VnTimeH;Courier New" w:cs=".VnTimeH;Courier New"/>
      <w:b/>
      <w:sz w:val="28"/>
    </w:rPr>
  </w:style>
  <w:style w:type="character" w:styleId="SubtitleChar">
    <w:name w:val="Subtitle Char"/>
    <w:qFormat/>
    <w:rPr>
      <w:rFonts w:ascii=".VnTime;Courier New" w:hAnsi=".VnTime;Courier New" w:cs=".VnTime;Courier New"/>
      <w:b/>
      <w:sz w:val="28"/>
    </w:rPr>
  </w:style>
  <w:style w:type="character" w:styleId="Heading2Char">
    <w:name w:val="Heading 2 Char"/>
    <w:qFormat/>
    <w:rPr>
      <w:b/>
      <w:i/>
      <w:sz w:val="28"/>
    </w:rPr>
  </w:style>
  <w:style w:type="character" w:styleId="Heading3Char">
    <w:name w:val="Heading 3 Char"/>
    <w:qFormat/>
    <w:rPr>
      <w:rFonts w:ascii="Arial" w:hAnsi="Arial" w:cs="Arial"/>
      <w:b/>
      <w:bCs/>
      <w:sz w:val="26"/>
      <w:szCs w:val="26"/>
    </w:rPr>
  </w:style>
  <w:style w:type="character" w:styleId="PlainTextChar">
    <w:name w:val="Plain Text Char"/>
    <w:qFormat/>
    <w:rPr>
      <w:rFonts w:ascii="Courier New" w:hAnsi="Courier New" w:cs="Courier New"/>
    </w:rPr>
  </w:style>
  <w:style w:type="character" w:styleId="FootnoteCharacters">
    <w:name w:val="Footnote Characters"/>
    <w:qFormat/>
    <w:rPr>
      <w:vertAlign w:val="superscript"/>
    </w:rPr>
  </w:style>
  <w:style w:type="character" w:styleId="Hyperlink">
    <w:name w:val="Hyperlink"/>
    <w:rPr>
      <w:color w:val="467886"/>
      <w:u w:val="single"/>
    </w:rPr>
  </w:style>
  <w:style w:type="character" w:styleId="UnresolvedMention">
    <w:name w:val="Unresolved Mention"/>
    <w:qFormat/>
    <w:rPr>
      <w:color w:val="605E5C"/>
      <w:shd w:fill="E1DFDD" w:val="clear"/>
    </w:rPr>
  </w:style>
  <w:style w:type="paragraph" w:styleId="Heading">
    <w:name w:val="Heading"/>
    <w:basedOn w:val="Normal"/>
    <w:next w:val="BodyText"/>
    <w:qFormat/>
    <w:pPr>
      <w:widowControl/>
      <w:jc w:val="center"/>
    </w:pPr>
    <w:rPr>
      <w:rFonts w:ascii=".VnTimeH;Courier New" w:hAnsi=".VnTimeH;Courier New" w:cs=".VnTimeH;Courier New"/>
      <w:b/>
      <w:sz w:val="28"/>
      <w:lang w:val="vi-VN"/>
    </w:rPr>
  </w:style>
  <w:style w:type="paragraph" w:styleId="BodyText">
    <w:name w:val="Body Text"/>
    <w:basedOn w:val="Normal"/>
    <w:pPr>
      <w:spacing w:before="0" w:after="120"/>
    </w:pPr>
    <w:rPr>
      <w:bCs/>
      <w:sz w:val="28"/>
      <w:szCs w:val="28"/>
    </w:rPr>
  </w:style>
  <w:style w:type="paragraph" w:styleId="List">
    <w:name w:val="List"/>
    <w:basedOn w:val="BodyText"/>
    <w:pPr/>
    <w:rPr>
      <w:rFonts w:cs="Arial Unicode MS"/>
    </w:rPr>
  </w:style>
  <w:style w:type="paragraph" w:styleId="Caption">
    <w:name w:val="caption"/>
    <w:basedOn w:val="Normal"/>
    <w:next w:val="Normal"/>
    <w:qFormat/>
    <w:pPr>
      <w:widowControl/>
      <w:spacing w:before="120" w:after="0"/>
    </w:pPr>
    <w:rPr>
      <w:rFonts w:ascii=".VnTime;Courier New" w:hAnsi=".VnTime;Courier New" w:cs=".VnTime;Courier New"/>
      <w:b/>
      <w:sz w:val="24"/>
      <w:szCs w:val="32"/>
      <w:u w:val="single"/>
    </w:rPr>
  </w:style>
  <w:style w:type="paragraph" w:styleId="Index">
    <w:name w:val="Index"/>
    <w:basedOn w:val="Normal"/>
    <w:qFormat/>
    <w:pPr>
      <w:suppressLineNumbers/>
    </w:pPr>
    <w:rPr>
      <w:rFonts w:cs="Arial Unicode MS"/>
    </w:rPr>
  </w:style>
  <w:style w:type="paragraph" w:styleId="CharCharChar">
    <w:name w:val=" Char Char Char"/>
    <w:basedOn w:val="Normal"/>
    <w:next w:val="Normal"/>
    <w:qFormat/>
    <w:pPr>
      <w:spacing w:lineRule="auto" w:line="312" w:before="120" w:after="120"/>
    </w:pPr>
    <w:rPr>
      <w:rFonts w:ascii="Times New Roman" w:hAnsi="Times New Roman" w:cs="Times New Roman"/>
      <w:sz w:val="28"/>
      <w:szCs w:val="28"/>
    </w:rPr>
  </w:style>
  <w:style w:type="paragraph" w:styleId="CharCharChar1">
    <w:name w:val="Char Char Char"/>
    <w:basedOn w:val="Normal"/>
    <w:next w:val="Normal"/>
    <w:qFormat/>
    <w:pPr>
      <w:spacing w:lineRule="auto" w:line="312" w:before="120" w:after="120"/>
    </w:pPr>
    <w:rPr>
      <w:rFonts w:ascii="Times New Roman" w:hAnsi="Times New Roman" w:cs="Times New Roman"/>
      <w:sz w:val="28"/>
      <w:szCs w:val="28"/>
    </w:rPr>
  </w:style>
  <w:style w:type="paragraph" w:styleId="BodyTextIndent2">
    <w:name w:val="Body Text Indent 2"/>
    <w:basedOn w:val="Normal"/>
    <w:qFormat/>
    <w:pPr>
      <w:spacing w:lineRule="auto" w:line="480" w:before="0" w:after="120"/>
      <w:ind w:hanging="0" w:start="283" w:end="0"/>
    </w:pPr>
    <w:rPr/>
  </w:style>
  <w:style w:type="paragraph" w:styleId="noidung">
    <w:name w:val="noidung"/>
    <w:basedOn w:val="Normal"/>
    <w:qFormat/>
    <w:pPr>
      <w:widowControl w:val="false"/>
      <w:jc w:val="both"/>
    </w:pPr>
    <w:rPr/>
  </w:style>
  <w:style w:type="paragraph" w:styleId="HeaderandFooter">
    <w:name w:val="Header and Footer"/>
    <w:basedOn w:val="Normal"/>
    <w:qFormat/>
    <w:pPr>
      <w:suppressLineNumbers/>
      <w:tabs>
        <w:tab w:val="clear" w:pos="720"/>
        <w:tab w:val="center" w:pos="4819" w:leader="none"/>
        <w:tab w:val="right" w:pos="9638" w:leader="none"/>
      </w:tabs>
    </w:pPr>
    <w:rPr/>
  </w:style>
  <w:style w:type="paragraph" w:styleId="Header">
    <w:name w:val="header"/>
    <w:basedOn w:val="Normal"/>
    <w:pPr>
      <w:tabs>
        <w:tab w:val="clear" w:pos="720"/>
        <w:tab w:val="center" w:pos="4513" w:leader="none"/>
        <w:tab w:val="right" w:pos="9026" w:leader="none"/>
      </w:tabs>
    </w:pPr>
    <w:rPr>
      <w:rFonts w:ascii=".VnTime;Courier New" w:hAnsi=".VnTime;Courier New" w:cs=".VnTime;Courier New"/>
    </w:rPr>
  </w:style>
  <w:style w:type="paragraph" w:styleId="Footer">
    <w:name w:val="footer"/>
    <w:basedOn w:val="Normal"/>
    <w:pPr>
      <w:tabs>
        <w:tab w:val="clear" w:pos="720"/>
        <w:tab w:val="center" w:pos="4513" w:leader="none"/>
        <w:tab w:val="right" w:pos="9026" w:leader="none"/>
      </w:tabs>
    </w:pPr>
    <w:rPr>
      <w:rFonts w:ascii=".VnTime;Courier New" w:hAnsi=".VnTime;Courier New" w:cs=".VnTime;Courier New"/>
    </w:rPr>
  </w:style>
  <w:style w:type="paragraph" w:styleId="CommentText">
    <w:name w:val="Comment Text"/>
    <w:basedOn w:val="Normal"/>
    <w:qFormat/>
    <w:pPr/>
    <w:rPr>
      <w:sz w:val="20"/>
    </w:rPr>
  </w:style>
  <w:style w:type="paragraph" w:styleId="CommentSubject">
    <w:name w:val="Comment Subject"/>
    <w:basedOn w:val="CommentText"/>
    <w:next w:val="CommentText"/>
    <w:qFormat/>
    <w:pPr/>
    <w:rPr>
      <w:b/>
      <w:bCs/>
      <w:lang w:val="vi-VN"/>
    </w:rPr>
  </w:style>
  <w:style w:type="paragraph" w:styleId="BalloonText">
    <w:name w:val="Balloon Text"/>
    <w:basedOn w:val="Normal"/>
    <w:qFormat/>
    <w:pPr/>
    <w:rPr>
      <w:rFonts w:ascii="Segoe UI" w:hAnsi="Segoe UI" w:cs="Segoe UI"/>
      <w:sz w:val="18"/>
      <w:szCs w:val="18"/>
      <w:lang w:val="vi-VN"/>
    </w:rPr>
  </w:style>
  <w:style w:type="paragraph" w:styleId="ListParagraph">
    <w:name w:val="List Paragraph"/>
    <w:basedOn w:val="Normal"/>
    <w:qFormat/>
    <w:pPr>
      <w:widowControl/>
      <w:ind w:hanging="0" w:start="720" w:end="0"/>
    </w:pPr>
    <w:rPr>
      <w:rFonts w:ascii="Arial" w:hAnsi="Arial" w:cs="Arial"/>
      <w:sz w:val="20"/>
    </w:rPr>
  </w:style>
  <w:style w:type="paragraph" w:styleId="BodyText2">
    <w:name w:val="Body Text 2"/>
    <w:basedOn w:val="Normal"/>
    <w:qFormat/>
    <w:pPr>
      <w:spacing w:lineRule="auto" w:line="480" w:before="0" w:after="120"/>
    </w:pPr>
    <w:rPr>
      <w:lang w:val="vi-VN"/>
    </w:rPr>
  </w:style>
  <w:style w:type="paragraph" w:styleId="BodyTextIndent">
    <w:name w:val="Body Text Indent"/>
    <w:basedOn w:val="Normal"/>
    <w:pPr>
      <w:widowControl/>
      <w:ind w:firstLine="720" w:start="0" w:end="0"/>
      <w:jc w:val="both"/>
    </w:pPr>
    <w:rPr>
      <w:rFonts w:ascii=".VnTime;Courier New" w:hAnsi=".VnTime;Courier New" w:cs=".VnTime;Courier New"/>
      <w:sz w:val="28"/>
      <w:lang w:val="vi-VN"/>
    </w:rPr>
  </w:style>
  <w:style w:type="paragraph" w:styleId="BodyTextIndent3">
    <w:name w:val="Body Text Indent 3"/>
    <w:basedOn w:val="Normal"/>
    <w:qFormat/>
    <w:pPr>
      <w:widowControl/>
      <w:tabs>
        <w:tab w:val="clear" w:pos="720"/>
        <w:tab w:val="left" w:pos="9356" w:leader="none"/>
      </w:tabs>
      <w:ind w:firstLine="720" w:start="720" w:end="0"/>
      <w:jc w:val="both"/>
    </w:pPr>
    <w:rPr>
      <w:rFonts w:ascii=".VnTime;Courier New" w:hAnsi=".VnTime;Courier New" w:cs=".VnTime;Courier New"/>
      <w:color w:val="000000"/>
      <w:sz w:val="28"/>
      <w:lang w:val="vi-VN"/>
    </w:rPr>
  </w:style>
  <w:style w:type="paragraph" w:styleId="CharCharCharChar">
    <w:name w:val="Char Char Char Char"/>
    <w:basedOn w:val="Normal"/>
    <w:next w:val="Normal"/>
    <w:qFormat/>
    <w:pPr>
      <w:widowControl/>
      <w:spacing w:before="120" w:after="120"/>
      <w:jc w:val="both"/>
    </w:pPr>
    <w:rPr>
      <w:sz w:val="22"/>
      <w:szCs w:val="22"/>
    </w:rPr>
  </w:style>
  <w:style w:type="paragraph" w:styleId="ListBullet">
    <w:name w:val="List Bullet"/>
    <w:basedOn w:val="Normal"/>
    <w:qFormat/>
    <w:pPr>
      <w:widowControl/>
      <w:jc w:val="both"/>
    </w:pPr>
    <w:rPr>
      <w:rFonts w:ascii=".VnTime;Courier New" w:hAnsi=".VnTime;Courier New" w:cs=".VnTime;Courier New"/>
      <w:sz w:val="24"/>
      <w:szCs w:val="24"/>
    </w:rPr>
  </w:style>
  <w:style w:type="paragraph" w:styleId="BodyText3">
    <w:name w:val="Body Text 3"/>
    <w:basedOn w:val="Normal"/>
    <w:qFormat/>
    <w:pPr>
      <w:widowControl/>
      <w:jc w:val="both"/>
    </w:pPr>
    <w:rPr>
      <w:rFonts w:ascii=".VnTime;Courier New" w:hAnsi=".VnTime;Courier New" w:cs=".VnTime;Courier New"/>
      <w:sz w:val="24"/>
      <w:szCs w:val="24"/>
      <w:lang w:val="vi-VN"/>
    </w:rPr>
  </w:style>
  <w:style w:type="paragraph" w:styleId="xl24">
    <w:name w:val="xl24"/>
    <w:basedOn w:val="Normal"/>
    <w:qFormat/>
    <w:pPr>
      <w:widowControl/>
      <w:spacing w:before="280" w:after="280"/>
    </w:pPr>
    <w:rPr>
      <w:rFonts w:ascii=".VnTime;Courier New" w:hAnsi=".VnTime;Courier New" w:cs=".VnTime;Courier New"/>
      <w:bCs/>
      <w:sz w:val="24"/>
      <w:szCs w:val="24"/>
    </w:rPr>
  </w:style>
  <w:style w:type="paragraph" w:styleId="FootnoteText">
    <w:name w:val="footnote text"/>
    <w:basedOn w:val="Normal"/>
    <w:pPr>
      <w:widowControl/>
    </w:pPr>
    <w:rPr>
      <w:rFonts w:ascii=".VnTime;Courier New" w:hAnsi=".VnTime;Courier New" w:cs=".VnTime;Courier New"/>
      <w:sz w:val="24"/>
      <w:lang w:val="vi-VN"/>
    </w:rPr>
  </w:style>
  <w:style w:type="paragraph" w:styleId="xl25">
    <w:name w:val="xl25"/>
    <w:basedOn w:val="Normal"/>
    <w:qFormat/>
    <w:pPr>
      <w:widowControl/>
      <w:pBdr>
        <w:bottom w:val="single" w:sz="4" w:space="0" w:color="000000"/>
        <w:right w:val="single" w:sz="4" w:space="0" w:color="000000"/>
      </w:pBdr>
      <w:spacing w:before="280" w:after="280"/>
      <w:jc w:val="center"/>
      <w:textAlignment w:val="center"/>
    </w:pPr>
    <w:rPr>
      <w:rFonts w:ascii=".VnTime;Courier New" w:hAnsi=".VnTime;Courier New" w:cs=".VnTime;Courier New"/>
      <w:b/>
      <w:sz w:val="24"/>
      <w:szCs w:val="24"/>
    </w:rPr>
  </w:style>
  <w:style w:type="paragraph" w:styleId="Subtitle">
    <w:name w:val="Subtitle"/>
    <w:basedOn w:val="Normal"/>
    <w:next w:val="BodyText"/>
    <w:qFormat/>
    <w:pPr>
      <w:widowControl/>
      <w:spacing w:before="60" w:after="60"/>
    </w:pPr>
    <w:rPr>
      <w:rFonts w:ascii=".VnTime;Courier New" w:hAnsi=".VnTime;Courier New" w:cs=".VnTime;Courier New"/>
      <w:b/>
      <w:sz w:val="28"/>
      <w:lang w:val="vi-VN"/>
    </w:rPr>
  </w:style>
  <w:style w:type="paragraph" w:styleId="M">
    <w:name w:val="M"/>
    <w:basedOn w:val="Normal"/>
    <w:qFormat/>
    <w:pPr>
      <w:widowControl/>
      <w:spacing w:before="60" w:after="60"/>
      <w:ind w:firstLine="720" w:start="0" w:end="0"/>
      <w:jc w:val="both"/>
    </w:pPr>
    <w:rPr>
      <w:rFonts w:ascii=".VnTime;Courier New" w:hAnsi=".VnTime;Courier New" w:cs=".VnTime;Courier New"/>
      <w:b/>
      <w:sz w:val="28"/>
    </w:rPr>
  </w:style>
  <w:style w:type="paragraph" w:styleId="k">
    <w:name w:val="k"/>
    <w:basedOn w:val="BodyTextIndent"/>
    <w:qFormat/>
    <w:pPr>
      <w:spacing w:before="60" w:after="60"/>
    </w:pPr>
    <w:rPr/>
  </w:style>
  <w:style w:type="paragraph" w:styleId="TOC1">
    <w:name w:val="toc 1"/>
    <w:basedOn w:val="Normal"/>
    <w:next w:val="Normal"/>
    <w:pPr>
      <w:widowControl/>
      <w:tabs>
        <w:tab w:val="clear" w:pos="720"/>
        <w:tab w:val="left" w:pos="9118" w:leader="dot"/>
      </w:tabs>
      <w:suppressAutoHyphens w:val="true"/>
      <w:spacing w:lineRule="auto" w:line="288" w:before="240" w:after="0"/>
      <w:ind w:hanging="720" w:start="720" w:end="0"/>
      <w:jc w:val="center"/>
    </w:pPr>
    <w:rPr>
      <w:rFonts w:ascii=".VnTimeH;Courier New" w:hAnsi=".VnTimeH;Courier New" w:cs=".VnTimeH;Courier New"/>
      <w:b/>
      <w:color w:val="000000"/>
      <w:sz w:val="36"/>
    </w:rPr>
  </w:style>
  <w:style w:type="paragraph" w:styleId="vnt">
    <w:name w:val="vn_t"/>
    <w:basedOn w:val="Normal"/>
    <w:qFormat/>
    <w:pPr>
      <w:widowControl/>
    </w:pPr>
    <w:rPr>
      <w:rFonts w:ascii="3C_Palatino_T;Courier New" w:hAnsi="3C_Palatino_T;Courier New" w:cs="3C_Palatino_T;Courier New"/>
      <w:sz w:val="24"/>
    </w:rPr>
  </w:style>
  <w:style w:type="paragraph" w:styleId="PlainText">
    <w:name w:val="Plain Text"/>
    <w:basedOn w:val="Normal"/>
    <w:qFormat/>
    <w:pPr>
      <w:widowControl/>
    </w:pPr>
    <w:rPr>
      <w:rFonts w:ascii="Courier New" w:hAnsi="Courier New" w:cs="Courier New"/>
      <w:sz w:val="20"/>
      <w:lang w:val="vi-VN"/>
    </w:rPr>
  </w:style>
  <w:style w:type="paragraph" w:styleId="Giua">
    <w:name w:val="Giua"/>
    <w:basedOn w:val="Normal"/>
    <w:qFormat/>
    <w:pPr>
      <w:widowControl/>
      <w:spacing w:before="120" w:after="120"/>
      <w:ind w:firstLine="720" w:start="0" w:end="0"/>
      <w:jc w:val="both"/>
    </w:pPr>
    <w:rPr>
      <w:szCs w:val="26"/>
      <w:lang w:val="nl-NL"/>
    </w:rPr>
  </w:style>
  <w:style w:type="paragraph" w:styleId="Sub-ClauseText">
    <w:name w:val="Sub-Clause Text"/>
    <w:basedOn w:val="Normal"/>
    <w:qFormat/>
    <w:pPr>
      <w:widowControl/>
      <w:spacing w:before="120" w:after="120"/>
      <w:jc w:val="both"/>
    </w:pPr>
    <w:rPr>
      <w:spacing w:val="-4"/>
      <w:sz w:val="24"/>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numbering" w:styleId="WW8Num1">
    <w:name w:val="WW8Num1"/>
    <w:qFormat/>
  </w:style>
  <w:style w:type="numbering" w:styleId="WW8Num2">
    <w:name w:val="WW8Num2"/>
    <w:qFormat/>
  </w:style>
  <w:style w:type="numbering" w:styleId="WW8Num3">
    <w:name w:val="WW8Num3"/>
    <w:qFormat/>
  </w:style>
  <w:style w:type="numbering" w:styleId="WW8Num4">
    <w:name w:val="WW8Num4"/>
    <w:qFormat/>
  </w:style>
  <w:style w:type="numbering" w:styleId="WW8Num5">
    <w:name w:val="WW8Num5"/>
    <w:qFormat/>
  </w:style>
  <w:style w:type="numbering" w:styleId="WW8Num6">
    <w:name w:val="WW8Num6"/>
    <w:qFormat/>
  </w:style>
  <w:style w:type="numbering" w:styleId="WW8Num7">
    <w:name w:val="WW8Num7"/>
    <w:qFormat/>
  </w:style>
  <w:style w:type="numbering" w:styleId="WW8Num8">
    <w:name w:val="WW8Num8"/>
    <w:qFormat/>
  </w:style>
  <w:style w:type="numbering" w:styleId="WW8Num9">
    <w:name w:val="WW8Num9"/>
    <w:qFormat/>
  </w:style>
  <w:style w:type="numbering" w:styleId="WW8Num10">
    <w:name w:val="WW8Num10"/>
    <w:qFormat/>
  </w:style>
  <w:style w:type="numbering" w:styleId="WW8Num11">
    <w:name w:val="WW8Num11"/>
    <w:qFormat/>
  </w:style>
  <w:style w:type="numbering" w:styleId="WW8Num12">
    <w:name w:val="WW8Num12"/>
    <w:qFormat/>
  </w:style>
  <w:style w:type="numbering" w:styleId="WW8Num13">
    <w:name w:val="WW8Num13"/>
    <w:qFormat/>
  </w:style>
  <w:style w:type="numbering" w:styleId="WW8Num14">
    <w:name w:val="WW8Num14"/>
    <w:qFormat/>
  </w:style>
  <w:style w:type="numbering" w:styleId="WW8Num15">
    <w:name w:val="WW8Num15"/>
    <w:qFormat/>
  </w:style>
  <w:style w:type="numbering" w:styleId="WW8Num16">
    <w:name w:val="WW8Num16"/>
    <w:qFormat/>
  </w:style>
  <w:style w:type="numbering" w:styleId="WW8Num17">
    <w:name w:val="WW8Num17"/>
    <w:qFormat/>
  </w:style>
  <w:style w:type="numbering" w:styleId="WW8Num18">
    <w:name w:val="WW8Num18"/>
    <w:qFormat/>
  </w:style>
  <w:style w:type="numbering" w:styleId="WW8Num19">
    <w:name w:val="WW8Num19"/>
    <w:qFormat/>
  </w:style>
  <w:style w:type="numbering" w:styleId="WW8Num20">
    <w:name w:val="WW8Num20"/>
    <w:qFormat/>
  </w:style>
  <w:style w:type="numbering" w:styleId="WW8Num21">
    <w:name w:val="WW8Num21"/>
    <w:qFormat/>
  </w:style>
  <w:style w:type="numbering" w:styleId="WW8Num22">
    <w:name w:val="WW8Num22"/>
    <w:qFormat/>
  </w:style>
  <w:style w:type="numbering" w:styleId="WW8Num23">
    <w:name w:val="WW8Num23"/>
    <w:qFormat/>
  </w:style>
  <w:style w:type="numbering" w:styleId="WW8Num24">
    <w:name w:val="WW8Num24"/>
    <w:qFormat/>
  </w:style>
  <w:style w:type="numbering" w:styleId="WW8Num25">
    <w:name w:val="WW8Num25"/>
    <w:qFormat/>
  </w:style>
  <w:style w:type="numbering" w:styleId="WW8Num26">
    <w:name w:val="WW8Num26"/>
    <w:qFormat/>
  </w:style>
  <w:style w:type="numbering" w:styleId="WW8Num27">
    <w:name w:val="WW8Num27"/>
    <w:qFormat/>
  </w:style>
  <w:style w:type="numbering" w:styleId="WW8Num28">
    <w:name w:val="WW8Num28"/>
    <w:qFormat/>
  </w:style>
  <w:style w:type="numbering" w:styleId="WW8Num29">
    <w:name w:val="WW8Num29"/>
    <w:qFormat/>
  </w:style>
  <w:style w:type="numbering" w:styleId="WW8Num30">
    <w:name w:val="WW8Num30"/>
    <w:qFormat/>
  </w:style>
  <w:style w:type="numbering" w:styleId="WW8Num31">
    <w:name w:val="WW8Num31"/>
    <w:qFormat/>
  </w:style>
  <w:style w:type="numbering" w:styleId="WW8Num32">
    <w:name w:val="WW8Num32"/>
    <w:qFormat/>
  </w:style>
  <w:style w:type="numbering" w:styleId="WW8Num33">
    <w:name w:val="WW8Num33"/>
    <w:qFormat/>
  </w:style>
  <w:style w:type="numbering" w:styleId="WW8Num34">
    <w:name w:val="WW8Num34"/>
    <w:qFormat/>
  </w:style>
  <w:style w:type="numbering" w:styleId="WW8Num35">
    <w:name w:val="WW8Num35"/>
    <w:qFormat/>
  </w:style>
  <w:style w:type="numbering" w:styleId="WW8Num36">
    <w:name w:val="WW8Num36"/>
    <w:qFormat/>
  </w:style>
  <w:style w:type="numbering" w:styleId="WW8Num37">
    <w:name w:val="WW8Num37"/>
    <w:qFormat/>
  </w:style>
  <w:style w:type="numbering" w:styleId="WW8Num38">
    <w:name w:val="WW8Num38"/>
    <w:qFormat/>
  </w:style>
  <w:style w:type="numbering" w:styleId="WW8Num39">
    <w:name w:val="WW8Num39"/>
    <w:qFormat/>
  </w:style>
  <w:style w:type="numbering" w:styleId="WW8Num40">
    <w:name w:val="WW8Num40"/>
    <w:qFormat/>
  </w:style>
  <w:style w:type="numbering" w:styleId="WW8Num41">
    <w:name w:val="WW8Num41"/>
    <w:qFormat/>
  </w:style>
  <w:style w:type="numbering" w:styleId="WW8Num42">
    <w:name w:val="WW8Num42"/>
    <w:qFormat/>
  </w:style>
  <w:style w:type="numbering" w:styleId="WW8Num43">
    <w:name w:val="WW8Num43"/>
    <w:qFormat/>
  </w:style>
  <w:style w:type="numbering" w:styleId="WW8Num44">
    <w:name w:val="WW8Num44"/>
    <w:qFormat/>
  </w:style>
  <w:style w:type="numbering" w:styleId="WW8Num45">
    <w:name w:val="WW8Num45"/>
    <w:qFormat/>
  </w:style>
  <w:style w:type="numbering" w:styleId="WW8Num46">
    <w:name w:val="WW8Num46"/>
    <w:qFormat/>
  </w:style>
  <w:style w:type="numbering" w:styleId="WW8Num47">
    <w:name w:val="WW8Num47"/>
    <w:qFormat/>
  </w:style>
  <w:style w:type="numbering" w:styleId="WW8Num48">
    <w:name w:val="WW8Num48"/>
    <w:qFormat/>
  </w:style>
  <w:style w:type="numbering" w:styleId="WW8Num49">
    <w:name w:val="WW8Num49"/>
    <w:qFormat/>
  </w:style>
  <w:style w:type="numbering" w:styleId="WW8Num50">
    <w:name w:val="WW8Num50"/>
    <w:qFormat/>
  </w:style>
  <w:style w:type="numbering" w:styleId="WW8Num51">
    <w:name w:val="WW8Num51"/>
    <w:qFormat/>
  </w:style>
  <w:style w:type="numbering" w:styleId="WW8Num52">
    <w:name w:val="WW8Num52"/>
    <w:qFormat/>
  </w:style>
  <w:style w:type="numbering" w:styleId="WW8Num53">
    <w:name w:val="WW8Num53"/>
    <w:qFormat/>
  </w:style>
  <w:style w:type="numbering" w:styleId="WW8Num54">
    <w:name w:val="WW8Num54"/>
    <w:qFormat/>
  </w:style>
  <w:style w:type="numbering" w:styleId="WW8Num55">
    <w:name w:val="WW8Num55"/>
    <w:qFormat/>
  </w:style>
  <w:style w:type="numbering" w:styleId="WW8Num56">
    <w:name w:val="WW8Num56"/>
    <w:qFormat/>
  </w:style>
  <w:style w:type="numbering" w:styleId="WW8Num57">
    <w:name w:val="WW8Num57"/>
    <w:qFormat/>
  </w:style>
  <w:style w:type="numbering" w:styleId="WW8Num58">
    <w:name w:val="WW8Num58"/>
    <w:qFormat/>
  </w:style>
  <w:style w:type="numbering" w:styleId="WW8Num59">
    <w:name w:val="WW8Num59"/>
    <w:qFormat/>
  </w:style>
  <w:style w:type="numbering" w:styleId="WW8Num60">
    <w:name w:val="WW8Num60"/>
    <w:qFormat/>
  </w:style>
  <w:style w:type="numbering" w:styleId="WW8Num61">
    <w:name w:val="WW8Num61"/>
    <w:qFormat/>
  </w:style>
  <w:style w:type="numbering" w:styleId="WW8Num62">
    <w:name w:val="WW8Num62"/>
    <w:qFormat/>
  </w:style>
  <w:style w:type="numbering" w:styleId="WW8Num63">
    <w:name w:val="WW8Num63"/>
    <w:qFormat/>
  </w:style>
  <w:style w:type="numbering" w:styleId="WW8Num64">
    <w:name w:val="WW8Num64"/>
    <w:qFormat/>
  </w:style>
  <w:style w:type="numbering" w:styleId="WW8Num65">
    <w:name w:val="WW8Num65"/>
    <w:qFormat/>
  </w:style>
  <w:style w:type="numbering" w:styleId="WW8Num66">
    <w:name w:val="WW8Num66"/>
    <w:qFormat/>
  </w:style>
  <w:style w:type="numbering" w:styleId="WW8Num67">
    <w:name w:val="WW8Num67"/>
    <w:qFormat/>
  </w:style>
  <w:style w:type="numbering" w:styleId="WW8Num68">
    <w:name w:val="WW8Num68"/>
    <w:qFormat/>
  </w:style>
  <w:style w:type="numbering" w:styleId="WW8Num69">
    <w:name w:val="WW8Num69"/>
    <w:qFormat/>
  </w:style>
  <w:style w:type="numbering" w:styleId="WW8Num70">
    <w:name w:val="WW8Num70"/>
    <w:qFormat/>
  </w:style>
  <w:style w:type="numbering" w:styleId="WW8Num71">
    <w:name w:val="WW8Num71"/>
    <w:qFormat/>
  </w:style>
  <w:style w:type="numbering" w:styleId="WW8Num72">
    <w:name w:val="WW8Num72"/>
    <w:qFormat/>
  </w:style>
  <w:style w:type="numbering" w:styleId="WW8Num73">
    <w:name w:val="WW8Num73"/>
    <w:qFormat/>
  </w:style>
  <w:style w:type="numbering" w:styleId="WW8Num74">
    <w:name w:val="WW8Num74"/>
    <w:qFormat/>
  </w:style>
  <w:style w:type="numbering" w:styleId="WW8Num75">
    <w:name w:val="WW8Num75"/>
    <w:qFormat/>
  </w:style>
  <w:style w:type="numbering" w:styleId="WW8Num76">
    <w:name w:val="WW8Num76"/>
    <w:qFormat/>
  </w:style>
  <w:style w:type="numbering" w:styleId="WW8Num77">
    <w:name w:val="WW8Num77"/>
    <w:qFormat/>
  </w:style>
  <w:style w:type="numbering" w:styleId="WW8Num78">
    <w:name w:val="WW8Num78"/>
    <w:qFormat/>
  </w:style>
  <w:style w:type="numbering" w:styleId="WW8Num79">
    <w:name w:val="WW8Num79"/>
    <w:qFormat/>
  </w:style>
  <w:style w:type="numbering" w:styleId="WW8Num80">
    <w:name w:val="WW8Num80"/>
    <w:qFormat/>
  </w:style>
  <w:style w:type="numbering" w:styleId="WW8Num81">
    <w:name w:val="WW8Num81"/>
    <w:qFormat/>
  </w:style>
  <w:style w:type="numbering" w:styleId="WW8Num82">
    <w:name w:val="WW8Num82"/>
    <w:qFormat/>
  </w:style>
  <w:style w:type="numbering" w:styleId="WW8Num83">
    <w:name w:val="WW8Num83"/>
    <w:qFormat/>
  </w:style>
  <w:style w:type="numbering" w:styleId="WW8Num84">
    <w:name w:val="WW8Num84"/>
    <w:qFormat/>
  </w:style>
  <w:style w:type="numbering" w:styleId="WW8Num85">
    <w:name w:val="WW8Num85"/>
    <w:qFormat/>
  </w:style>
  <w:style w:type="numbering" w:styleId="WW8Num86">
    <w:name w:val="WW8Num86"/>
    <w:qFormat/>
  </w:style>
  <w:style w:type="numbering" w:styleId="WW8Num87">
    <w:name w:val="WW8Num87"/>
    <w:qFormat/>
  </w:style>
  <w:style w:type="numbering" w:styleId="WW8Num88">
    <w:name w:val="WW8Num88"/>
    <w:qFormat/>
  </w:style>
  <w:style w:type="numbering" w:styleId="WW8Num89">
    <w:name w:val="WW8Num89"/>
    <w:qFormat/>
  </w:style>
  <w:style w:type="numbering" w:styleId="WW8Num90">
    <w:name w:val="WW8Num90"/>
    <w:qFormat/>
  </w:style>
  <w:style w:type="numbering" w:styleId="WW8Num91">
    <w:name w:val="WW8Num91"/>
    <w:qFormat/>
  </w:style>
  <w:style w:type="numbering" w:styleId="WW8Num92">
    <w:name w:val="WW8Num92"/>
    <w:qFormat/>
  </w:style>
  <w:style w:type="numbering" w:styleId="WW8Num93">
    <w:name w:val="WW8Num93"/>
    <w:qFormat/>
  </w:style>
  <w:style w:type="numbering" w:styleId="WW8Num94">
    <w:name w:val="WW8Num94"/>
    <w:qFormat/>
  </w:style>
  <w:style w:type="numbering" w:styleId="WW8Num95">
    <w:name w:val="WW8Num95"/>
    <w:qFormat/>
  </w:style>
  <w:style w:type="numbering" w:styleId="WW8Num96">
    <w:name w:val="WW8Num96"/>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header" Target="header2.xml"/><Relationship Id="rId4" Type="http://schemas.openxmlformats.org/officeDocument/2006/relationships/footer" Target="footer1.xml"/><Relationship Id="rId5" Type="http://schemas.openxmlformats.org/officeDocument/2006/relationships/footer" Target="footer2.xml"/><Relationship Id="rId6" Type="http://schemas.openxmlformats.org/officeDocument/2006/relationships/numbering" Target="numbering.xml"/><Relationship Id="rId7" Type="http://schemas.openxmlformats.org/officeDocument/2006/relationships/fontTable" Target="fontTable.xml"/><Relationship Id="rId8" Type="http://schemas.openxmlformats.org/officeDocument/2006/relationships/settings" Target="settings.xml"/><Relationship Id="rId9"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398</TotalTime>
  <Application>LibreOffice/26.2.5.2$MacOSX_AARCH64 LibreOffice_project/cd7284b4cbbfeb507e630c1aac019f4157393acb</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2025-11-06T15:28:00Z</dcterms:created>
  <dc:creator>X</dc:creator>
  <dc:description/>
  <cp:keywords/>
  <dc:language>vi-VN</dc:language>
  <cp:lastModifiedBy>COMPUTER</cp:lastModifiedBy>
  <cp:lastPrinted>2026-03-10T15:28:00Z</cp:lastPrinted>
  <dcterms:modified xsi:type="dcterms:W3CDTF">2026-03-10T15:48:00Z</dcterms:modified>
  <cp:revision>165</cp:revision>
  <dc:subject/>
  <dc:title>Tæng côc hËu cÇn</dc:title>
</cp:coreProperties>
</file>