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jc w:val="center"/>
        <w:rPr>
          <w:b/>
          <w:color w:val="000000"/>
          <w:sz w:val="26"/>
          <w:szCs w:val="26"/>
          <w:lang w:val="nl-NL"/>
        </w:rPr>
      </w:pPr>
      <w:r>
        <w:rPr>
          <w:b/>
          <w:color w:val="000000"/>
          <w:sz w:val="26"/>
          <w:szCs w:val="26"/>
          <w:lang w:val="nl-NL"/>
        </w:rPr>
        <w:t>CỘNG HOÀ XÃ HỘI CHỦ NGHĨA VIỆT NAM</w:t>
      </w:r>
    </w:p>
    <w:p>
      <w:pPr>
        <w:pStyle w:val="Normal"/>
        <w:spacing w:lineRule="exact" w:line="320"/>
        <w:jc w:val="center"/>
        <w:rPr>
          <w:b/>
          <w:color w:val="000000"/>
          <w:szCs w:val="28"/>
          <w:lang w:val="nl-NL"/>
        </w:rPr>
      </w:pPr>
      <w:r>
        <w:rPr>
          <w:b/>
          <w:color w:val="000000"/>
          <w:szCs w:val="28"/>
          <w:lang w:val="nl-NL"/>
        </w:rPr>
        <w:t>Độc lập - Tự do- Hạnh phúc</w:t>
      </w:r>
    </w:p>
    <w:p>
      <w:pPr>
        <w:pStyle w:val="Normal"/>
        <w:spacing w:lineRule="exact" w:line="320"/>
        <w:jc w:val="center"/>
        <w:rPr>
          <w:color w:val="000000"/>
          <w:szCs w:val="28"/>
          <w:lang w:val="nl-NL"/>
        </w:rPr>
      </w:pPr>
      <w:r>
        <w:rPr>
          <w:b/>
          <w:color w:val="000000"/>
          <w:szCs w:val="28"/>
          <w:lang w:val="nl-NL"/>
        </w:rPr>
        <w:t>**********</w:t>
      </w:r>
    </w:p>
    <w:p>
      <w:pPr>
        <w:pStyle w:val="Normal"/>
        <w:spacing w:before="120" w:after="120"/>
        <w:ind w:start="567" w:end="0"/>
        <w:jc w:val="center"/>
        <w:rPr>
          <w:b/>
          <w:color w:val="000000"/>
          <w:sz w:val="32"/>
          <w:szCs w:val="32"/>
          <w:lang w:val="nl-NL"/>
        </w:rPr>
      </w:pPr>
      <w:r>
        <w:rPr>
          <w:b/>
          <w:color w:val="000000"/>
          <w:sz w:val="32"/>
          <w:szCs w:val="32"/>
          <w:lang w:val="nl-NL"/>
        </w:rPr>
        <w:t>BIÊN BẢN</w:t>
      </w:r>
    </w:p>
    <w:p>
      <w:pPr>
        <w:pStyle w:val="Normal"/>
        <w:spacing w:before="120" w:after="120"/>
        <w:ind w:start="567" w:end="0"/>
        <w:jc w:val="center"/>
        <w:rPr>
          <w:b/>
          <w:color w:val="000000"/>
          <w:sz w:val="32"/>
          <w:szCs w:val="32"/>
          <w:lang w:val="nl-NL"/>
        </w:rPr>
      </w:pPr>
      <w:r>
        <w:rPr>
          <w:b/>
          <w:color w:val="000000"/>
          <w:sz w:val="32"/>
          <w:szCs w:val="32"/>
          <w:lang w:val="nl-NL"/>
        </w:rPr>
        <w:t>NGHIỆM THU VÀ BÀN GIAO HÀNG HÓA</w:t>
      </w:r>
    </w:p>
    <w:p>
      <w:pPr>
        <w:pStyle w:val="Normal"/>
        <w:spacing w:lineRule="auto" w:line="360"/>
        <w:ind w:firstLine="567" w:end="0"/>
        <w:jc w:val="both"/>
        <w:rPr>
          <w:i/>
          <w:color w:val="000000"/>
          <w:sz w:val="26"/>
          <w:szCs w:val="26"/>
          <w:lang w:val="nl-NL"/>
        </w:rPr>
      </w:pPr>
      <w:r>
        <w:rPr>
          <w:b/>
          <w:i/>
          <w:color w:val="000000"/>
          <w:sz w:val="26"/>
          <w:szCs w:val="26"/>
          <w:lang w:val="nl-NL"/>
        </w:rPr>
      </w:r>
    </w:p>
    <w:p>
      <w:pPr>
        <w:pStyle w:val="Normal"/>
        <w:spacing w:lineRule="auto" w:line="360"/>
        <w:ind w:firstLine="567" w:end="0"/>
        <w:jc w:val="both"/>
        <w:rPr>
          <w:i/>
          <w:sz w:val="26"/>
          <w:szCs w:val="26"/>
          <w:lang w:val="vi-VN"/>
        </w:rPr>
      </w:pPr>
      <w:r>
        <w:rPr>
          <w:i/>
          <w:sz w:val="26"/>
          <w:szCs w:val="26"/>
          <w:lang w:val="nl-NL"/>
        </w:rPr>
        <w:t xml:space="preserve">- Căn cứ vào hợp đồng số: 1503/HĐKT/VN-BVĐKPT ký ngày 17 tháng 03 năm 2027 giữa Bệnh viện đa khoa tỉnh Phú Thọ và Công ty TNHH Mô Phỏng Mock, gói thầu: </w:t>
      </w:r>
      <w:r>
        <w:rPr>
          <w:i/>
          <w:sz w:val="26"/>
          <w:szCs w:val="26"/>
          <w:lang w:val="vi-VN"/>
        </w:rPr>
        <w:t xml:space="preserve">Mua sắm </w:t>
      </w:r>
      <w:r>
        <w:rPr>
          <w:i/>
          <w:sz w:val="26"/>
          <w:szCs w:val="26"/>
        </w:rPr>
        <w:t>bộ xét nghiệm định lượng virus viêm gan B, C (MOCK) phục vụ công tác khám chữa bệnh</w:t>
      </w:r>
      <w:r>
        <w:rPr>
          <w:i/>
          <w:sz w:val="26"/>
          <w:szCs w:val="26"/>
          <w:lang w:val="vi-VN"/>
        </w:rPr>
        <w:t xml:space="preserve"> tại Bệnh viện đa khoa tỉnh Phú Thọ </w:t>
      </w:r>
      <w:r>
        <w:rPr>
          <w:i/>
          <w:sz w:val="26"/>
          <w:szCs w:val="26"/>
          <w:lang w:val="nl-NL"/>
        </w:rPr>
        <w:t>thuộc dự toán mua sắm: Mua sắm bộ xét nghiệm định lượng virus viêm gan B, C (MOCK) phục vụ công tác khám chữa bệnh tại Bệnh viện đa khoa tỉnh Phú Thọ;</w:t>
      </w:r>
    </w:p>
    <w:p>
      <w:pPr>
        <w:pStyle w:val="Normal"/>
        <w:spacing w:lineRule="auto" w:line="360"/>
        <w:ind w:firstLine="567" w:end="0"/>
        <w:jc w:val="both"/>
        <w:rPr>
          <w:i/>
          <w:color w:val="000000"/>
          <w:sz w:val="26"/>
          <w:szCs w:val="26"/>
          <w:lang w:val="nl-NL"/>
        </w:rPr>
      </w:pPr>
      <w:r>
        <w:rPr>
          <w:i/>
          <w:sz w:val="26"/>
          <w:szCs w:val="26"/>
          <w:lang w:val="vi-VN"/>
        </w:rPr>
        <w:t>- Căn cứ tình hình bàn giao vật tư và các chứng từ kèm theo.</w:t>
      </w:r>
    </w:p>
    <w:p>
      <w:pPr>
        <w:pStyle w:val="Normal"/>
        <w:spacing w:lineRule="auto" w:line="360"/>
        <w:ind w:firstLine="720" w:end="0"/>
        <w:jc w:val="both"/>
        <w:rPr>
          <w:iCs/>
          <w:color w:val="000000"/>
          <w:sz w:val="26"/>
          <w:szCs w:val="26"/>
          <w:lang w:val="pt-BR"/>
        </w:rPr>
      </w:pPr>
      <w:r>
        <w:rPr>
          <w:iCs/>
          <w:color w:val="000000"/>
          <w:sz w:val="26"/>
          <w:szCs w:val="26"/>
          <w:lang w:val="nl-NL"/>
        </w:rPr>
        <w:t>Hôm nay, ngày 02 tháng 07 năm 2027, tại</w:t>
      </w:r>
      <w:r>
        <w:rPr>
          <w:iCs/>
          <w:color w:val="000000"/>
          <w:sz w:val="26"/>
          <w:szCs w:val="26"/>
          <w:lang w:val="pt-BR"/>
        </w:rPr>
        <w:t xml:space="preserve"> Bệnh viện đa khoa tỉnh Phú Thọ, chúng tôi gồm có:</w:t>
      </w:r>
    </w:p>
    <w:p>
      <w:pPr>
        <w:pStyle w:val="Normal"/>
        <w:spacing w:lineRule="auto" w:line="312" w:before="60" w:after="0"/>
        <w:jc w:val="both"/>
        <w:rPr>
          <w:b/>
          <w:color w:val="000000"/>
          <w:sz w:val="26"/>
          <w:szCs w:val="26"/>
          <w:lang w:val="nl-NL"/>
        </w:rPr>
      </w:pPr>
      <w:r>
        <w:rPr>
          <w:b/>
          <w:color w:val="000000"/>
          <w:sz w:val="26"/>
          <w:szCs w:val="26"/>
          <w:lang w:val="nl-NL"/>
        </w:rPr>
        <w:t>Bên A: BỆNH VIỆN ĐA KHOA TỈNH PHÚ THỌ</w:t>
      </w:r>
    </w:p>
    <w:p>
      <w:pPr>
        <w:pStyle w:val="Normal"/>
        <w:spacing w:lineRule="auto" w:line="312" w:before="60" w:after="0"/>
        <w:jc w:val="both"/>
        <w:rPr>
          <w:bCs/>
          <w:sz w:val="26"/>
          <w:szCs w:val="26"/>
          <w:lang w:val="nl-NL"/>
        </w:rPr>
      </w:pPr>
      <w:r>
        <w:rPr>
          <w:bCs/>
          <w:sz w:val="26"/>
          <w:szCs w:val="26"/>
          <w:lang w:val="nl-NL"/>
        </w:rPr>
        <w:t>Đại diện</w:t>
        <w:tab/>
        <w:tab/>
        <w:t xml:space="preserve">: Ông </w:t>
      </w:r>
      <w:r>
        <w:rPr>
          <w:b/>
          <w:sz w:val="26"/>
          <w:szCs w:val="26"/>
          <w:lang w:val="nl-NL"/>
        </w:rPr>
        <w:t>LÊ ĐÌNH THANH SƠN</w:t>
      </w:r>
      <w:r>
        <w:rPr>
          <w:bCs/>
          <w:sz w:val="26"/>
          <w:szCs w:val="26"/>
          <w:lang w:val="nl-NL"/>
        </w:rPr>
        <w:t xml:space="preserve"> </w:t>
        <w:tab/>
        <w:t xml:space="preserve">           Chức vụ: </w:t>
      </w:r>
      <w:r>
        <w:rPr>
          <w:b/>
          <w:sz w:val="26"/>
          <w:szCs w:val="26"/>
          <w:lang w:val="nl-NL"/>
        </w:rPr>
        <w:t>Giám đốc</w:t>
      </w:r>
    </w:p>
    <w:p>
      <w:pPr>
        <w:pStyle w:val="Normal"/>
        <w:spacing w:lineRule="auto" w:line="312" w:before="60" w:after="0"/>
        <w:jc w:val="both"/>
        <w:rPr>
          <w:sz w:val="26"/>
          <w:szCs w:val="26"/>
          <w:lang w:val="nl-NL"/>
        </w:rPr>
      </w:pPr>
      <w:bookmarkStart w:id="0" w:name="_Hlk214377936"/>
      <w:r>
        <w:rPr>
          <w:sz w:val="26"/>
          <w:szCs w:val="26"/>
          <w:lang w:val="nl-NL"/>
        </w:rPr>
        <w:t>Địa chỉ</w:t>
        <w:tab/>
        <w:tab/>
        <w:t xml:space="preserve">: </w:t>
      </w:r>
      <w:r>
        <w:rPr>
          <w:bCs/>
          <w:sz w:val="26"/>
          <w:szCs w:val="26"/>
          <w:lang w:val="nl-NL"/>
        </w:rPr>
        <w:t>Đường Nguyễn Tất Thành – Phường Việt Trì - Tỉnh Phú Thọ</w:t>
      </w:r>
    </w:p>
    <w:p>
      <w:pPr>
        <w:pStyle w:val="Normal"/>
        <w:spacing w:lineRule="auto" w:line="312" w:before="60" w:after="0"/>
        <w:jc w:val="both"/>
        <w:rPr>
          <w:sz w:val="26"/>
          <w:szCs w:val="26"/>
          <w:lang w:val="nl-NL"/>
        </w:rPr>
      </w:pPr>
      <w:r>
        <w:rPr>
          <w:sz w:val="26"/>
          <w:szCs w:val="26"/>
          <w:lang w:val="nl-NL"/>
        </w:rPr>
        <w:t>Mã số thuế</w:t>
        <w:tab/>
        <w:tab/>
        <w:t xml:space="preserve">: </w:t>
      </w:r>
      <w:bookmarkStart w:id="1" w:name="_Hlk202184500"/>
      <w:r>
        <w:rPr>
          <w:sz w:val="26"/>
          <w:szCs w:val="26"/>
          <w:lang w:val="nl-NL"/>
        </w:rPr>
        <w:t>2600377322</w:t>
      </w:r>
      <w:bookmarkEnd w:id="1"/>
    </w:p>
    <w:p>
      <w:pPr>
        <w:pStyle w:val="Normal"/>
        <w:spacing w:lineRule="auto" w:line="312" w:before="60" w:after="0"/>
        <w:jc w:val="both"/>
        <w:rPr>
          <w:sz w:val="26"/>
          <w:szCs w:val="26"/>
          <w:lang w:val="nl-NL"/>
        </w:rPr>
      </w:pPr>
      <w:r>
        <w:rPr>
          <w:sz w:val="26"/>
          <w:szCs w:val="26"/>
          <w:lang w:val="nl-NL"/>
        </w:rPr>
        <w:t>Điện thoại</w:t>
        <w:tab/>
        <w:tab/>
        <w:t>:</w:t>
      </w:r>
      <w:bookmarkStart w:id="2" w:name="_Hlk202184512"/>
      <w:r>
        <w:rPr>
          <w:sz w:val="26"/>
          <w:szCs w:val="26"/>
          <w:lang w:val="nl-NL"/>
        </w:rPr>
        <w:t xml:space="preserve"> </w:t>
      </w:r>
      <w:r>
        <w:rPr>
          <w:sz w:val="26"/>
          <w:szCs w:val="26"/>
          <w:lang w:val="pt-BR"/>
        </w:rPr>
        <w:t>02103 6254 179</w:t>
      </w:r>
      <w:r>
        <w:rPr>
          <w:sz w:val="26"/>
          <w:szCs w:val="26"/>
          <w:lang w:val="nl-NL"/>
        </w:rPr>
        <w:tab/>
        <w:tab/>
        <w:tab/>
        <w:t xml:space="preserve">Fax: </w:t>
      </w:r>
      <w:r>
        <w:rPr>
          <w:sz w:val="26"/>
          <w:szCs w:val="26"/>
          <w:lang w:val="pt-BR"/>
        </w:rPr>
        <w:t>02103 6254 103</w:t>
      </w:r>
      <w:r>
        <w:rPr>
          <w:sz w:val="26"/>
          <w:szCs w:val="26"/>
          <w:lang w:val="nl-NL"/>
        </w:rPr>
        <w:t xml:space="preserve">  </w:t>
      </w:r>
      <w:bookmarkEnd w:id="2"/>
    </w:p>
    <w:p>
      <w:pPr>
        <w:pStyle w:val="Normal"/>
        <w:widowControl w:val="false"/>
        <w:tabs>
          <w:tab w:val="clear" w:pos="720"/>
          <w:tab w:val="left" w:pos="284" w:leader="none"/>
          <w:tab w:val="left" w:pos="5236" w:leader="none"/>
          <w:tab w:val="left" w:pos="9298" w:leader="dot"/>
        </w:tabs>
        <w:spacing w:lineRule="auto" w:line="312" w:before="60" w:after="0"/>
        <w:rPr>
          <w:sz w:val="26"/>
          <w:szCs w:val="26"/>
          <w:lang w:val="pt-BR"/>
        </w:rPr>
      </w:pPr>
      <w:r>
        <w:rPr>
          <w:sz w:val="26"/>
          <w:szCs w:val="26"/>
          <w:lang w:val="nl-NL"/>
        </w:rPr>
        <w:t xml:space="preserve">Tài khoản số             : </w:t>
      </w:r>
      <w:bookmarkStart w:id="3" w:name="_Hlk202184529"/>
      <w:r>
        <w:rPr>
          <w:sz w:val="26"/>
          <w:szCs w:val="26"/>
          <w:lang w:val="nl-NL"/>
        </w:rPr>
        <w:t xml:space="preserve">3714.0.1017725.00000 và 3713.0.1017725.00000 </w:t>
      </w:r>
      <w:bookmarkEnd w:id="3"/>
      <w:r>
        <w:rPr>
          <w:sz w:val="26"/>
          <w:szCs w:val="26"/>
          <w:lang w:val="nl-NL"/>
        </w:rPr>
        <w:t xml:space="preserve">tại: </w:t>
      </w:r>
      <w:bookmarkStart w:id="4" w:name="_Hlk202184541"/>
      <w:r>
        <w:rPr>
          <w:sz w:val="26"/>
          <w:szCs w:val="26"/>
          <w:lang w:val="pt-BR"/>
        </w:rPr>
        <w:t>Kho bạc nhà nước khu vực VIII</w:t>
      </w:r>
      <w:bookmarkEnd w:id="4"/>
      <w:r>
        <w:rPr>
          <w:sz w:val="26"/>
          <w:szCs w:val="26"/>
          <w:lang w:val="pt-BR"/>
        </w:rPr>
        <w:t>.</w:t>
      </w:r>
    </w:p>
    <w:p>
      <w:pPr>
        <w:pStyle w:val="Normal"/>
        <w:widowControl w:val="false"/>
        <w:spacing w:lineRule="auto" w:line="312" w:before="60" w:after="60"/>
        <w:rPr>
          <w:spacing w:val="-4"/>
          <w:sz w:val="26"/>
          <w:szCs w:val="26"/>
        </w:rPr>
      </w:pPr>
      <w:r>
        <w:rPr>
          <w:sz w:val="26"/>
          <w:szCs w:val="26"/>
          <w:lang w:val="vi-VN"/>
        </w:rPr>
        <w:t xml:space="preserve">Và 030023641859 tại </w:t>
      </w:r>
      <w:r>
        <w:rPr>
          <w:sz w:val="26"/>
          <w:szCs w:val="26"/>
        </w:rPr>
        <w:t>N</w:t>
      </w:r>
      <w:r>
        <w:rPr>
          <w:sz w:val="26"/>
          <w:szCs w:val="26"/>
          <w:lang w:val="vi-VN"/>
        </w:rPr>
        <w:t xml:space="preserve">gân hàng </w:t>
      </w:r>
      <w:r>
        <w:rPr>
          <w:sz w:val="26"/>
          <w:szCs w:val="26"/>
        </w:rPr>
        <w:t>TMCP</w:t>
      </w:r>
      <w:r>
        <w:rPr>
          <w:sz w:val="26"/>
          <w:szCs w:val="26"/>
          <w:lang w:val="vi-VN"/>
        </w:rPr>
        <w:t xml:space="preserve"> Sài Gòn Thương Tín - Chi nhánh Phú Thọ (Sacombank - Chi nhánh Phú Thọ)</w:t>
      </w:r>
      <w:r>
        <w:rPr>
          <w:sz w:val="26"/>
          <w:szCs w:val="26"/>
        </w:rPr>
        <w:t>.</w:t>
      </w:r>
    </w:p>
    <w:p>
      <w:pPr>
        <w:pStyle w:val="Normal"/>
        <w:widowControl w:val="false"/>
        <w:tabs>
          <w:tab w:val="clear" w:pos="720"/>
          <w:tab w:val="left" w:pos="284" w:leader="none"/>
          <w:tab w:val="left" w:pos="5236" w:leader="none"/>
          <w:tab w:val="left" w:pos="9298" w:leader="dot"/>
        </w:tabs>
        <w:spacing w:lineRule="auto" w:line="312" w:before="60" w:after="0"/>
        <w:rPr>
          <w:sz w:val="26"/>
          <w:szCs w:val="26"/>
          <w:lang w:val="pt-BR"/>
        </w:rPr>
      </w:pPr>
      <w:r>
        <w:rPr>
          <w:sz w:val="26"/>
          <w:szCs w:val="26"/>
          <w:lang w:val="vi-VN"/>
        </w:rPr>
        <w:t>Và 8169999999 tại Ngân hàng TMCP Ngoại thương Việt Nam – Chi nhánh Phú Thọ</w:t>
      </w:r>
      <w:r>
        <w:rPr>
          <w:sz w:val="26"/>
          <w:szCs w:val="26"/>
          <w:lang w:val="pt-BR"/>
        </w:rPr>
        <w:t>.</w:t>
      </w:r>
    </w:p>
    <w:p>
      <w:pPr>
        <w:pStyle w:val="Normal"/>
        <w:spacing w:lineRule="auto" w:line="312" w:before="60" w:after="0"/>
        <w:ind w:firstLine="142" w:start="-142" w:end="0"/>
        <w:jc w:val="both"/>
        <w:rPr>
          <w:b/>
          <w:color w:val="000000"/>
          <w:sz w:val="26"/>
          <w:szCs w:val="26"/>
          <w:lang w:val="pt-BR"/>
        </w:rPr>
      </w:pPr>
      <w:bookmarkEnd w:id="0"/>
      <w:r>
        <w:rPr>
          <w:b/>
          <w:color w:val="000000"/>
          <w:spacing w:val="-8"/>
          <w:kern w:val="2"/>
          <w:sz w:val="26"/>
          <w:szCs w:val="26"/>
          <w:lang w:val="nl-NL"/>
        </w:rPr>
        <w:t>Bên B</w:t>
      </w:r>
      <w:r>
        <w:rPr>
          <w:b/>
          <w:color w:val="000000"/>
          <w:sz w:val="26"/>
          <w:szCs w:val="26"/>
          <w:lang w:val="nl-NL"/>
        </w:rPr>
        <w:t xml:space="preserve">: </w:t>
      </w:r>
      <w:bookmarkStart w:id="5" w:name="_Hlk216791246"/>
      <w:r>
        <w:rPr>
          <w:b/>
          <w:color w:val="000000"/>
          <w:sz w:val="26"/>
          <w:szCs w:val="26"/>
          <w:lang w:val="pt-BR"/>
        </w:rPr>
        <w:t xml:space="preserve">CÔNG TY </w:t>
      </w:r>
      <w:bookmarkEnd w:id="5"/>
      <w:r>
        <w:rPr>
          <w:b/>
          <w:color w:val="000000"/>
          <w:sz w:val="26"/>
          <w:szCs w:val="26"/>
          <w:lang w:val="pt-BR"/>
        </w:rPr>
        <w:t>TNHH MÔ PHỎNG MOCK</w:t>
      </w:r>
    </w:p>
    <w:p>
      <w:pPr>
        <w:pStyle w:val="Normal"/>
        <w:spacing w:lineRule="auto" w:line="312" w:before="60" w:after="0"/>
        <w:jc w:val="both"/>
        <w:rPr>
          <w:b/>
          <w:bCs/>
          <w:sz w:val="26"/>
          <w:szCs w:val="26"/>
          <w:lang w:val="pt-BR"/>
        </w:rPr>
      </w:pPr>
      <w:r>
        <w:rPr>
          <w:sz w:val="26"/>
          <w:szCs w:val="26"/>
          <w:lang w:val="pt-BR"/>
        </w:rPr>
        <w:t>Đại diện</w:t>
        <w:tab/>
        <w:tab/>
        <w:t xml:space="preserve">: Ông  </w:t>
      </w:r>
      <w:r>
        <w:rPr>
          <w:b/>
          <w:bCs/>
          <w:sz w:val="26"/>
          <w:szCs w:val="26"/>
          <w:lang w:val="pt-BR"/>
        </w:rPr>
        <w:t>NGUYỄN ĐĂNG HOẠT</w:t>
      </w:r>
      <w:r>
        <w:rPr>
          <w:sz w:val="26"/>
          <w:szCs w:val="26"/>
          <w:lang w:val="pt-BR"/>
        </w:rPr>
        <w:tab/>
        <w:tab/>
        <w:t xml:space="preserve">Chức vụ: </w:t>
      </w:r>
      <w:r>
        <w:rPr>
          <w:b/>
          <w:bCs/>
          <w:sz w:val="26"/>
          <w:szCs w:val="26"/>
          <w:lang w:val="pt-BR"/>
        </w:rPr>
        <w:t>Phó Giám đốc</w:t>
      </w:r>
    </w:p>
    <w:p>
      <w:pPr>
        <w:pStyle w:val="Normal"/>
        <w:spacing w:lineRule="auto" w:line="312" w:before="60" w:after="0"/>
        <w:jc w:val="both"/>
        <w:rPr>
          <w:i/>
          <w:sz w:val="26"/>
          <w:szCs w:val="26"/>
          <w:lang w:val="pt-BR"/>
        </w:rPr>
      </w:pPr>
      <w:r>
        <w:rPr>
          <w:b/>
          <w:bCs/>
          <w:sz w:val="26"/>
          <w:szCs w:val="26"/>
          <w:lang w:val="pt-BR"/>
        </w:rPr>
        <w:t xml:space="preserve">                                   </w:t>
      </w:r>
      <w:r>
        <w:rPr>
          <w:i/>
          <w:sz w:val="26"/>
          <w:szCs w:val="26"/>
          <w:lang w:val="pt-BR"/>
        </w:rPr>
        <w:t>(Theo ủy quyền số 0108/2025/UQ-VN ký ngày 01/08/2025)</w:t>
      </w:r>
    </w:p>
    <w:p>
      <w:pPr>
        <w:pStyle w:val="Normal"/>
        <w:spacing w:lineRule="auto" w:line="312" w:before="60" w:after="0"/>
        <w:ind w:hanging="360" w:end="0"/>
        <w:jc w:val="both"/>
        <w:rPr>
          <w:sz w:val="26"/>
          <w:szCs w:val="26"/>
          <w:lang w:val="pt-BR"/>
        </w:rPr>
      </w:pPr>
      <w:bookmarkStart w:id="6" w:name="_Hlk216791283"/>
      <w:r>
        <w:rPr>
          <w:sz w:val="26"/>
          <w:szCs w:val="26"/>
          <w:lang w:val="pt-BR"/>
        </w:rPr>
        <w:t xml:space="preserve">      </w:t>
      </w:r>
      <w:r>
        <w:rPr>
          <w:sz w:val="26"/>
          <w:szCs w:val="26"/>
          <w:lang w:val="pt-BR"/>
        </w:rPr>
        <w:t>Địa chỉ</w:t>
        <w:tab/>
        <w:tab/>
        <w:t>: Số 51 ngõ 228 phố Lê Trọng Tấn, Phường Định Công, TP.Hà Nội.</w:t>
      </w:r>
    </w:p>
    <w:p>
      <w:pPr>
        <w:pStyle w:val="Normal"/>
        <w:spacing w:lineRule="auto" w:line="312" w:before="60" w:after="0"/>
        <w:jc w:val="both"/>
        <w:rPr>
          <w:sz w:val="26"/>
          <w:szCs w:val="26"/>
          <w:lang w:val="pt-BR"/>
        </w:rPr>
      </w:pPr>
      <w:r>
        <w:rPr>
          <w:sz w:val="26"/>
          <w:szCs w:val="26"/>
          <w:lang w:val="pt-BR"/>
        </w:rPr>
        <w:t>Điện thoại</w:t>
        <w:tab/>
        <w:tab/>
        <w:t>: 024 3537 5444</w:t>
      </w:r>
    </w:p>
    <w:p>
      <w:pPr>
        <w:pStyle w:val="Normal"/>
        <w:spacing w:lineRule="auto" w:line="312" w:before="60" w:after="0"/>
        <w:jc w:val="both"/>
        <w:rPr>
          <w:sz w:val="26"/>
          <w:szCs w:val="26"/>
          <w:lang w:val="pt-BR"/>
        </w:rPr>
      </w:pPr>
      <w:r>
        <w:rPr>
          <w:sz w:val="26"/>
          <w:szCs w:val="26"/>
          <w:lang w:val="pt-BR"/>
        </w:rPr>
        <w:t>Mã số thuế</w:t>
        <w:tab/>
        <w:tab/>
        <w:t>: 0101540844</w:t>
      </w:r>
    </w:p>
    <w:p>
      <w:pPr>
        <w:pStyle w:val="Normal"/>
        <w:spacing w:lineRule="auto" w:line="312" w:before="60" w:after="0"/>
        <w:jc w:val="both"/>
        <w:rPr>
          <w:sz w:val="26"/>
          <w:szCs w:val="26"/>
          <w:lang w:val="pt-BR"/>
        </w:rPr>
      </w:pPr>
      <w:r>
        <w:rPr>
          <w:sz w:val="26"/>
          <w:szCs w:val="26"/>
          <w:lang w:val="pt-BR"/>
        </w:rPr>
        <w:t>Tài khoản</w:t>
        <w:tab/>
        <w:tab/>
        <w:t>: 0331127666888</w:t>
      </w:r>
    </w:p>
    <w:p>
      <w:pPr>
        <w:pStyle w:val="Normal"/>
        <w:spacing w:lineRule="auto" w:line="312" w:before="60" w:after="0"/>
        <w:jc w:val="both"/>
        <w:rPr>
          <w:sz w:val="26"/>
          <w:szCs w:val="26"/>
          <w:lang w:val="pt-BR"/>
        </w:rPr>
      </w:pPr>
      <w:r>
        <w:rPr>
          <w:sz w:val="26"/>
          <w:szCs w:val="26"/>
          <w:lang w:val="pt-BR"/>
        </w:rPr>
        <w:t>Tại</w:t>
        <w:tab/>
        <w:tab/>
        <w:tab/>
        <w:t>: Ngân hàng TMCP Quân Đội - Chi nhánh Ba Đình.</w:t>
      </w:r>
    </w:p>
    <w:p>
      <w:pPr>
        <w:pStyle w:val="Normal"/>
        <w:spacing w:lineRule="auto" w:line="312" w:before="60" w:after="0"/>
        <w:jc w:val="both"/>
        <w:rPr>
          <w:sz w:val="26"/>
          <w:szCs w:val="26"/>
          <w:lang w:val="pt-BR"/>
        </w:rPr>
      </w:pPr>
      <w:r>
        <w:rPr>
          <w:sz w:val="26"/>
          <w:szCs w:val="26"/>
          <w:lang w:val="pt-BR"/>
        </w:rPr>
        <w:t>Mã NH</w:t>
        <w:tab/>
        <w:tab/>
        <w:t>: 01311033</w:t>
      </w:r>
    </w:p>
    <w:p>
      <w:pPr>
        <w:pStyle w:val="Normal"/>
        <w:spacing w:lineRule="auto" w:line="360"/>
        <w:jc w:val="both"/>
        <w:rPr>
          <w:sz w:val="26"/>
          <w:szCs w:val="26"/>
          <w:lang w:val="sv-SE"/>
        </w:rPr>
      </w:pPr>
      <w:bookmarkEnd w:id="6"/>
      <w:r>
        <w:rPr>
          <w:b/>
          <w:sz w:val="26"/>
          <w:szCs w:val="26"/>
          <w:u w:val="single"/>
          <w:lang w:val="sv-SE"/>
        </w:rPr>
        <w:t>Điều 1:</w:t>
      </w:r>
      <w:r>
        <w:rPr>
          <w:sz w:val="26"/>
          <w:szCs w:val="26"/>
          <w:lang w:val="sv-SE"/>
        </w:rPr>
        <w:t xml:space="preserve"> Bên B đã giao, bên A đã nhận toàn bộ các vật tư theo hợp đồng mua bán số: 1503/HĐKT/VN-BVĐKPT ngày 17 tháng 03 năm 2027 giữa Bệnh viện Đa khoa tỉnh Phú Thọ và Công ty TNHH Mô Phỏng Mock, Chi tiết như danh mục dưới đây:</w:t>
      </w:r>
    </w:p>
    <w:p>
      <w:pPr>
        <w:pStyle w:val="Normal"/>
        <w:numPr>
          <w:ilvl w:val="0"/>
          <w:numId w:val="2"/>
        </w:numPr>
        <w:spacing w:lineRule="auto" w:line="360" w:before="120" w:after="0"/>
        <w:jc w:val="both"/>
        <w:rPr>
          <w:bCs/>
          <w:i/>
          <w:iCs/>
          <w:color w:val="000000"/>
          <w:sz w:val="26"/>
          <w:szCs w:val="26"/>
          <w:lang w:val="nl-NL"/>
        </w:rPr>
      </w:pPr>
      <w:r>
        <w:rPr>
          <w:b/>
          <w:bCs/>
          <w:i/>
          <w:iCs/>
          <w:color w:val="000000"/>
          <w:sz w:val="26"/>
          <w:szCs w:val="26"/>
          <w:lang w:val="nl-NL"/>
        </w:rPr>
        <w:t>Bên B đã bàn giao cho bên A hàng hóa như sau:</w:t>
      </w:r>
    </w:p>
    <w:tbl>
      <w:tblPr>
        <w:tblW w:w="5000" w:type="pct"/>
        <w:jc w:val="center"/>
        <w:tblInd w:w="0" w:type="dxa"/>
        <w:tblLayout w:type="fixed"/>
        <w:tblCellMar>
          <w:top w:w="0" w:type="dxa"/>
          <w:start w:w="108" w:type="dxa"/>
          <w:bottom w:w="0" w:type="dxa"/>
          <w:end w:w="108" w:type="dxa"/>
        </w:tblCellMar>
      </w:tblPr>
      <w:tblGrid>
        <w:gridCol w:w="599"/>
        <w:gridCol w:w="1427"/>
        <w:gridCol w:w="1613"/>
        <w:gridCol w:w="1466"/>
        <w:gridCol w:w="611"/>
        <w:gridCol w:w="645"/>
        <w:gridCol w:w="722"/>
        <w:gridCol w:w="879"/>
        <w:gridCol w:w="1392"/>
      </w:tblGrid>
      <w:tr>
        <w:trPr>
          <w:tblHeader w:val="true"/>
          <w:trHeight w:val="332" w:hRule="atLeast"/>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1"/>
                <w:szCs w:val="21"/>
                <w:lang w:val="vi-VN" w:eastAsia="vi-VN"/>
              </w:rPr>
            </w:pPr>
            <w:r>
              <w:rPr>
                <w:b/>
                <w:bCs/>
                <w:sz w:val="21"/>
                <w:szCs w:val="21"/>
                <w:lang w:val="vi-VN" w:eastAsia="vi-VN"/>
              </w:rPr>
              <w:t>STT</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1"/>
                <w:szCs w:val="21"/>
                <w:lang w:val="vi-VN" w:eastAsia="vi-VN"/>
              </w:rPr>
            </w:pPr>
            <w:r>
              <w:rPr>
                <w:b/>
                <w:bCs/>
                <w:sz w:val="21"/>
                <w:szCs w:val="21"/>
                <w:lang w:val="vi-VN" w:eastAsia="vi-VN"/>
              </w:rPr>
              <w:t>Danh mục hàng hóa</w:t>
            </w:r>
          </w:p>
        </w:tc>
        <w:tc>
          <w:tcPr>
            <w:tcW w:w="16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1"/>
                <w:szCs w:val="21"/>
                <w:lang w:val="vi-VN" w:eastAsia="vi-VN"/>
              </w:rPr>
            </w:pPr>
            <w:r>
              <w:rPr>
                <w:b/>
                <w:bCs/>
                <w:sz w:val="21"/>
                <w:szCs w:val="21"/>
                <w:lang w:val="vi-VN" w:eastAsia="vi-VN"/>
              </w:rPr>
              <w:t>Ký mã hiệu</w:t>
            </w:r>
          </w:p>
        </w:tc>
        <w:tc>
          <w:tcPr>
            <w:tcW w:w="14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1"/>
                <w:szCs w:val="21"/>
                <w:lang w:val="vi-VN" w:eastAsia="vi-VN"/>
              </w:rPr>
            </w:pPr>
            <w:r>
              <w:rPr>
                <w:b/>
                <w:bCs/>
                <w:sz w:val="21"/>
                <w:szCs w:val="21"/>
                <w:lang w:val="vi-VN" w:eastAsia="vi-VN"/>
              </w:rPr>
              <w:t>Hãng, nước sản xuất</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1"/>
                <w:szCs w:val="21"/>
                <w:lang w:val="vi-VN" w:eastAsia="vi-VN"/>
              </w:rPr>
            </w:pPr>
            <w:r>
              <w:rPr>
                <w:b/>
                <w:bCs/>
                <w:sz w:val="21"/>
                <w:szCs w:val="21"/>
                <w:lang w:val="vi-VN" w:eastAsia="vi-VN"/>
              </w:rPr>
              <w:t>Quy cách</w:t>
            </w:r>
          </w:p>
        </w:tc>
        <w:tc>
          <w:tcPr>
            <w:tcW w:w="6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1"/>
                <w:szCs w:val="21"/>
                <w:lang w:val="vi-VN" w:eastAsia="vi-VN"/>
              </w:rPr>
            </w:pPr>
            <w:r>
              <w:rPr>
                <w:b/>
                <w:bCs/>
                <w:sz w:val="21"/>
                <w:szCs w:val="21"/>
                <w:lang w:val="vi-VN" w:eastAsia="vi-VN"/>
              </w:rPr>
              <w:t>ĐVT</w:t>
            </w:r>
          </w:p>
        </w:tc>
        <w:tc>
          <w:tcPr>
            <w:tcW w:w="7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1"/>
                <w:szCs w:val="21"/>
                <w:lang w:val="vi-VN" w:eastAsia="vi-VN"/>
              </w:rPr>
            </w:pPr>
            <w:r>
              <w:rPr>
                <w:b/>
                <w:bCs/>
                <w:sz w:val="21"/>
                <w:szCs w:val="21"/>
                <w:lang w:val="vi-VN" w:eastAsia="vi-VN"/>
              </w:rPr>
              <w:t>Khối lượng</w:t>
            </w:r>
          </w:p>
        </w:tc>
        <w:tc>
          <w:tcPr>
            <w:tcW w:w="8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1"/>
                <w:szCs w:val="21"/>
                <w:lang w:val="vi-VN" w:eastAsia="vi-VN"/>
              </w:rPr>
            </w:pPr>
            <w:r>
              <w:rPr>
                <w:b/>
                <w:bCs/>
                <w:sz w:val="21"/>
                <w:szCs w:val="21"/>
                <w:lang w:val="vi-VN" w:eastAsia="vi-VN"/>
              </w:rPr>
              <w:t>Đơn giá (Gồm VAT)</w:t>
            </w:r>
          </w:p>
        </w:tc>
        <w:tc>
          <w:tcPr>
            <w:tcW w:w="13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1"/>
                <w:szCs w:val="21"/>
                <w:lang w:val="vi-VN" w:eastAsia="vi-VN"/>
              </w:rPr>
            </w:pPr>
            <w:r>
              <w:rPr>
                <w:b/>
                <w:bCs/>
                <w:sz w:val="21"/>
                <w:szCs w:val="21"/>
                <w:lang w:val="vi-VN" w:eastAsia="vi-VN"/>
              </w:rPr>
              <w:t>Thành Tiền (Đồng)</w:t>
            </w:r>
          </w:p>
        </w:tc>
      </w:tr>
      <w:tr>
        <w:trPr>
          <w:trHeight w:val="264" w:hRule="atLeast"/>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color w:val="000000"/>
                <w:sz w:val="21"/>
                <w:szCs w:val="21"/>
              </w:rPr>
            </w:pPr>
            <w:r>
              <w:rPr>
                <w:color w:val="000000"/>
                <w:sz w:val="21"/>
                <w:szCs w:val="21"/>
              </w:rPr>
              <w:t>1</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color w:val="000000"/>
                <w:sz w:val="21"/>
                <w:szCs w:val="21"/>
              </w:rPr>
            </w:pPr>
            <w:r>
              <w:rPr>
                <w:sz w:val="21"/>
                <w:szCs w:val="21"/>
                <w:lang w:val="vi-VN" w:eastAsia="vi-VN"/>
              </w:rPr>
              <w:t>Bộ xét nghiệm định lượng virus viêm gan B</w:t>
            </w:r>
          </w:p>
        </w:tc>
        <w:tc>
          <w:tcPr>
            <w:tcW w:w="16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1"/>
                <w:szCs w:val="21"/>
              </w:rPr>
            </w:pPr>
            <w:r>
              <w:rPr>
                <w:color w:val="000000"/>
                <w:sz w:val="21"/>
                <w:szCs w:val="21"/>
              </w:rPr>
              <w:t>HBV ELITe MGB® Kit /RTK602ING</w:t>
            </w:r>
          </w:p>
        </w:tc>
        <w:tc>
          <w:tcPr>
            <w:tcW w:w="14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szCs w:val="21"/>
              </w:rPr>
            </w:pPr>
            <w:r>
              <w:rPr>
                <w:sz w:val="21"/>
                <w:szCs w:val="21"/>
              </w:rPr>
              <w:t xml:space="preserve">ELITechGroup S.p.A./ </w:t>
            </w:r>
            <w:r>
              <w:rPr>
                <w:color w:val="000000"/>
                <w:sz w:val="21"/>
                <w:szCs w:val="21"/>
              </w:rPr>
              <w:t>Italy</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1"/>
                <w:szCs w:val="21"/>
                <w:lang w:val="vi-VN" w:eastAsia="vi-VN"/>
              </w:rPr>
            </w:pPr>
            <w:r>
              <w:rPr>
                <w:sz w:val="21"/>
                <w:szCs w:val="21"/>
                <w:lang w:val="vi-VN" w:eastAsia="vi-VN"/>
              </w:rPr>
              <w:t>96 test/</w:t>
            </w:r>
          </w:p>
          <w:p>
            <w:pPr>
              <w:pStyle w:val="Normal"/>
              <w:spacing w:lineRule="auto" w:line="312"/>
              <w:jc w:val="center"/>
              <w:rPr>
                <w:color w:val="000000"/>
                <w:sz w:val="21"/>
                <w:szCs w:val="21"/>
              </w:rPr>
            </w:pPr>
            <w:r>
              <w:rPr>
                <w:sz w:val="21"/>
                <w:szCs w:val="21"/>
                <w:lang w:val="vi-VN" w:eastAsia="vi-VN"/>
              </w:rPr>
              <w:t>Hộp</w:t>
            </w:r>
          </w:p>
        </w:tc>
        <w:tc>
          <w:tcPr>
            <w:tcW w:w="6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color w:val="000000"/>
                <w:sz w:val="21"/>
                <w:szCs w:val="21"/>
              </w:rPr>
            </w:pPr>
            <w:r>
              <w:rPr>
                <w:sz w:val="21"/>
                <w:szCs w:val="21"/>
                <w:lang w:val="vi-VN" w:eastAsia="vi-VN"/>
              </w:rPr>
              <w:t>Test</w:t>
            </w:r>
          </w:p>
        </w:tc>
        <w:tc>
          <w:tcPr>
            <w:tcW w:w="7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color w:val="000000"/>
                <w:sz w:val="21"/>
                <w:szCs w:val="21"/>
              </w:rPr>
            </w:pPr>
            <w:r>
              <w:rPr>
                <w:sz w:val="21"/>
                <w:szCs w:val="21"/>
                <w:lang w:val="vi-VN" w:eastAsia="vi-VN"/>
              </w:rPr>
              <w:t>4.320</w:t>
            </w:r>
          </w:p>
        </w:tc>
        <w:tc>
          <w:tcPr>
            <w:tcW w:w="8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color w:val="000000"/>
                <w:sz w:val="21"/>
                <w:szCs w:val="21"/>
              </w:rPr>
            </w:pPr>
            <w:r>
              <w:rPr>
                <w:sz w:val="21"/>
                <w:szCs w:val="21"/>
                <w:lang w:val="vi-VN" w:eastAsia="vi-VN"/>
              </w:rPr>
              <w:t>354.375</w:t>
            </w:r>
          </w:p>
        </w:tc>
        <w:tc>
          <w:tcPr>
            <w:tcW w:w="13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color w:val="000000"/>
                <w:sz w:val="21"/>
                <w:szCs w:val="21"/>
              </w:rPr>
            </w:pPr>
            <w:r>
              <w:rPr>
                <w:sz w:val="21"/>
                <w:szCs w:val="21"/>
                <w:lang w:val="vi-VN" w:eastAsia="vi-VN"/>
              </w:rPr>
              <w:t>1.530.900.000</w:t>
            </w:r>
          </w:p>
        </w:tc>
      </w:tr>
      <w:tr>
        <w:trPr>
          <w:trHeight w:val="264" w:hRule="atLeast"/>
        </w:trPr>
        <w:tc>
          <w:tcPr>
            <w:tcW w:w="5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color w:val="000000"/>
                <w:sz w:val="21"/>
                <w:szCs w:val="21"/>
              </w:rPr>
            </w:pPr>
            <w:r>
              <w:rPr>
                <w:color w:val="000000"/>
                <w:sz w:val="21"/>
                <w:szCs w:val="21"/>
              </w:rPr>
              <w:t>2</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color w:val="000000"/>
                <w:sz w:val="21"/>
                <w:szCs w:val="21"/>
              </w:rPr>
            </w:pPr>
            <w:r>
              <w:rPr>
                <w:sz w:val="21"/>
                <w:szCs w:val="21"/>
                <w:lang w:val="vi-VN" w:eastAsia="vi-VN"/>
              </w:rPr>
              <w:t>Bộ xét nghiệm định lượng virus viêm gan C</w:t>
            </w:r>
          </w:p>
        </w:tc>
        <w:tc>
          <w:tcPr>
            <w:tcW w:w="1613" w:type="dxa"/>
            <w:tcBorders>
              <w:start w:val="single" w:sz="4" w:space="0" w:color="000000"/>
              <w:bottom w:val="single" w:sz="4" w:space="0" w:color="000000"/>
              <w:end w:val="single" w:sz="4" w:space="0" w:color="000000"/>
            </w:tcBorders>
            <w:vAlign w:val="center"/>
          </w:tcPr>
          <w:p>
            <w:pPr>
              <w:pStyle w:val="Normal"/>
              <w:jc w:val="center"/>
              <w:rPr>
                <w:color w:val="000000"/>
                <w:sz w:val="21"/>
                <w:szCs w:val="21"/>
              </w:rPr>
            </w:pPr>
            <w:r>
              <w:rPr>
                <w:color w:val="000000"/>
                <w:sz w:val="21"/>
                <w:szCs w:val="21"/>
              </w:rPr>
              <w:t>HCV ELITe MGB® Kit/RTK601ING</w:t>
            </w:r>
          </w:p>
        </w:tc>
        <w:tc>
          <w:tcPr>
            <w:tcW w:w="1466" w:type="dxa"/>
            <w:tcBorders>
              <w:start w:val="single" w:sz="4" w:space="0" w:color="000000"/>
              <w:bottom w:val="single" w:sz="4" w:space="0" w:color="000000"/>
              <w:end w:val="single" w:sz="4" w:space="0" w:color="000000"/>
            </w:tcBorders>
            <w:vAlign w:val="center"/>
          </w:tcPr>
          <w:p>
            <w:pPr>
              <w:pStyle w:val="Normal"/>
              <w:jc w:val="center"/>
              <w:rPr>
                <w:sz w:val="21"/>
                <w:szCs w:val="21"/>
              </w:rPr>
            </w:pPr>
            <w:r>
              <w:rPr>
                <w:sz w:val="21"/>
                <w:szCs w:val="21"/>
              </w:rPr>
              <w:t xml:space="preserve">ELITechGroup S.p.A./ </w:t>
            </w:r>
            <w:r>
              <w:rPr>
                <w:color w:val="000000"/>
                <w:sz w:val="21"/>
                <w:szCs w:val="21"/>
              </w:rPr>
              <w:t>Italy</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1"/>
                <w:szCs w:val="21"/>
                <w:lang w:val="vi-VN" w:eastAsia="vi-VN"/>
              </w:rPr>
            </w:pPr>
            <w:r>
              <w:rPr>
                <w:sz w:val="21"/>
                <w:szCs w:val="21"/>
                <w:lang w:val="vi-VN" w:eastAsia="vi-VN"/>
              </w:rPr>
              <w:t>96 test/</w:t>
            </w:r>
          </w:p>
          <w:p>
            <w:pPr>
              <w:pStyle w:val="Normal"/>
              <w:spacing w:lineRule="auto" w:line="312"/>
              <w:jc w:val="center"/>
              <w:rPr>
                <w:color w:val="000000"/>
                <w:sz w:val="21"/>
                <w:szCs w:val="21"/>
              </w:rPr>
            </w:pPr>
            <w:r>
              <w:rPr>
                <w:sz w:val="21"/>
                <w:szCs w:val="21"/>
                <w:lang w:val="vi-VN" w:eastAsia="vi-VN"/>
              </w:rPr>
              <w:t>Hộp</w:t>
            </w:r>
          </w:p>
        </w:tc>
        <w:tc>
          <w:tcPr>
            <w:tcW w:w="6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color w:val="000000"/>
                <w:sz w:val="21"/>
                <w:szCs w:val="21"/>
              </w:rPr>
            </w:pPr>
            <w:r>
              <w:rPr>
                <w:sz w:val="21"/>
                <w:szCs w:val="21"/>
                <w:lang w:val="vi-VN" w:eastAsia="vi-VN"/>
              </w:rPr>
              <w:t>Test</w:t>
            </w:r>
          </w:p>
        </w:tc>
        <w:tc>
          <w:tcPr>
            <w:tcW w:w="7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color w:val="000000"/>
                <w:sz w:val="21"/>
                <w:szCs w:val="21"/>
              </w:rPr>
            </w:pPr>
            <w:r>
              <w:rPr>
                <w:sz w:val="21"/>
                <w:szCs w:val="21"/>
                <w:lang w:val="vi-VN" w:eastAsia="vi-VN"/>
              </w:rPr>
              <w:t>960</w:t>
            </w:r>
          </w:p>
        </w:tc>
        <w:tc>
          <w:tcPr>
            <w:tcW w:w="8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color w:val="000000"/>
                <w:sz w:val="21"/>
                <w:szCs w:val="21"/>
              </w:rPr>
            </w:pPr>
            <w:r>
              <w:rPr>
                <w:sz w:val="21"/>
                <w:szCs w:val="21"/>
                <w:lang w:val="vi-VN" w:eastAsia="vi-VN"/>
              </w:rPr>
              <w:t>433.125</w:t>
            </w:r>
          </w:p>
        </w:tc>
        <w:tc>
          <w:tcPr>
            <w:tcW w:w="13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end"/>
              <w:rPr>
                <w:color w:val="000000"/>
                <w:sz w:val="21"/>
                <w:szCs w:val="21"/>
              </w:rPr>
            </w:pPr>
            <w:r>
              <w:rPr>
                <w:sz w:val="21"/>
                <w:szCs w:val="21"/>
                <w:lang w:val="vi-VN" w:eastAsia="vi-VN"/>
              </w:rPr>
              <w:t>415.800.000</w:t>
            </w:r>
          </w:p>
        </w:tc>
      </w:tr>
      <w:tr>
        <w:trPr>
          <w:trHeight w:val="119" w:hRule="atLeast"/>
        </w:trPr>
        <w:tc>
          <w:tcPr>
            <w:tcW w:w="7962"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1"/>
                <w:szCs w:val="21"/>
                <w:lang w:val="vi-VN" w:eastAsia="vi-VN"/>
              </w:rPr>
            </w:pPr>
            <w:r>
              <w:rPr>
                <w:b/>
                <w:sz w:val="21"/>
                <w:szCs w:val="21"/>
                <w:lang w:val="vi-VN" w:eastAsia="vi-VN"/>
              </w:rPr>
              <w:t>Tổng cộng</w:t>
            </w:r>
            <w:r>
              <w:rPr>
                <w:b/>
                <w:sz w:val="21"/>
                <w:szCs w:val="21"/>
                <w:lang w:val="vi-VN" w:eastAsia="vi-VN"/>
              </w:rPr>
              <w:t>:</w:t>
            </w:r>
          </w:p>
          <w:p>
            <w:pPr>
              <w:pStyle w:val="Normal"/>
              <w:spacing w:lineRule="auto" w:line="312"/>
              <w:jc w:val="center"/>
              <w:rPr>
                <w:sz w:val="21"/>
                <w:szCs w:val="21"/>
              </w:rPr>
            </w:pPr>
            <w:r>
              <w:rPr>
                <w:b/>
                <w:sz w:val="21"/>
                <w:szCs w:val="21"/>
                <w:lang w:val="vi-VN" w:eastAsia="vi-VN"/>
              </w:rPr>
              <w:t xml:space="preserve">Bằng chữ: </w:t>
            </w:r>
            <w:r>
              <w:rPr>
                <w:b/>
                <w:sz w:val="21"/>
                <w:szCs w:val="21"/>
                <w:lang w:val="vi-VN" w:eastAsia="vi-VN"/>
              </w:rPr>
              <w:t>Một tỷ, chín trăm bốn mươi sáu triệu, bảy trăm nghìn đồng./.</w:t>
            </w:r>
          </w:p>
        </w:tc>
        <w:tc>
          <w:tcPr>
            <w:tcW w:w="13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sz w:val="21"/>
                <w:szCs w:val="21"/>
              </w:rPr>
            </w:pPr>
            <w:r>
              <w:fldChar w:fldCharType="begin"/>
            </w:r>
            <w:r>
              <w:rPr>
                <w:b/>
                <w:sz w:val="21"/>
                <w:szCs w:val="21"/>
                <w:lang w:val="vi-VN" w:eastAsia="vi-VN"/>
              </w:rPr>
              <w:instrText xml:space="preserve"> =SUM(ABOVE) </w:instrText>
            </w:r>
            <w:r>
              <w:rPr>
                <w:b/>
                <w:sz w:val="21"/>
                <w:szCs w:val="21"/>
                <w:lang w:val="vi-VN" w:eastAsia="vi-VN"/>
              </w:rPr>
            </w:r>
            <w:r>
              <w:rPr>
                <w:b/>
                <w:sz w:val="21"/>
                <w:szCs w:val="21"/>
                <w:lang w:val="vi-VN" w:eastAsia="vi-VN"/>
              </w:rPr>
              <w:fldChar w:fldCharType="separate"/>
            </w:r>
            <w:r>
              <w:rPr>
                <w:b/>
                <w:sz w:val="21"/>
                <w:szCs w:val="21"/>
                <w:lang w:val="vi-VN" w:eastAsia="vi-VN"/>
              </w:rPr>
              <w:t>1.946.700.000</w:t>
            </w:r>
            <w:r/>
            <w:r>
              <w:rPr>
                <w:b/>
                <w:sz w:val="21"/>
                <w:szCs w:val="21"/>
                <w:lang w:val="vi-VN" w:eastAsia="vi-VN"/>
              </w:rPr>
              <w:fldChar w:fldCharType="end"/>
            </w:r>
            <w:r>
              <w:rPr>
                <w:b/>
                <w:sz w:val="21"/>
                <w:szCs w:val="21"/>
                <w:lang w:val="vi-VN" w:eastAsia="vi-VN"/>
              </w:rPr>
            </w:r>
          </w:p>
        </w:tc>
      </w:tr>
    </w:tbl>
    <w:p>
      <w:pPr>
        <w:pStyle w:val="Normal"/>
        <w:numPr>
          <w:ilvl w:val="0"/>
          <w:numId w:val="2"/>
        </w:numPr>
        <w:suppressAutoHyphens w:val="true"/>
        <w:spacing w:lineRule="auto" w:line="360" w:before="0" w:after="0"/>
        <w:contextualSpacing/>
        <w:jc w:val="both"/>
        <w:rPr>
          <w:b/>
          <w:color w:val="000000"/>
          <w:sz w:val="26"/>
          <w:szCs w:val="26"/>
          <w:lang w:val="nl-NL"/>
        </w:rPr>
      </w:pPr>
      <w:r>
        <w:rPr>
          <w:b/>
          <w:color w:val="000000"/>
          <w:sz w:val="26"/>
          <w:szCs w:val="26"/>
          <w:lang w:val="nl-NL"/>
        </w:rPr>
        <w:t>Hóa đơn bên B bàn giao cho bên A cụ thể như sau:</w:t>
      </w:r>
    </w:p>
    <w:tbl>
      <w:tblPr>
        <w:tblW w:w="5000" w:type="pct"/>
        <w:jc w:val="start"/>
        <w:tblInd w:w="0" w:type="dxa"/>
        <w:tblLayout w:type="fixed"/>
        <w:tblCellMar>
          <w:top w:w="0" w:type="dxa"/>
          <w:start w:w="108" w:type="dxa"/>
          <w:bottom w:w="0" w:type="dxa"/>
          <w:end w:w="108" w:type="dxa"/>
        </w:tblCellMar>
      </w:tblPr>
      <w:tblGrid>
        <w:gridCol w:w="761"/>
        <w:gridCol w:w="2495"/>
        <w:gridCol w:w="1572"/>
        <w:gridCol w:w="3336"/>
        <w:gridCol w:w="1190"/>
      </w:tblGrid>
      <w:tr>
        <w:trPr>
          <w:trHeight w:val="327"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6"/>
                <w:szCs w:val="26"/>
              </w:rPr>
            </w:pPr>
            <w:r>
              <w:rPr>
                <w:b/>
                <w:bCs/>
                <w:color w:val="000000"/>
                <w:sz w:val="26"/>
                <w:szCs w:val="26"/>
              </w:rPr>
              <w:t>STT</w:t>
            </w:r>
          </w:p>
        </w:tc>
        <w:tc>
          <w:tcPr>
            <w:tcW w:w="2495" w:type="dxa"/>
            <w:tcBorders>
              <w:top w:val="single" w:sz="4" w:space="0" w:color="000000"/>
              <w:bottom w:val="single" w:sz="4" w:space="0" w:color="000000"/>
              <w:end w:val="single" w:sz="4" w:space="0" w:color="000000"/>
            </w:tcBorders>
            <w:vAlign w:val="center"/>
          </w:tcPr>
          <w:p>
            <w:pPr>
              <w:pStyle w:val="Normal"/>
              <w:jc w:val="center"/>
              <w:rPr>
                <w:b/>
                <w:bCs/>
                <w:color w:val="000000"/>
                <w:sz w:val="26"/>
                <w:szCs w:val="26"/>
              </w:rPr>
            </w:pPr>
            <w:r>
              <w:rPr>
                <w:b/>
                <w:bCs/>
                <w:color w:val="000000"/>
                <w:sz w:val="26"/>
                <w:szCs w:val="26"/>
              </w:rPr>
              <w:t>Ngày xuất hóa đơn</w:t>
            </w:r>
          </w:p>
        </w:tc>
        <w:tc>
          <w:tcPr>
            <w:tcW w:w="1572" w:type="dxa"/>
            <w:tcBorders>
              <w:top w:val="single" w:sz="4" w:space="0" w:color="000000"/>
              <w:bottom w:val="single" w:sz="4" w:space="0" w:color="000000"/>
              <w:end w:val="single" w:sz="4" w:space="0" w:color="000000"/>
            </w:tcBorders>
            <w:vAlign w:val="center"/>
          </w:tcPr>
          <w:p>
            <w:pPr>
              <w:pStyle w:val="Normal"/>
              <w:jc w:val="center"/>
              <w:rPr>
                <w:b/>
                <w:bCs/>
                <w:color w:val="000000"/>
                <w:sz w:val="26"/>
                <w:szCs w:val="26"/>
              </w:rPr>
            </w:pPr>
            <w:r>
              <w:rPr>
                <w:b/>
                <w:bCs/>
                <w:color w:val="000000"/>
                <w:sz w:val="26"/>
                <w:szCs w:val="26"/>
              </w:rPr>
              <w:t>Số hóa đơn</w:t>
            </w:r>
          </w:p>
        </w:tc>
        <w:tc>
          <w:tcPr>
            <w:tcW w:w="3336" w:type="dxa"/>
            <w:tcBorders>
              <w:top w:val="single" w:sz="4" w:space="0" w:color="000000"/>
              <w:bottom w:val="single" w:sz="4" w:space="0" w:color="000000"/>
              <w:end w:val="single" w:sz="4" w:space="0" w:color="000000"/>
            </w:tcBorders>
            <w:vAlign w:val="center"/>
          </w:tcPr>
          <w:p>
            <w:pPr>
              <w:pStyle w:val="Normal"/>
              <w:jc w:val="center"/>
              <w:rPr>
                <w:b/>
                <w:bCs/>
                <w:color w:val="000000"/>
                <w:sz w:val="26"/>
                <w:szCs w:val="26"/>
              </w:rPr>
            </w:pPr>
            <w:r>
              <w:rPr>
                <w:b/>
                <w:bCs/>
                <w:color w:val="000000"/>
                <w:sz w:val="26"/>
                <w:szCs w:val="26"/>
              </w:rPr>
              <w:t>Tổng tiền đã có thuế VAT</w:t>
            </w:r>
          </w:p>
        </w:tc>
        <w:tc>
          <w:tcPr>
            <w:tcW w:w="1190" w:type="dxa"/>
            <w:tcBorders>
              <w:top w:val="single" w:sz="4" w:space="0" w:color="000000"/>
              <w:bottom w:val="single" w:sz="4" w:space="0" w:color="000000"/>
              <w:end w:val="single" w:sz="4" w:space="0" w:color="000000"/>
            </w:tcBorders>
            <w:vAlign w:val="center"/>
          </w:tcPr>
          <w:p>
            <w:pPr>
              <w:pStyle w:val="Normal"/>
              <w:jc w:val="center"/>
              <w:rPr>
                <w:b/>
                <w:bCs/>
                <w:color w:val="000000"/>
                <w:sz w:val="26"/>
                <w:szCs w:val="26"/>
              </w:rPr>
            </w:pPr>
            <w:r>
              <w:rPr>
                <w:b/>
                <w:bCs/>
                <w:color w:val="000000"/>
                <w:sz w:val="26"/>
                <w:szCs w:val="26"/>
              </w:rPr>
              <w:t>Ghi chú</w:t>
            </w:r>
          </w:p>
        </w:tc>
      </w:tr>
      <w:tr>
        <w:trPr>
          <w:trHeight w:val="354"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1</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09/04/2027</w:t>
            </w:r>
          </w:p>
        </w:tc>
        <w:tc>
          <w:tcPr>
            <w:tcW w:w="15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1342</w:t>
            </w:r>
          </w:p>
        </w:tc>
        <w:tc>
          <w:tcPr>
            <w:tcW w:w="33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321.300.000</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r>
      <w:tr>
        <w:trPr>
          <w:trHeight w:val="354"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2</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04/05/2027</w:t>
            </w:r>
          </w:p>
        </w:tc>
        <w:tc>
          <w:tcPr>
            <w:tcW w:w="15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1680</w:t>
            </w:r>
          </w:p>
        </w:tc>
        <w:tc>
          <w:tcPr>
            <w:tcW w:w="33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313.740.000</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r>
      <w:tr>
        <w:trPr>
          <w:trHeight w:val="354"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3</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08/06/2027</w:t>
            </w:r>
          </w:p>
        </w:tc>
        <w:tc>
          <w:tcPr>
            <w:tcW w:w="15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2324</w:t>
            </w:r>
          </w:p>
        </w:tc>
        <w:tc>
          <w:tcPr>
            <w:tcW w:w="33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355.320.000</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r>
      <w:tr>
        <w:trPr>
          <w:trHeight w:val="345"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4</w:t>
            </w:r>
          </w:p>
        </w:tc>
        <w:tc>
          <w:tcPr>
            <w:tcW w:w="24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02/07/2027</w:t>
            </w:r>
          </w:p>
        </w:tc>
        <w:tc>
          <w:tcPr>
            <w:tcW w:w="15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2711</w:t>
            </w:r>
          </w:p>
        </w:tc>
        <w:tc>
          <w:tcPr>
            <w:tcW w:w="333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956.340.000</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r>
      <w:tr>
        <w:trPr>
          <w:trHeight w:val="354" w:hRule="atLeast"/>
        </w:trPr>
        <w:tc>
          <w:tcPr>
            <w:tcW w:w="7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5</w:t>
            </w:r>
          </w:p>
        </w:tc>
        <w:tc>
          <w:tcPr>
            <w:tcW w:w="4067" w:type="dxa"/>
            <w:gridSpan w:val="2"/>
            <w:tcBorders>
              <w:top w:val="single" w:sz="4" w:space="0" w:color="000000"/>
              <w:bottom w:val="single" w:sz="4" w:space="0" w:color="000000"/>
              <w:end w:val="single" w:sz="4" w:space="0" w:color="000000"/>
            </w:tcBorders>
            <w:vAlign w:val="center"/>
          </w:tcPr>
          <w:p>
            <w:pPr>
              <w:pStyle w:val="Normal"/>
              <w:jc w:val="center"/>
              <w:rPr>
                <w:b/>
                <w:sz w:val="26"/>
                <w:szCs w:val="26"/>
              </w:rPr>
            </w:pPr>
            <w:r>
              <w:rPr>
                <w:b/>
                <w:sz w:val="26"/>
                <w:szCs w:val="26"/>
              </w:rPr>
              <w:t>Tổng tiền</w:t>
            </w:r>
          </w:p>
        </w:tc>
        <w:tc>
          <w:tcPr>
            <w:tcW w:w="3336" w:type="dxa"/>
            <w:tcBorders>
              <w:top w:val="single" w:sz="4" w:space="0" w:color="000000"/>
              <w:bottom w:val="single" w:sz="4" w:space="0" w:color="000000"/>
              <w:end w:val="single" w:sz="4" w:space="0" w:color="000000"/>
            </w:tcBorders>
            <w:vAlign w:val="center"/>
          </w:tcPr>
          <w:p>
            <w:pPr>
              <w:pStyle w:val="Normal"/>
              <w:jc w:val="center"/>
              <w:rPr>
                <w:b/>
                <w:bCs/>
                <w:sz w:val="26"/>
                <w:szCs w:val="26"/>
              </w:rPr>
            </w:pPr>
            <w:r>
              <w:fldChar w:fldCharType="begin"/>
            </w:r>
            <w:r>
              <w:rPr>
                <w:b/>
                <w:bCs/>
                <w:sz w:val="26"/>
                <w:szCs w:val="26"/>
                <w:lang w:val="vi-VN" w:eastAsia="vi-VN"/>
              </w:rPr>
              <w:instrText xml:space="preserve"> =SUM(ABOVE) </w:instrText>
            </w:r>
            <w:r>
              <w:rPr>
                <w:b/>
                <w:bCs/>
                <w:sz w:val="26"/>
                <w:szCs w:val="26"/>
                <w:lang w:val="vi-VN" w:eastAsia="vi-VN"/>
              </w:rPr>
            </w:r>
            <w:r>
              <w:rPr>
                <w:b/>
                <w:bCs/>
                <w:sz w:val="26"/>
                <w:szCs w:val="26"/>
                <w:lang w:val="vi-VN" w:eastAsia="vi-VN"/>
              </w:rPr>
              <w:fldChar w:fldCharType="separate"/>
            </w:r>
            <w:r>
              <w:rPr>
                <w:b/>
                <w:bCs/>
                <w:sz w:val="26"/>
                <w:szCs w:val="26"/>
                <w:lang w:val="vi-VN" w:eastAsia="vi-VN"/>
              </w:rPr>
              <w:t>1.946.700.000</w:t>
            </w:r>
            <w:r/>
            <w:r>
              <w:rPr>
                <w:b/>
                <w:bCs/>
                <w:sz w:val="26"/>
                <w:szCs w:val="26"/>
                <w:lang w:val="vi-VN" w:eastAsia="vi-VN"/>
              </w:rPr>
              <w:fldChar w:fldCharType="end"/>
            </w:r>
            <w:r>
              <w:rPr>
                <w:b/>
                <w:bCs/>
                <w:sz w:val="26"/>
                <w:szCs w:val="26"/>
                <w:lang w:val="vi-VN" w:eastAsia="vi-VN"/>
              </w:rPr>
            </w:r>
          </w:p>
        </w:tc>
        <w:tc>
          <w:tcPr>
            <w:tcW w:w="1190" w:type="dxa"/>
            <w:tcBorders>
              <w:top w:val="single" w:sz="4" w:space="0" w:color="000000"/>
              <w:bottom w:val="single" w:sz="4" w:space="0" w:color="000000"/>
              <w:end w:val="single" w:sz="4" w:space="0" w:color="000000"/>
            </w:tcBorders>
            <w:vAlign w:val="center"/>
          </w:tcPr>
          <w:p>
            <w:pPr>
              <w:pStyle w:val="Normal"/>
              <w:snapToGrid w:val="false"/>
              <w:jc w:val="center"/>
              <w:rPr>
                <w:sz w:val="26"/>
                <w:szCs w:val="26"/>
              </w:rPr>
            </w:pPr>
            <w:r>
              <w:rPr>
                <w:b/>
                <w:bCs/>
                <w:sz w:val="26"/>
                <w:szCs w:val="26"/>
              </w:rPr>
            </w:r>
          </w:p>
        </w:tc>
      </w:tr>
      <w:tr>
        <w:trPr>
          <w:trHeight w:val="380" w:hRule="atLeast"/>
        </w:trPr>
        <w:tc>
          <w:tcPr>
            <w:tcW w:w="9354"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center"/>
              <w:rPr>
                <w:b/>
                <w:color w:val="000000"/>
                <w:sz w:val="26"/>
                <w:szCs w:val="26"/>
              </w:rPr>
            </w:pPr>
            <w:r>
              <w:rPr>
                <w:b/>
                <w:color w:val="000000"/>
                <w:sz w:val="26"/>
                <w:szCs w:val="26"/>
              </w:rPr>
              <w:t>Bằng chữ : Một tỷ, chín trăm bốn mươi sáu triệu, bảy trăm nghìn đồng./.</w:t>
            </w:r>
          </w:p>
        </w:tc>
      </w:tr>
    </w:tbl>
    <w:p>
      <w:pPr>
        <w:pStyle w:val="Normal"/>
        <w:spacing w:lineRule="auto" w:line="360"/>
        <w:jc w:val="both"/>
        <w:rPr>
          <w:sz w:val="26"/>
          <w:szCs w:val="26"/>
          <w:lang w:val="nl-NL"/>
        </w:rPr>
      </w:pPr>
      <w:r>
        <w:rPr>
          <w:b/>
          <w:sz w:val="26"/>
          <w:szCs w:val="26"/>
          <w:u w:val="single"/>
          <w:lang w:val="nl-NL"/>
        </w:rPr>
        <w:t>Điều 2:</w:t>
      </w:r>
      <w:r>
        <w:rPr>
          <w:sz w:val="26"/>
          <w:szCs w:val="26"/>
          <w:lang w:val="nl-NL"/>
        </w:rPr>
        <w:t xml:space="preserve"> Giá trị hợp đồng, nghiệm thu :</w:t>
      </w:r>
    </w:p>
    <w:p>
      <w:pPr>
        <w:pStyle w:val="Normal"/>
        <w:spacing w:lineRule="auto" w:line="360"/>
        <w:jc w:val="both"/>
        <w:rPr>
          <w:sz w:val="26"/>
          <w:szCs w:val="26"/>
          <w:lang w:val="nl-NL"/>
        </w:rPr>
      </w:pPr>
      <w:r>
        <w:rPr>
          <w:sz w:val="26"/>
          <w:szCs w:val="26"/>
          <w:lang w:val="nl-NL"/>
        </w:rPr>
        <w:t xml:space="preserve"> </w:t>
      </w:r>
      <w:r>
        <w:rPr>
          <w:sz w:val="26"/>
          <w:szCs w:val="26"/>
          <w:lang w:val="nl-NL"/>
        </w:rPr>
        <w:t>- Tổng giá trị hợp đồng: 1.946.700.000 VND.</w:t>
      </w:r>
    </w:p>
    <w:p>
      <w:pPr>
        <w:pStyle w:val="Normal"/>
        <w:spacing w:lineRule="auto" w:line="360"/>
        <w:jc w:val="both"/>
        <w:rPr>
          <w:sz w:val="26"/>
          <w:szCs w:val="26"/>
          <w:lang w:val="nl-NL"/>
        </w:rPr>
      </w:pPr>
      <w:r>
        <w:rPr>
          <w:sz w:val="26"/>
          <w:szCs w:val="26"/>
          <w:lang w:val="nl-NL"/>
        </w:rPr>
        <w:t>(Bằng chữ : Một tỷ, chín trăm bốn mươi sáu triệu, bảy trăm nghìn đồng./.)</w:t>
      </w:r>
    </w:p>
    <w:p>
      <w:pPr>
        <w:pStyle w:val="Normal"/>
        <w:spacing w:lineRule="auto" w:line="360"/>
        <w:jc w:val="both"/>
        <w:rPr>
          <w:sz w:val="26"/>
          <w:szCs w:val="26"/>
          <w:lang w:val="nl-NL"/>
        </w:rPr>
      </w:pPr>
      <w:r>
        <w:rPr>
          <w:sz w:val="26"/>
          <w:szCs w:val="26"/>
          <w:lang w:val="nl-NL"/>
        </w:rPr>
        <w:t xml:space="preserve"> </w:t>
      </w:r>
      <w:r>
        <w:rPr>
          <w:sz w:val="26"/>
          <w:szCs w:val="26"/>
          <w:lang w:val="nl-NL"/>
        </w:rPr>
        <w:t xml:space="preserve">- Giá trị nghiệm thu bàn giao lần này: </w:t>
      </w:r>
      <w:r>
        <w:rPr>
          <w:bCs/>
          <w:color w:val="000000"/>
          <w:sz w:val="26"/>
          <w:szCs w:val="26"/>
          <w:lang w:val="nl-NL"/>
        </w:rPr>
        <w:t xml:space="preserve">1.946.700.000 </w:t>
      </w:r>
      <w:r>
        <w:rPr>
          <w:sz w:val="26"/>
          <w:szCs w:val="26"/>
          <w:lang w:val="nl-NL"/>
        </w:rPr>
        <w:t>VND.</w:t>
      </w:r>
    </w:p>
    <w:p>
      <w:pPr>
        <w:pStyle w:val="Normal"/>
        <w:spacing w:lineRule="auto" w:line="360"/>
        <w:jc w:val="both"/>
        <w:rPr>
          <w:sz w:val="26"/>
          <w:szCs w:val="26"/>
          <w:lang w:val="nl-NL"/>
        </w:rPr>
      </w:pPr>
      <w:r>
        <w:rPr>
          <w:sz w:val="26"/>
          <w:szCs w:val="26"/>
          <w:lang w:val="nl-NL"/>
        </w:rPr>
        <w:t>(Bằng chữ : Một tỷ, chín trăm bốn mươi sáu triệu, bảy trăm nghìn đồng./.)</w:t>
      </w:r>
    </w:p>
    <w:p>
      <w:pPr>
        <w:pStyle w:val="Normal"/>
        <w:spacing w:lineRule="auto" w:line="360"/>
        <w:jc w:val="both"/>
        <w:rPr>
          <w:sz w:val="26"/>
          <w:szCs w:val="26"/>
          <w:lang w:val="nl-NL"/>
        </w:rPr>
      </w:pPr>
      <w:r>
        <w:rPr>
          <w:b/>
          <w:sz w:val="26"/>
          <w:szCs w:val="26"/>
          <w:u w:val="single"/>
          <w:lang w:val="nl-NL"/>
        </w:rPr>
        <w:t>Điều 3:</w:t>
      </w:r>
      <w:r>
        <w:rPr>
          <w:sz w:val="26"/>
          <w:szCs w:val="26"/>
          <w:lang w:val="nl-NL"/>
        </w:rPr>
        <w:t xml:space="preserve"> Toàn bộ vật tư mới 100%, đúng tính năng kỹ thuật, quy cách, model, chủng loại, xuất xứ, hạn sử dụng như trong hợp đồng hai bên đã ký kết.</w:t>
      </w:r>
    </w:p>
    <w:p>
      <w:pPr>
        <w:pStyle w:val="Normal"/>
        <w:spacing w:lineRule="auto" w:line="360"/>
        <w:jc w:val="both"/>
        <w:rPr>
          <w:sz w:val="26"/>
          <w:szCs w:val="26"/>
          <w:lang w:val="nl-NL"/>
        </w:rPr>
      </w:pPr>
      <w:r>
        <w:rPr>
          <w:b/>
          <w:sz w:val="26"/>
          <w:szCs w:val="26"/>
          <w:u w:val="single"/>
          <w:lang w:val="nl-NL"/>
        </w:rPr>
        <w:t>Điều 4:</w:t>
      </w:r>
      <w:r>
        <w:rPr>
          <w:sz w:val="26"/>
          <w:szCs w:val="26"/>
          <w:lang w:val="nl-NL"/>
        </w:rPr>
        <w:t xml:space="preserve"> Bên B đã hoàn thiện các thủ tục bàn giao tại kho của bên A kèm theo đầy đủ các chứng từ đã quy định.</w:t>
      </w:r>
    </w:p>
    <w:p>
      <w:pPr>
        <w:pStyle w:val="Normal"/>
        <w:spacing w:lineRule="auto" w:line="360"/>
        <w:jc w:val="both"/>
        <w:rPr>
          <w:sz w:val="26"/>
          <w:szCs w:val="26"/>
          <w:lang w:val="nl-NL"/>
        </w:rPr>
      </w:pPr>
      <w:r>
        <w:rPr>
          <w:b/>
          <w:sz w:val="26"/>
          <w:szCs w:val="26"/>
          <w:u w:val="single"/>
          <w:lang w:val="nl-NL"/>
        </w:rPr>
        <w:t>Điều 5:</w:t>
      </w:r>
      <w:r>
        <w:rPr>
          <w:sz w:val="26"/>
          <w:szCs w:val="26"/>
          <w:lang w:val="nl-NL"/>
        </w:rPr>
        <w:t xml:space="preserve"> Kết luận: </w:t>
      </w:r>
    </w:p>
    <w:p>
      <w:pPr>
        <w:pStyle w:val="Normal"/>
        <w:spacing w:lineRule="auto" w:line="360"/>
        <w:jc w:val="both"/>
        <w:rPr>
          <w:sz w:val="26"/>
          <w:szCs w:val="26"/>
          <w:lang w:val="nl-NL"/>
        </w:rPr>
      </w:pPr>
      <w:r>
        <w:rPr>
          <w:sz w:val="26"/>
          <w:szCs w:val="26"/>
          <w:lang w:val="nl-NL"/>
        </w:rPr>
        <w:t xml:space="preserve">    </w:t>
      </w:r>
      <w:r>
        <w:rPr>
          <w:sz w:val="26"/>
          <w:szCs w:val="26"/>
          <w:lang w:val="nl-NL"/>
        </w:rPr>
        <w:t>Hai bên đồng ý ký biên bản nghiệm thu này. Bên A sẽ đưa vật tư vào sử dụng và thực hiện các thủ tục liên quan đến thanh toán cho bên B.</w:t>
      </w:r>
    </w:p>
    <w:p>
      <w:pPr>
        <w:pStyle w:val="Normal"/>
        <w:spacing w:lineRule="auto" w:line="360"/>
        <w:jc w:val="both"/>
        <w:rPr>
          <w:sz w:val="26"/>
          <w:szCs w:val="26"/>
          <w:lang w:val="pt-BR"/>
        </w:rPr>
      </w:pPr>
      <w:r>
        <w:rPr>
          <w:sz w:val="26"/>
          <w:szCs w:val="26"/>
          <w:lang w:val="nl-NL"/>
        </w:rPr>
        <w:t>Biên bản này được làm thành 04 bản, bên A giữ 03 bản, bên B giữ 01 bản có giá trị pháp lý như nhau.</w:t>
      </w:r>
    </w:p>
    <w:p>
      <w:pPr>
        <w:pStyle w:val="Normal"/>
        <w:spacing w:before="120" w:after="120"/>
        <w:rPr>
          <w:color w:val="000000"/>
          <w:sz w:val="22"/>
          <w:szCs w:val="22"/>
          <w:lang w:val="nl-NL"/>
        </w:rPr>
      </w:pPr>
      <w:r>
        <w:rPr>
          <w:color w:val="000000"/>
          <w:sz w:val="22"/>
          <w:szCs w:val="22"/>
          <w:lang w:val="nl-NL"/>
        </w:rPr>
      </w:r>
    </w:p>
    <w:tbl>
      <w:tblPr>
        <w:tblW w:w="9287" w:type="dxa"/>
        <w:jc w:val="start"/>
        <w:tblInd w:w="0" w:type="dxa"/>
        <w:tblLayout w:type="fixed"/>
        <w:tblCellMar>
          <w:top w:w="0" w:type="dxa"/>
          <w:start w:w="108" w:type="dxa"/>
          <w:bottom w:w="0" w:type="dxa"/>
          <w:end w:w="108" w:type="dxa"/>
        </w:tblCellMar>
      </w:tblPr>
      <w:tblGrid>
        <w:gridCol w:w="2321"/>
        <w:gridCol w:w="2322"/>
        <w:gridCol w:w="2322"/>
        <w:gridCol w:w="2322"/>
      </w:tblGrid>
      <w:tr>
        <w:trPr/>
        <w:tc>
          <w:tcPr>
            <w:tcW w:w="4643" w:type="dxa"/>
            <w:gridSpan w:val="2"/>
            <w:tcBorders/>
          </w:tcPr>
          <w:p>
            <w:pPr>
              <w:pStyle w:val="Normal"/>
              <w:spacing w:lineRule="auto" w:line="360"/>
              <w:jc w:val="center"/>
              <w:rPr>
                <w:b/>
                <w:color w:val="000000"/>
                <w:sz w:val="22"/>
                <w:szCs w:val="22"/>
                <w:lang w:val="nl-NL"/>
              </w:rPr>
            </w:pPr>
            <w:r>
              <w:rPr>
                <w:b/>
                <w:color w:val="000000"/>
                <w:sz w:val="22"/>
                <w:szCs w:val="22"/>
                <w:lang w:val="nl-NL"/>
              </w:rPr>
              <w:t>ĐẠI DIỆN BÊN A</w:t>
            </w:r>
          </w:p>
          <w:p>
            <w:pPr>
              <w:pStyle w:val="Normal"/>
              <w:spacing w:lineRule="auto" w:line="360"/>
              <w:jc w:val="center"/>
              <w:rPr>
                <w:b/>
                <w:color w:val="000000"/>
                <w:sz w:val="22"/>
                <w:szCs w:val="22"/>
                <w:lang w:val="nl-NL"/>
              </w:rPr>
            </w:pPr>
            <w:r>
              <w:rPr>
                <w:b/>
                <w:color w:val="000000"/>
                <w:sz w:val="22"/>
                <w:szCs w:val="22"/>
                <w:lang w:val="nl-NL"/>
              </w:rPr>
              <w:t>Giám đốc</w:t>
            </w:r>
          </w:p>
          <w:p>
            <w:pPr>
              <w:pStyle w:val="Normal"/>
              <w:spacing w:lineRule="auto" w:line="360"/>
              <w:rPr>
                <w:b/>
                <w:color w:val="000000"/>
                <w:sz w:val="22"/>
                <w:szCs w:val="22"/>
                <w:lang w:val="nl-NL"/>
              </w:rPr>
            </w:pPr>
            <w:r>
              <w:rPr>
                <w:b/>
                <w:color w:val="000000"/>
                <w:sz w:val="22"/>
                <w:szCs w:val="22"/>
                <w:lang w:val="nl-NL"/>
              </w:rPr>
            </w:r>
          </w:p>
          <w:p>
            <w:pPr>
              <w:pStyle w:val="Normal"/>
              <w:spacing w:lineRule="auto" w:line="360"/>
              <w:jc w:val="center"/>
              <w:rPr>
                <w:b/>
                <w:color w:val="000000"/>
                <w:sz w:val="22"/>
                <w:szCs w:val="22"/>
                <w:lang w:val="nl-NL"/>
              </w:rPr>
            </w:pPr>
            <w:r>
              <w:rPr>
                <w:b/>
                <w:color w:val="000000"/>
                <w:sz w:val="22"/>
                <w:szCs w:val="22"/>
                <w:lang w:val="nl-NL"/>
              </w:rPr>
            </w:r>
          </w:p>
          <w:p>
            <w:pPr>
              <w:pStyle w:val="Normal"/>
              <w:spacing w:lineRule="auto" w:line="360"/>
              <w:jc w:val="center"/>
              <w:rPr>
                <w:b/>
                <w:color w:val="000000"/>
                <w:sz w:val="22"/>
                <w:szCs w:val="22"/>
                <w:lang w:val="nl-NL"/>
              </w:rPr>
            </w:pPr>
            <w:r>
              <w:rPr>
                <w:b/>
                <w:color w:val="000000"/>
                <w:sz w:val="22"/>
                <w:szCs w:val="22"/>
                <w:lang w:val="nl-NL"/>
              </w:rPr>
            </w:r>
          </w:p>
          <w:p>
            <w:pPr>
              <w:pStyle w:val="Normal"/>
              <w:spacing w:lineRule="auto" w:line="360"/>
              <w:jc w:val="center"/>
              <w:rPr>
                <w:b/>
                <w:color w:val="000000"/>
                <w:sz w:val="22"/>
                <w:szCs w:val="22"/>
                <w:lang w:val="nl-NL"/>
              </w:rPr>
            </w:pPr>
            <w:r>
              <w:rPr>
                <w:b/>
                <w:color w:val="000000"/>
                <w:sz w:val="22"/>
                <w:szCs w:val="22"/>
                <w:lang w:val="nl-NL"/>
              </w:rPr>
            </w:r>
          </w:p>
          <w:p>
            <w:pPr>
              <w:pStyle w:val="Normal"/>
              <w:spacing w:lineRule="auto" w:line="360"/>
              <w:jc w:val="center"/>
              <w:rPr>
                <w:b/>
                <w:color w:val="000000"/>
                <w:sz w:val="22"/>
                <w:szCs w:val="22"/>
                <w:lang w:val="nl-NL"/>
              </w:rPr>
            </w:pPr>
            <w:r>
              <w:rPr>
                <w:b/>
                <w:color w:val="000000"/>
                <w:sz w:val="22"/>
                <w:szCs w:val="22"/>
                <w:lang w:val="nl-NL"/>
              </w:rPr>
              <w:t>Lê Đình Thanh Sơn</w:t>
            </w:r>
          </w:p>
          <w:p>
            <w:pPr>
              <w:pStyle w:val="Normal"/>
              <w:spacing w:lineRule="auto" w:line="360"/>
              <w:jc w:val="center"/>
              <w:rPr>
                <w:b/>
                <w:color w:val="000000"/>
                <w:sz w:val="22"/>
                <w:szCs w:val="22"/>
                <w:lang w:val="nl-NL"/>
              </w:rPr>
            </w:pPr>
            <w:r>
              <w:rPr>
                <w:b/>
                <w:color w:val="000000"/>
                <w:sz w:val="22"/>
                <w:szCs w:val="22"/>
                <w:lang w:val="nl-NL"/>
              </w:rPr>
            </w:r>
          </w:p>
          <w:p>
            <w:pPr>
              <w:pStyle w:val="Normal"/>
              <w:spacing w:lineRule="auto" w:line="360"/>
              <w:jc w:val="center"/>
              <w:rPr>
                <w:b/>
                <w:color w:val="000000"/>
                <w:sz w:val="22"/>
                <w:szCs w:val="22"/>
                <w:lang w:val="nl-NL"/>
              </w:rPr>
            </w:pPr>
            <w:r>
              <w:rPr>
                <w:b/>
                <w:color w:val="000000"/>
                <w:sz w:val="22"/>
                <w:szCs w:val="22"/>
                <w:lang w:val="nl-NL"/>
              </w:rPr>
              <w:t>Phòng Vật tư – TBYT</w:t>
            </w:r>
          </w:p>
          <w:p>
            <w:pPr>
              <w:pStyle w:val="Normal"/>
              <w:spacing w:lineRule="auto" w:line="360"/>
              <w:jc w:val="center"/>
              <w:rPr>
                <w:b/>
                <w:color w:val="000000"/>
                <w:sz w:val="22"/>
                <w:szCs w:val="22"/>
                <w:lang w:val="nl-NL"/>
              </w:rPr>
            </w:pPr>
            <w:r>
              <w:rPr>
                <w:b/>
                <w:color w:val="000000"/>
                <w:sz w:val="22"/>
                <w:szCs w:val="22"/>
                <w:lang w:val="nl-NL"/>
              </w:rPr>
              <w:t>Trưởng phòng</w:t>
            </w:r>
          </w:p>
          <w:p>
            <w:pPr>
              <w:pStyle w:val="Normal"/>
              <w:spacing w:lineRule="auto" w:line="360"/>
              <w:jc w:val="center"/>
              <w:rPr>
                <w:b/>
                <w:color w:val="000000"/>
                <w:sz w:val="22"/>
                <w:szCs w:val="22"/>
                <w:lang w:val="nl-NL"/>
              </w:rPr>
            </w:pPr>
            <w:r>
              <w:rPr>
                <w:b/>
                <w:color w:val="000000"/>
                <w:sz w:val="22"/>
                <w:szCs w:val="22"/>
                <w:lang w:val="nl-NL"/>
              </w:rPr>
            </w:r>
          </w:p>
          <w:p>
            <w:pPr>
              <w:pStyle w:val="Normal"/>
              <w:spacing w:lineRule="auto" w:line="360"/>
              <w:jc w:val="center"/>
              <w:rPr>
                <w:b/>
                <w:color w:val="000000"/>
                <w:sz w:val="22"/>
                <w:szCs w:val="22"/>
                <w:lang w:val="nl-NL"/>
              </w:rPr>
            </w:pPr>
            <w:r>
              <w:rPr>
                <w:b/>
                <w:color w:val="000000"/>
                <w:sz w:val="22"/>
                <w:szCs w:val="22"/>
                <w:lang w:val="nl-NL"/>
              </w:rPr>
            </w:r>
          </w:p>
          <w:p>
            <w:pPr>
              <w:pStyle w:val="Normal"/>
              <w:spacing w:lineRule="auto" w:line="360"/>
              <w:jc w:val="center"/>
              <w:rPr>
                <w:b/>
                <w:color w:val="000000"/>
                <w:sz w:val="22"/>
                <w:szCs w:val="22"/>
              </w:rPr>
            </w:pPr>
            <w:r>
              <w:rPr>
                <w:b/>
                <w:color w:val="000000"/>
                <w:sz w:val="22"/>
                <w:szCs w:val="22"/>
                <w:lang w:val="nl-NL"/>
              </w:rPr>
            </w:r>
          </w:p>
        </w:tc>
        <w:tc>
          <w:tcPr>
            <w:tcW w:w="4644" w:type="dxa"/>
            <w:gridSpan w:val="2"/>
            <w:tcBorders/>
          </w:tcPr>
          <w:p>
            <w:pPr>
              <w:pStyle w:val="Normal"/>
              <w:spacing w:lineRule="auto" w:line="360"/>
              <w:jc w:val="center"/>
              <w:rPr>
                <w:b/>
                <w:color w:val="000000"/>
                <w:sz w:val="22"/>
                <w:szCs w:val="22"/>
                <w:lang w:val="nl-NL"/>
              </w:rPr>
            </w:pPr>
            <w:r>
              <w:rPr>
                <w:b/>
                <w:color w:val="000000"/>
                <w:sz w:val="22"/>
                <w:szCs w:val="22"/>
                <w:lang w:val="nl-NL"/>
              </w:rPr>
              <w:t>ĐẠI DIỆN BÊN B</w:t>
            </w:r>
          </w:p>
          <w:p>
            <w:pPr>
              <w:pStyle w:val="Normal"/>
              <w:spacing w:lineRule="auto" w:line="360"/>
              <w:jc w:val="center"/>
              <w:rPr>
                <w:b/>
                <w:color w:val="000000"/>
                <w:sz w:val="22"/>
                <w:szCs w:val="22"/>
                <w:lang w:val="nl-NL"/>
              </w:rPr>
            </w:pPr>
            <w:r>
              <w:rPr>
                <w:b/>
                <w:color w:val="000000"/>
                <w:sz w:val="22"/>
                <w:szCs w:val="22"/>
                <w:lang w:val="nl-NL"/>
              </w:rPr>
              <w:t>Phó Giám đốc</w:t>
            </w:r>
          </w:p>
          <w:p>
            <w:pPr>
              <w:pStyle w:val="Normal"/>
              <w:spacing w:lineRule="auto" w:line="360"/>
              <w:jc w:val="center"/>
              <w:rPr>
                <w:b/>
                <w:color w:val="000000"/>
                <w:sz w:val="22"/>
                <w:szCs w:val="22"/>
                <w:lang w:val="nl-NL"/>
              </w:rPr>
            </w:pPr>
            <w:r>
              <w:rPr>
                <w:b/>
                <w:color w:val="000000"/>
                <w:sz w:val="22"/>
                <w:szCs w:val="22"/>
                <w:lang w:val="nl-NL"/>
              </w:rPr>
            </w:r>
          </w:p>
          <w:p>
            <w:pPr>
              <w:pStyle w:val="Normal"/>
              <w:spacing w:lineRule="auto" w:line="360"/>
              <w:jc w:val="center"/>
              <w:rPr>
                <w:b/>
                <w:color w:val="000000"/>
                <w:sz w:val="22"/>
                <w:szCs w:val="22"/>
                <w:lang w:val="nl-NL"/>
              </w:rPr>
            </w:pPr>
            <w:r>
              <w:rPr>
                <w:b/>
                <w:color w:val="000000"/>
                <w:sz w:val="22"/>
                <w:szCs w:val="22"/>
                <w:lang w:val="nl-NL"/>
              </w:rPr>
            </w:r>
          </w:p>
          <w:p>
            <w:pPr>
              <w:pStyle w:val="Normal"/>
              <w:spacing w:lineRule="auto" w:line="360"/>
              <w:jc w:val="center"/>
              <w:rPr>
                <w:b/>
                <w:color w:val="000000"/>
                <w:sz w:val="22"/>
                <w:szCs w:val="22"/>
                <w:lang w:val="nl-NL"/>
              </w:rPr>
            </w:pPr>
            <w:r>
              <w:rPr>
                <w:b/>
                <w:color w:val="000000"/>
                <w:sz w:val="22"/>
                <w:szCs w:val="22"/>
                <w:lang w:val="nl-NL"/>
              </w:rPr>
            </w:r>
          </w:p>
          <w:p>
            <w:pPr>
              <w:pStyle w:val="Normal"/>
              <w:spacing w:lineRule="auto" w:line="360"/>
              <w:jc w:val="center"/>
              <w:rPr>
                <w:b/>
                <w:color w:val="000000"/>
                <w:sz w:val="22"/>
                <w:szCs w:val="22"/>
                <w:lang w:val="nl-NL"/>
              </w:rPr>
            </w:pPr>
            <w:r>
              <w:rPr>
                <w:b/>
                <w:color w:val="000000"/>
                <w:sz w:val="22"/>
                <w:szCs w:val="22"/>
                <w:lang w:val="nl-NL"/>
              </w:rPr>
            </w:r>
          </w:p>
          <w:p>
            <w:pPr>
              <w:pStyle w:val="Normal"/>
              <w:spacing w:lineRule="auto" w:line="360"/>
              <w:jc w:val="center"/>
              <w:rPr>
                <w:b/>
                <w:color w:val="000000"/>
                <w:sz w:val="22"/>
                <w:szCs w:val="22"/>
                <w:lang w:val="nl-NL"/>
              </w:rPr>
            </w:pPr>
            <w:r>
              <w:rPr>
                <w:b/>
                <w:color w:val="000000"/>
                <w:sz w:val="22"/>
                <w:szCs w:val="22"/>
                <w:lang w:val="nl-NL"/>
              </w:rPr>
              <w:t>Nguyễn Đăng Hoạt</w:t>
            </w:r>
          </w:p>
          <w:p>
            <w:pPr>
              <w:pStyle w:val="Normal"/>
              <w:spacing w:lineRule="auto" w:line="360"/>
              <w:jc w:val="center"/>
              <w:rPr>
                <w:b/>
                <w:color w:val="000000"/>
                <w:sz w:val="22"/>
                <w:szCs w:val="22"/>
                <w:lang w:val="nl-NL"/>
              </w:rPr>
            </w:pPr>
            <w:r>
              <w:rPr>
                <w:b/>
                <w:color w:val="000000"/>
                <w:sz w:val="22"/>
                <w:szCs w:val="22"/>
                <w:lang w:val="nl-NL"/>
              </w:rPr>
            </w:r>
          </w:p>
          <w:p>
            <w:pPr>
              <w:pStyle w:val="Normal"/>
              <w:spacing w:lineRule="auto" w:line="360"/>
              <w:jc w:val="center"/>
              <w:rPr>
                <w:b/>
                <w:color w:val="000000"/>
                <w:sz w:val="22"/>
                <w:szCs w:val="22"/>
                <w:lang w:val="nl-NL"/>
              </w:rPr>
            </w:pPr>
            <w:r>
              <w:rPr>
                <w:b/>
                <w:color w:val="000000"/>
                <w:sz w:val="22"/>
                <w:szCs w:val="22"/>
                <w:lang w:val="nl-NL"/>
              </w:rPr>
            </w:r>
          </w:p>
        </w:tc>
      </w:tr>
      <w:tr>
        <w:trPr>
          <w:trHeight w:val="1723" w:hRule="atLeast"/>
        </w:trPr>
        <w:tc>
          <w:tcPr>
            <w:tcW w:w="2321" w:type="dxa"/>
            <w:tcBorders/>
          </w:tcPr>
          <w:p>
            <w:pPr>
              <w:pStyle w:val="Normal"/>
              <w:snapToGrid w:val="false"/>
              <w:jc w:val="center"/>
              <w:rPr>
                <w:b/>
                <w:color w:val="000000"/>
                <w:sz w:val="22"/>
                <w:szCs w:val="22"/>
              </w:rPr>
            </w:pPr>
            <w:r>
              <w:rPr>
                <w:b/>
                <w:color w:val="000000"/>
                <w:sz w:val="22"/>
                <w:szCs w:val="22"/>
                <w:lang w:val="nl-NL"/>
              </w:rPr>
            </w:r>
          </w:p>
        </w:tc>
        <w:tc>
          <w:tcPr>
            <w:tcW w:w="4644" w:type="dxa"/>
            <w:gridSpan w:val="2"/>
            <w:tcBorders/>
          </w:tcPr>
          <w:p>
            <w:pPr>
              <w:pStyle w:val="Normal"/>
              <w:snapToGrid w:val="false"/>
              <w:jc w:val="center"/>
              <w:rPr>
                <w:b/>
                <w:color w:val="000000"/>
                <w:sz w:val="22"/>
                <w:szCs w:val="22"/>
              </w:rPr>
            </w:pPr>
            <w:r>
              <w:rPr>
                <w:b/>
                <w:color w:val="000000"/>
                <w:sz w:val="22"/>
                <w:szCs w:val="22"/>
              </w:rPr>
            </w:r>
          </w:p>
        </w:tc>
        <w:tc>
          <w:tcPr>
            <w:tcW w:w="2322" w:type="dxa"/>
            <w:tcBorders/>
          </w:tcPr>
          <w:p>
            <w:pPr>
              <w:pStyle w:val="Normal"/>
              <w:snapToGrid w:val="false"/>
              <w:jc w:val="center"/>
              <w:rPr>
                <w:b/>
                <w:color w:val="000000"/>
                <w:sz w:val="22"/>
                <w:szCs w:val="22"/>
              </w:rPr>
            </w:pPr>
            <w:r>
              <w:rPr>
                <w:b/>
                <w:color w:val="000000"/>
                <w:sz w:val="22"/>
                <w:szCs w:val="22"/>
              </w:rPr>
            </w:r>
          </w:p>
        </w:tc>
      </w:tr>
    </w:tbl>
    <w:p>
      <w:pPr>
        <w:sectPr>
          <w:type w:val="nextPage"/>
          <w:pgSz w:w="11906" w:h="16838"/>
          <w:pgMar w:left="1418" w:right="1134" w:gutter="0" w:header="0" w:top="1134" w:footer="0" w:bottom="1134"/>
          <w:pgNumType w:fmt="decimal"/>
          <w:formProt w:val="false"/>
          <w:textDirection w:val="lrTb"/>
          <w:docGrid w:type="default" w:linePitch="381" w:charSpace="0"/>
        </w:sectPr>
      </w:pPr>
    </w:p>
    <w:tbl>
      <w:tblPr>
        <w:tblW w:w="9322" w:type="dxa"/>
        <w:jc w:val="start"/>
        <w:tblInd w:w="0" w:type="dxa"/>
        <w:tblLayout w:type="fixed"/>
        <w:tblCellMar>
          <w:top w:w="0" w:type="dxa"/>
          <w:start w:w="108" w:type="dxa"/>
          <w:bottom w:w="0" w:type="dxa"/>
          <w:end w:w="108" w:type="dxa"/>
        </w:tblCellMar>
      </w:tblPr>
      <w:tblGrid>
        <w:gridCol w:w="5070"/>
        <w:gridCol w:w="4252"/>
      </w:tblGrid>
      <w:tr>
        <w:trPr/>
        <w:tc>
          <w:tcPr>
            <w:tcW w:w="5070" w:type="dxa"/>
            <w:tcBorders/>
          </w:tcPr>
          <w:p>
            <w:pPr>
              <w:pStyle w:val="Normal"/>
              <w:snapToGrid w:val="false"/>
              <w:jc w:val="center"/>
              <w:rPr>
                <w:b/>
                <w:color w:val="000000"/>
                <w:sz w:val="22"/>
                <w:szCs w:val="22"/>
              </w:rPr>
            </w:pPr>
            <w:r>
              <w:rPr>
                <w:b/>
                <w:color w:val="000000"/>
                <w:sz w:val="22"/>
                <w:szCs w:val="22"/>
              </w:rPr>
            </w:r>
          </w:p>
          <w:p>
            <w:pPr>
              <w:pStyle w:val="Normal"/>
              <w:jc w:val="center"/>
              <w:rPr>
                <w:b/>
                <w:color w:val="000000"/>
                <w:sz w:val="22"/>
                <w:szCs w:val="22"/>
              </w:rPr>
            </w:pPr>
            <w:r>
              <w:rPr>
                <w:b/>
                <w:color w:val="000000"/>
                <w:sz w:val="22"/>
                <w:szCs w:val="22"/>
              </w:rPr>
            </w:r>
          </w:p>
          <w:p>
            <w:pPr>
              <w:pStyle w:val="Normal"/>
              <w:jc w:val="center"/>
              <w:rPr>
                <w:b/>
                <w:color w:val="000000"/>
                <w:sz w:val="22"/>
                <w:szCs w:val="22"/>
              </w:rPr>
            </w:pPr>
            <w:r>
              <w:rPr>
                <w:b/>
                <w:color w:val="000000"/>
                <w:sz w:val="22"/>
                <w:szCs w:val="22"/>
              </w:rPr>
            </w:r>
          </w:p>
          <w:p>
            <w:pPr>
              <w:pStyle w:val="Normal"/>
              <w:jc w:val="center"/>
              <w:rPr>
                <w:b/>
                <w:color w:val="000000"/>
                <w:sz w:val="22"/>
                <w:szCs w:val="22"/>
              </w:rPr>
            </w:pPr>
            <w:r>
              <w:rPr>
                <w:b/>
                <w:color w:val="000000"/>
                <w:sz w:val="22"/>
                <w:szCs w:val="22"/>
              </w:rPr>
            </w:r>
          </w:p>
          <w:p>
            <w:pPr>
              <w:pStyle w:val="Normal"/>
              <w:jc w:val="center"/>
              <w:rPr>
                <w:b/>
                <w:color w:val="000000"/>
                <w:sz w:val="22"/>
                <w:szCs w:val="22"/>
              </w:rPr>
            </w:pPr>
            <w:r>
              <w:rPr>
                <w:b/>
                <w:color w:val="000000"/>
                <w:sz w:val="22"/>
                <w:szCs w:val="22"/>
              </w:rPr>
            </w:r>
          </w:p>
          <w:p>
            <w:pPr>
              <w:pStyle w:val="Normal"/>
              <w:jc w:val="center"/>
              <w:rPr>
                <w:b/>
                <w:color w:val="000000"/>
                <w:sz w:val="22"/>
                <w:szCs w:val="22"/>
              </w:rPr>
            </w:pPr>
            <w:r>
              <w:rPr>
                <w:b/>
                <w:color w:val="000000"/>
                <w:sz w:val="22"/>
                <w:szCs w:val="22"/>
              </w:rPr>
            </w:r>
          </w:p>
          <w:p>
            <w:pPr>
              <w:pStyle w:val="Normal"/>
              <w:jc w:val="center"/>
              <w:rPr>
                <w:b/>
                <w:color w:val="000000"/>
                <w:sz w:val="22"/>
                <w:szCs w:val="22"/>
              </w:rPr>
            </w:pPr>
            <w:r>
              <w:rPr>
                <w:b/>
                <w:color w:val="000000"/>
                <w:sz w:val="22"/>
                <w:szCs w:val="22"/>
              </w:rPr>
            </w:r>
          </w:p>
          <w:p>
            <w:pPr>
              <w:pStyle w:val="Normal"/>
              <w:jc w:val="center"/>
              <w:rPr>
                <w:b/>
                <w:color w:val="000000"/>
                <w:sz w:val="22"/>
                <w:szCs w:val="22"/>
              </w:rPr>
            </w:pPr>
            <w:r>
              <w:rPr>
                <w:b/>
                <w:color w:val="000000"/>
                <w:sz w:val="22"/>
                <w:szCs w:val="22"/>
              </w:rPr>
            </w:r>
          </w:p>
        </w:tc>
        <w:tc>
          <w:tcPr>
            <w:tcW w:w="4252" w:type="dxa"/>
            <w:tcBorders/>
          </w:tcPr>
          <w:p>
            <w:pPr>
              <w:pStyle w:val="Normal"/>
              <w:snapToGrid w:val="false"/>
              <w:jc w:val="center"/>
              <w:rPr>
                <w:b/>
                <w:color w:val="000000"/>
                <w:sz w:val="22"/>
                <w:szCs w:val="22"/>
              </w:rPr>
            </w:pPr>
            <w:r>
              <w:rPr>
                <w:b/>
                <w:color w:val="000000"/>
                <w:sz w:val="22"/>
                <w:szCs w:val="22"/>
              </w:rPr>
            </w:r>
          </w:p>
        </w:tc>
      </w:tr>
    </w:tbl>
    <w:p>
      <w:pPr>
        <w:sectPr>
          <w:type w:val="nextPage"/>
          <w:pgSz w:orient="landscape" w:w="16838" w:h="11906"/>
          <w:pgMar w:left="1134" w:right="1134" w:gutter="0" w:header="0" w:top="1418" w:footer="0" w:bottom="1134"/>
          <w:pgNumType w:fmt="decimal"/>
          <w:formProt w:val="false"/>
          <w:textDirection w:val="lrTb"/>
          <w:docGrid w:type="default" w:linePitch="381" w:charSpace="0"/>
        </w:sectPr>
      </w:pPr>
    </w:p>
    <w:p>
      <w:pPr>
        <w:pStyle w:val="Normal"/>
        <w:spacing w:before="120" w:after="0"/>
        <w:jc w:val="center"/>
        <w:rPr>
          <w:b/>
        </w:rPr>
      </w:pPr>
      <w:r>
        <w:rPr>
          <w:b/>
        </w:rPr>
        <w:t>BẢNG XÁC ĐỊNH GIÁ TRỊ KHỐI LƯỢNG CÔNG VIỆC HOÀN THÀNH</w:t>
      </w:r>
    </w:p>
    <w:p>
      <w:pPr>
        <w:pStyle w:val="Normal"/>
        <w:spacing w:before="120" w:after="0"/>
        <w:jc w:val="center"/>
        <w:rPr>
          <w:i/>
          <w:iCs/>
        </w:rPr>
      </w:pPr>
      <w:r>
        <w:rPr>
          <w:i/>
          <w:iCs/>
        </w:rPr>
        <w:t>(áp dụng đối với các khoản chi thường xuyên, chi sự nghiệp có tính chất thường xuyên, chi chương trình mục tiêu quốc gia, chương trình mục tiêu sử dụng kinh phí sự nghiệp)</w:t>
      </w:r>
    </w:p>
    <w:p>
      <w:pPr>
        <w:pStyle w:val="Normal"/>
        <w:spacing w:before="120" w:after="0"/>
        <w:jc w:val="center"/>
        <w:rPr/>
      </w:pPr>
      <w:r>
        <w:rPr/>
        <w:t>---------------------------------------------</w:t>
      </w:r>
    </w:p>
    <w:p>
      <w:pPr>
        <w:pStyle w:val="Normal"/>
        <w:spacing w:before="120" w:after="120"/>
        <w:jc w:val="both"/>
        <w:rPr/>
      </w:pPr>
      <w:r>
        <w:rPr/>
        <w:t xml:space="preserve">1. Đơn vị sử dụng ngân sách: </w:t>
      </w:r>
      <w:r>
        <w:rPr>
          <w:b/>
        </w:rPr>
        <w:t>Bệnh viện Đa khoa tỉnh Phú Thọ</w:t>
      </w:r>
    </w:p>
    <w:p>
      <w:pPr>
        <w:pStyle w:val="Normal"/>
        <w:spacing w:before="120" w:after="120"/>
        <w:rPr/>
      </w:pPr>
      <w:r>
        <w:rPr/>
        <w:t>2. Mã đơn vị: 1017725</w:t>
        <w:tab/>
        <w:tab/>
        <w:t xml:space="preserve">                      Mã nguồn: …………………….………</w:t>
      </w:r>
    </w:p>
    <w:p>
      <w:pPr>
        <w:pStyle w:val="Normal"/>
        <w:spacing w:before="120" w:after="120"/>
        <w:ind w:firstLine="567" w:start="-567" w:end="0"/>
        <w:rPr/>
      </w:pPr>
      <w:r>
        <w:rPr/>
        <w:t>3. Mã CTMTQG, Dự án ODA: ………………………………………...……………….…</w:t>
      </w:r>
    </w:p>
    <w:p>
      <w:pPr>
        <w:pStyle w:val="Normal"/>
        <w:spacing w:lineRule="auto" w:line="276" w:before="120" w:after="120"/>
        <w:jc w:val="both"/>
        <w:rPr/>
      </w:pPr>
      <w:r>
        <w:rPr/>
        <w:t xml:space="preserve">4. Căn cứ hợp đồng số: </w:t>
      </w:r>
      <w:r>
        <w:rPr>
          <w:i/>
        </w:rPr>
        <w:t>1503</w:t>
      </w:r>
      <w:r>
        <w:rPr>
          <w:i/>
          <w:lang w:val="nl-NL"/>
        </w:rPr>
        <w:t xml:space="preserve">/HĐKT/VN-BVĐKPT </w:t>
      </w:r>
      <w:r>
        <w:rPr/>
        <w:t xml:space="preserve"> ký ngày 17 tháng 03 năm 2027 giữa Bệnh viện Đa khoa tỉnh Phú Thọ và Công ty TNHH Mô Phỏng Mock; giá trị hợp đồng  đã ký : </w:t>
      </w:r>
      <w:r>
        <w:rPr>
          <w:b/>
          <w:bCs/>
        </w:rPr>
        <w:t xml:space="preserve">1.946.700.000 </w:t>
      </w:r>
      <w:r>
        <w:rPr/>
        <w:t xml:space="preserve">VNĐ </w:t>
      </w:r>
      <w:r>
        <w:rPr>
          <w:i/>
          <w:iCs/>
        </w:rPr>
        <w:t>(Bằng chữ: Một tỷ, chín trăm bốn mươi sáu triệu, bảy trăm nghìn đồng)</w:t>
      </w:r>
    </w:p>
    <w:p>
      <w:pPr>
        <w:pStyle w:val="Normal"/>
        <w:spacing w:lineRule="auto" w:line="276" w:before="120" w:after="120"/>
        <w:jc w:val="both"/>
        <w:rPr/>
      </w:pPr>
      <w:r>
        <w:rPr/>
        <w:t>5. Căn cứ Biên bản nghiệm thu ngày 02/07/2027 giữa Bệnh viện Đa khoa tỉnh Phú Thọ và  Công ty TNHH Mô Phỏng Mock</w:t>
      </w:r>
    </w:p>
    <w:p>
      <w:pPr>
        <w:pStyle w:val="Normal"/>
        <w:spacing w:lineRule="auto" w:line="360" w:before="120" w:after="120"/>
        <w:jc w:val="end"/>
        <w:rPr>
          <w:i/>
        </w:rPr>
      </w:pPr>
      <w:r>
        <w:rPr>
          <w:i/>
        </w:rPr>
        <w:t>Đơn vị: VND</w:t>
      </w:r>
    </w:p>
    <w:tbl>
      <w:tblPr>
        <w:tblW w:w="4800" w:type="pct"/>
        <w:jc w:val="start"/>
        <w:tblInd w:w="180" w:type="dxa"/>
        <w:tblLayout w:type="fixed"/>
        <w:tblCellMar>
          <w:top w:w="0" w:type="dxa"/>
          <w:start w:w="0" w:type="dxa"/>
          <w:bottom w:w="0" w:type="dxa"/>
          <w:end w:w="0" w:type="dxa"/>
        </w:tblCellMar>
      </w:tblPr>
      <w:tblGrid>
        <w:gridCol w:w="693"/>
        <w:gridCol w:w="3960"/>
        <w:gridCol w:w="1289"/>
        <w:gridCol w:w="1307"/>
        <w:gridCol w:w="1450"/>
        <w:gridCol w:w="1500"/>
      </w:tblGrid>
      <w:tr>
        <w:trPr>
          <w:tblHeader w:val="true"/>
          <w:trHeight w:val="102" w:hRule="atLeast"/>
        </w:trPr>
        <w:tc>
          <w:tcPr>
            <w:tcW w:w="6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0"/>
              <w:jc w:val="center"/>
              <w:rPr>
                <w:b/>
              </w:rPr>
            </w:pPr>
            <w:r>
              <w:rPr>
                <w:b/>
              </w:rPr>
              <w:t>STT</w:t>
            </w:r>
          </w:p>
        </w:tc>
        <w:tc>
          <w:tcPr>
            <w:tcW w:w="39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0"/>
              <w:jc w:val="center"/>
              <w:rPr>
                <w:b/>
              </w:rPr>
            </w:pPr>
            <w:r>
              <w:rPr>
                <w:b/>
              </w:rPr>
              <w:t>Nội dung công việc</w:t>
            </w:r>
          </w:p>
        </w:tc>
        <w:tc>
          <w:tcPr>
            <w:tcW w:w="128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0"/>
              <w:jc w:val="center"/>
              <w:rPr>
                <w:b/>
              </w:rPr>
            </w:pPr>
            <w:r>
              <w:rPr>
                <w:b/>
              </w:rPr>
              <w:t>Đơn vị tính</w:t>
            </w:r>
          </w:p>
        </w:tc>
        <w:tc>
          <w:tcPr>
            <w:tcW w:w="130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0"/>
              <w:jc w:val="center"/>
              <w:rPr>
                <w:b/>
              </w:rPr>
            </w:pPr>
            <w:r>
              <w:rPr>
                <w:b/>
              </w:rPr>
              <w:t>Số lượng</w:t>
            </w:r>
          </w:p>
        </w:tc>
        <w:tc>
          <w:tcPr>
            <w:tcW w:w="145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0"/>
              <w:jc w:val="center"/>
              <w:rPr>
                <w:b/>
              </w:rPr>
            </w:pPr>
            <w:r>
              <w:rPr>
                <w:b/>
              </w:rPr>
              <w:t>Đơn giá</w:t>
            </w:r>
          </w:p>
        </w:tc>
        <w:tc>
          <w:tcPr>
            <w:tcW w:w="1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0"/>
              <w:jc w:val="center"/>
              <w:rPr>
                <w:b/>
              </w:rPr>
            </w:pPr>
            <w:r>
              <w:rPr>
                <w:b/>
              </w:rPr>
              <w:t>Thành tiền</w:t>
            </w:r>
          </w:p>
        </w:tc>
      </w:tr>
      <w:tr>
        <w:trPr>
          <w:tblHeader w:val="true"/>
          <w:trHeight w:val="170" w:hRule="atLeast"/>
        </w:trPr>
        <w:tc>
          <w:tcPr>
            <w:tcW w:w="6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0"/>
              <w:jc w:val="center"/>
              <w:rPr>
                <w:b/>
              </w:rPr>
            </w:pPr>
            <w:r>
              <w:rPr>
                <w:b/>
              </w:rPr>
              <w:t>(1)</w:t>
            </w:r>
          </w:p>
        </w:tc>
        <w:tc>
          <w:tcPr>
            <w:tcW w:w="39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0"/>
              <w:jc w:val="center"/>
              <w:rPr>
                <w:b/>
              </w:rPr>
            </w:pPr>
            <w:r>
              <w:rPr>
                <w:b/>
              </w:rPr>
              <w:t>(2)</w:t>
            </w:r>
          </w:p>
        </w:tc>
        <w:tc>
          <w:tcPr>
            <w:tcW w:w="128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0"/>
              <w:jc w:val="center"/>
              <w:rPr>
                <w:b/>
              </w:rPr>
            </w:pPr>
            <w:r>
              <w:rPr>
                <w:b/>
              </w:rPr>
              <w:t>(3)</w:t>
            </w:r>
          </w:p>
        </w:tc>
        <w:tc>
          <w:tcPr>
            <w:tcW w:w="130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0"/>
              <w:jc w:val="center"/>
              <w:rPr>
                <w:b/>
              </w:rPr>
            </w:pPr>
            <w:r>
              <w:rPr>
                <w:b/>
              </w:rPr>
              <w:t>(4)</w:t>
            </w:r>
          </w:p>
        </w:tc>
        <w:tc>
          <w:tcPr>
            <w:tcW w:w="145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0"/>
              <w:jc w:val="center"/>
              <w:rPr>
                <w:b/>
              </w:rPr>
            </w:pPr>
            <w:r>
              <w:rPr>
                <w:b/>
              </w:rPr>
              <w:t>(5)</w:t>
            </w:r>
          </w:p>
        </w:tc>
        <w:tc>
          <w:tcPr>
            <w:tcW w:w="1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0"/>
              <w:jc w:val="center"/>
              <w:rPr>
                <w:b/>
              </w:rPr>
            </w:pPr>
            <w:r>
              <w:rPr>
                <w:b/>
              </w:rPr>
              <w:t>(6)</w:t>
            </w:r>
          </w:p>
        </w:tc>
      </w:tr>
      <w:tr>
        <w:trPr>
          <w:trHeight w:val="300" w:hRule="atLeast"/>
        </w:trPr>
        <w:tc>
          <w:tcPr>
            <w:tcW w:w="6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t>1</w:t>
            </w:r>
          </w:p>
        </w:tc>
        <w:tc>
          <w:tcPr>
            <w:tcW w:w="39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lang w:val="vi-VN" w:eastAsia="vi-VN"/>
              </w:rPr>
              <w:t>Bộ xét nghiệm định lượng virus viêm gan B</w:t>
            </w:r>
          </w:p>
        </w:tc>
        <w:tc>
          <w:tcPr>
            <w:tcW w:w="1289" w:type="dxa"/>
            <w:tcBorders>
              <w:top w:val="single" w:sz="4" w:space="0" w:color="000000"/>
              <w:start w:val="single" w:sz="4" w:space="0" w:color="000000"/>
              <w:bottom w:val="single" w:sz="4" w:space="0" w:color="000000"/>
              <w:end w:val="single" w:sz="4" w:space="0" w:color="000000"/>
            </w:tcBorders>
          </w:tcPr>
          <w:p>
            <w:pPr>
              <w:pStyle w:val="Normal"/>
              <w:spacing w:lineRule="auto" w:line="360" w:before="40" w:after="0"/>
              <w:ind w:start="-85" w:end="-85"/>
              <w:jc w:val="center"/>
              <w:rPr/>
            </w:pPr>
            <w:r>
              <w:rPr>
                <w:lang w:val="vi-VN" w:eastAsia="vi-VN"/>
              </w:rPr>
              <w:t>Test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40" w:after="0"/>
              <w:ind w:start="-85" w:end="-85"/>
              <w:jc w:val="center"/>
              <w:rPr/>
            </w:pPr>
            <w:r>
              <w:rPr>
                <w:lang w:val="vi-VN" w:eastAsia="vi-VN"/>
              </w:rPr>
              <w:t>4.320</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40" w:after="0"/>
              <w:ind w:start="116" w:end="157"/>
              <w:jc w:val="center"/>
              <w:rPr/>
            </w:pPr>
            <w:r>
              <w:rPr>
                <w:lang w:val="vi-VN" w:eastAsia="vi-VN"/>
              </w:rPr>
              <w:t>354.375</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lang w:val="vi-VN" w:eastAsia="vi-VN"/>
              </w:rPr>
              <w:t>1.530.900.000</w:t>
            </w:r>
          </w:p>
        </w:tc>
      </w:tr>
      <w:tr>
        <w:trPr>
          <w:trHeight w:val="408" w:hRule="atLeast"/>
        </w:trPr>
        <w:tc>
          <w:tcPr>
            <w:tcW w:w="6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t>2</w:t>
            </w:r>
          </w:p>
        </w:tc>
        <w:tc>
          <w:tcPr>
            <w:tcW w:w="39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lang w:val="vi-VN" w:eastAsia="vi-VN"/>
              </w:rPr>
              <w:t>Bộ xét nghiệm định lượng virus viêm gan C</w:t>
            </w:r>
          </w:p>
        </w:tc>
        <w:tc>
          <w:tcPr>
            <w:tcW w:w="1289" w:type="dxa"/>
            <w:tcBorders>
              <w:top w:val="single" w:sz="4" w:space="0" w:color="000000"/>
              <w:start w:val="single" w:sz="4" w:space="0" w:color="000000"/>
              <w:bottom w:val="single" w:sz="4" w:space="0" w:color="000000"/>
              <w:end w:val="single" w:sz="4" w:space="0" w:color="000000"/>
            </w:tcBorders>
          </w:tcPr>
          <w:p>
            <w:pPr>
              <w:pStyle w:val="Normal"/>
              <w:spacing w:lineRule="auto" w:line="360" w:before="40" w:after="0"/>
              <w:ind w:start="-85" w:end="-85"/>
              <w:jc w:val="center"/>
              <w:rPr/>
            </w:pPr>
            <w:r>
              <w:rPr>
                <w:lang w:val="vi-VN" w:eastAsia="vi-VN"/>
              </w:rPr>
              <w:t>Test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40" w:after="0"/>
              <w:ind w:start="-85" w:end="-85"/>
              <w:jc w:val="center"/>
              <w:rPr/>
            </w:pPr>
            <w:r>
              <w:rPr>
                <w:lang w:val="vi-VN" w:eastAsia="vi-VN"/>
              </w:rPr>
              <w:t>960</w:t>
            </w:r>
          </w:p>
        </w:tc>
        <w:tc>
          <w:tcPr>
            <w:tcW w:w="14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40" w:after="0"/>
              <w:ind w:start="116" w:end="157"/>
              <w:jc w:val="center"/>
              <w:rPr/>
            </w:pPr>
            <w:r>
              <w:rPr>
                <w:lang w:val="vi-VN" w:eastAsia="vi-VN"/>
              </w:rPr>
              <w:t>433.125</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lang w:val="vi-VN" w:eastAsia="vi-VN"/>
              </w:rPr>
              <w:t>415.800.000</w:t>
            </w:r>
          </w:p>
        </w:tc>
      </w:tr>
      <w:tr>
        <w:trPr>
          <w:trHeight w:val="50" w:hRule="atLeast"/>
        </w:trPr>
        <w:tc>
          <w:tcPr>
            <w:tcW w:w="6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pPr>
            <w:r>
              <w:rPr/>
            </w:r>
          </w:p>
        </w:tc>
        <w:tc>
          <w:tcPr>
            <w:tcW w:w="8006"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before="40" w:after="20"/>
              <w:jc w:val="center"/>
              <w:rPr>
                <w:b/>
              </w:rPr>
            </w:pPr>
            <w:r>
              <w:rPr>
                <w:b/>
              </w:rPr>
              <w:t xml:space="preserve">Tổng cộng: </w:t>
            </w:r>
          </w:p>
          <w:p>
            <w:pPr>
              <w:pStyle w:val="Normal"/>
              <w:spacing w:lineRule="auto" w:line="360" w:before="40" w:after="20"/>
              <w:jc w:val="center"/>
              <w:rPr/>
            </w:pPr>
            <w:r>
              <w:rPr>
                <w:b/>
              </w:rPr>
              <w:t>(Bằng chữ:Một tỷ, chín trăm bốn mươi sáu triệu, bảy trăm nghìn đồng )</w:t>
            </w:r>
          </w:p>
        </w:tc>
        <w:tc>
          <w:tcPr>
            <w:tcW w:w="1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b/>
                <w:bCs/>
              </w:rPr>
            </w:pPr>
            <w:r>
              <w:fldChar w:fldCharType="begin"/>
            </w:r>
            <w:r>
              <w:rPr>
                <w:b/>
                <w:bCs/>
                <w:lang w:val="vi-VN" w:eastAsia="vi-VN"/>
              </w:rPr>
              <w:instrText xml:space="preserve"> =SUM(ABOVE) </w:instrText>
            </w:r>
            <w:r>
              <w:rPr>
                <w:b/>
                <w:bCs/>
                <w:lang w:val="vi-VN" w:eastAsia="vi-VN"/>
              </w:rPr>
            </w:r>
            <w:r>
              <w:rPr>
                <w:b/>
                <w:bCs/>
                <w:lang w:val="vi-VN" w:eastAsia="vi-VN"/>
              </w:rPr>
              <w:fldChar w:fldCharType="separate"/>
            </w:r>
            <w:r>
              <w:rPr>
                <w:b/>
                <w:bCs/>
                <w:lang w:val="vi-VN" w:eastAsia="vi-VN"/>
              </w:rPr>
              <w:t>1.946.700.000</w:t>
            </w:r>
            <w:r/>
            <w:r>
              <w:rPr>
                <w:b/>
                <w:bCs/>
                <w:lang w:val="vi-VN" w:eastAsia="vi-VN"/>
              </w:rPr>
              <w:fldChar w:fldCharType="end"/>
            </w:r>
            <w:r>
              <w:rPr>
                <w:b/>
                <w:bCs/>
                <w:lang w:val="vi-VN" w:eastAsia="vi-VN"/>
              </w:rPr>
            </w:r>
          </w:p>
        </w:tc>
      </w:tr>
    </w:tbl>
    <w:p>
      <w:pPr>
        <w:pStyle w:val="Normal"/>
        <w:spacing w:lineRule="auto" w:line="276" w:before="240" w:after="120"/>
        <w:rPr/>
      </w:pPr>
      <w:r>
        <w:rPr/>
        <w:t xml:space="preserve">6. Lũy kế thanh toán khối lượng hoàn thành đến cuối kỳ trước: </w:t>
      </w:r>
      <w:r>
        <w:rPr>
          <w:b/>
        </w:rPr>
        <w:t>0 đồng</w:t>
      </w:r>
    </w:p>
    <w:p>
      <w:pPr>
        <w:pStyle w:val="Normal"/>
        <w:spacing w:lineRule="auto" w:line="276" w:before="120" w:after="120"/>
        <w:rPr/>
      </w:pPr>
      <w:r>
        <w:rPr/>
        <w:t xml:space="preserve">- Thanh toán tạm ứng: </w:t>
      </w:r>
      <w:r>
        <w:rPr>
          <w:b/>
        </w:rPr>
        <w:t>0 đồng</w:t>
      </w:r>
      <w:r>
        <w:rPr/>
        <w:tab/>
        <w:tab/>
        <w:t xml:space="preserve">- Thanh toán trực tiếp: </w:t>
      </w:r>
      <w:r>
        <w:rPr>
          <w:b/>
        </w:rPr>
        <w:t xml:space="preserve">0 đồng </w:t>
      </w:r>
    </w:p>
    <w:p>
      <w:pPr>
        <w:pStyle w:val="Normal"/>
        <w:spacing w:lineRule="auto" w:line="276" w:before="120" w:after="120"/>
        <w:rPr>
          <w:b/>
        </w:rPr>
      </w:pPr>
      <w:r>
        <w:rPr/>
        <w:t xml:space="preserve">7. Số dư tạm ứng đến cuối kỳ trước: </w:t>
      </w:r>
      <w:r>
        <w:rPr>
          <w:b/>
        </w:rPr>
        <w:t>0 đồng</w:t>
      </w:r>
    </w:p>
    <w:p>
      <w:pPr>
        <w:pStyle w:val="Normal"/>
        <w:spacing w:lineRule="auto" w:line="276" w:before="120" w:after="120"/>
        <w:rPr/>
      </w:pPr>
      <w:r>
        <w:rPr/>
        <w:t xml:space="preserve">8. Số đề nghị thanh toán kỳ này: </w:t>
      </w:r>
      <w:r>
        <w:rPr>
          <w:b/>
        </w:rPr>
        <w:t xml:space="preserve">1.946.700.000 </w:t>
      </w:r>
      <w:r>
        <w:rPr>
          <w:b/>
          <w:bCs/>
          <w:iCs/>
        </w:rPr>
        <w:t>đồng</w:t>
      </w:r>
    </w:p>
    <w:p>
      <w:pPr>
        <w:pStyle w:val="Normal"/>
        <w:spacing w:lineRule="auto" w:line="360"/>
        <w:rPr>
          <w:b/>
        </w:rPr>
      </w:pPr>
      <w:r>
        <w:rPr/>
        <w:t xml:space="preserve">- Thanh toán tạm ứng: </w:t>
      </w:r>
      <w:r>
        <w:rPr>
          <w:b/>
        </w:rPr>
        <w:t>0 đồng</w:t>
      </w:r>
    </w:p>
    <w:p>
      <w:pPr>
        <w:pStyle w:val="Normal"/>
        <w:spacing w:lineRule="auto" w:line="360"/>
        <w:rPr>
          <w:b/>
          <w:bCs/>
          <w:iCs/>
        </w:rPr>
      </w:pPr>
      <w:r>
        <w:rPr/>
        <w:t xml:space="preserve">- Thanh toán trực tiếp: </w:t>
      </w:r>
      <w:r>
        <w:rPr>
          <w:b/>
        </w:rPr>
        <w:t xml:space="preserve">1.946.700.000 </w:t>
      </w:r>
      <w:r>
        <w:rPr>
          <w:b/>
          <w:bCs/>
          <w:iCs/>
        </w:rPr>
        <w:t>đồng</w:t>
      </w:r>
    </w:p>
    <w:p>
      <w:pPr>
        <w:pStyle w:val="Normal"/>
        <w:spacing w:lineRule="auto" w:line="276"/>
        <w:rPr/>
      </w:pPr>
      <w:r>
        <w:rPr>
          <w:b/>
          <w:bCs/>
          <w:iCs/>
        </w:rPr>
      </w:r>
    </w:p>
    <w:tbl>
      <w:tblPr>
        <w:tblW w:w="9805" w:type="dxa"/>
        <w:jc w:val="start"/>
        <w:tblInd w:w="-252" w:type="dxa"/>
        <w:tblLayout w:type="fixed"/>
        <w:tblCellMar>
          <w:top w:w="0" w:type="dxa"/>
          <w:start w:w="108" w:type="dxa"/>
          <w:bottom w:w="0" w:type="dxa"/>
          <w:end w:w="108" w:type="dxa"/>
        </w:tblCellMar>
      </w:tblPr>
      <w:tblGrid>
        <w:gridCol w:w="4678"/>
        <w:gridCol w:w="5127"/>
      </w:tblGrid>
      <w:tr>
        <w:trPr/>
        <w:tc>
          <w:tcPr>
            <w:tcW w:w="4678" w:type="dxa"/>
            <w:tcBorders/>
          </w:tcPr>
          <w:p>
            <w:pPr>
              <w:pStyle w:val="Normal"/>
              <w:snapToGrid w:val="false"/>
              <w:spacing w:lineRule="auto" w:line="360"/>
              <w:jc w:val="center"/>
              <w:rPr/>
            </w:pPr>
            <w:r>
              <w:rPr/>
            </w:r>
          </w:p>
        </w:tc>
        <w:tc>
          <w:tcPr>
            <w:tcW w:w="5127" w:type="dxa"/>
            <w:tcBorders/>
          </w:tcPr>
          <w:p>
            <w:pPr>
              <w:pStyle w:val="Normal"/>
              <w:snapToGrid w:val="false"/>
              <w:spacing w:lineRule="auto" w:line="360"/>
              <w:ind w:end="650"/>
              <w:jc w:val="center"/>
              <w:rPr>
                <w:i/>
              </w:rPr>
            </w:pPr>
            <w:r>
              <w:rPr>
                <w:i/>
              </w:rPr>
            </w:r>
          </w:p>
          <w:p>
            <w:pPr>
              <w:pStyle w:val="Normal"/>
              <w:spacing w:lineRule="auto" w:line="360"/>
              <w:ind w:end="650"/>
              <w:rPr>
                <w:b/>
              </w:rPr>
            </w:pPr>
            <w:r>
              <w:rPr>
                <w:i/>
              </w:rPr>
              <w:t xml:space="preserve">                   </w:t>
            </w:r>
            <w:r>
              <w:rPr>
                <w:i/>
              </w:rPr>
              <w:t>Ngày       tháng     năm 2027</w:t>
            </w:r>
          </w:p>
        </w:tc>
      </w:tr>
      <w:tr>
        <w:trPr>
          <w:trHeight w:val="390" w:hRule="atLeast"/>
        </w:trPr>
        <w:tc>
          <w:tcPr>
            <w:tcW w:w="4678" w:type="dxa"/>
            <w:tcBorders/>
          </w:tcPr>
          <w:p>
            <w:pPr>
              <w:pStyle w:val="Normal"/>
              <w:spacing w:lineRule="auto" w:line="360"/>
              <w:rPr/>
            </w:pPr>
            <w:r>
              <w:rPr>
                <w:b/>
              </w:rPr>
              <w:t>ĐẠI DIỆN CÔNG TY TNHH MÔ PHỎNG MOCK</w:t>
            </w:r>
          </w:p>
        </w:tc>
        <w:tc>
          <w:tcPr>
            <w:tcW w:w="5127" w:type="dxa"/>
            <w:tcBorders/>
          </w:tcPr>
          <w:p>
            <w:pPr>
              <w:pStyle w:val="Normal"/>
              <w:spacing w:lineRule="auto" w:line="360"/>
              <w:ind w:end="650"/>
              <w:jc w:val="end"/>
              <w:rPr>
                <w:b/>
              </w:rPr>
            </w:pPr>
            <w:r>
              <w:rPr>
                <w:b/>
              </w:rPr>
              <w:t xml:space="preserve"> </w:t>
            </w:r>
            <w:r>
              <w:rPr>
                <w:b/>
              </w:rPr>
              <w:t>ĐẠI DIỆN BỆNH VIỆN</w:t>
            </w:r>
          </w:p>
        </w:tc>
      </w:tr>
    </w:tbl>
    <w:p>
      <w:pPr>
        <w:pStyle w:val="Normal"/>
        <w:spacing w:lineRule="auto" w:line="360"/>
        <w:rPr>
          <w:sz w:val="26"/>
          <w:szCs w:val="26"/>
        </w:rPr>
      </w:pPr>
      <w:r>
        <w:rPr>
          <w:sz w:val="26"/>
          <w:szCs w:val="26"/>
        </w:rPr>
      </w:r>
    </w:p>
    <w:p>
      <w:pPr>
        <w:pStyle w:val="BodyTextIndent3"/>
        <w:spacing w:lineRule="auto" w:line="360" w:before="0" w:after="240"/>
        <w:ind w:start="0" w:end="0"/>
        <w:rPr>
          <w:i/>
          <w:sz w:val="26"/>
          <w:szCs w:val="26"/>
        </w:rPr>
      </w:pPr>
      <w:r>
        <w:rPr>
          <w:i/>
          <w:sz w:val="26"/>
          <w:szCs w:val="26"/>
        </w:rPr>
      </w:r>
    </w:p>
    <w:p>
      <w:pPr>
        <w:pStyle w:val="BodyTextIndent3"/>
        <w:spacing w:lineRule="auto" w:line="276" w:before="0" w:after="240"/>
        <w:ind w:start="0" w:end="0"/>
        <w:rPr>
          <w:i/>
          <w:sz w:val="26"/>
          <w:szCs w:val="26"/>
        </w:rPr>
      </w:pPr>
      <w:r>
        <w:rPr>
          <w:i/>
          <w:sz w:val="26"/>
          <w:szCs w:val="26"/>
        </w:rPr>
      </w:r>
    </w:p>
    <w:p>
      <w:pPr>
        <w:pStyle w:val="BodyTextIndent3"/>
        <w:spacing w:lineRule="auto" w:line="276" w:before="0" w:after="240"/>
        <w:ind w:start="0" w:end="0"/>
        <w:rPr>
          <w:i/>
          <w:sz w:val="26"/>
          <w:szCs w:val="26"/>
        </w:rPr>
      </w:pPr>
      <w:r>
        <w:rPr>
          <w:i/>
          <w:sz w:val="26"/>
          <w:szCs w:val="26"/>
        </w:rPr>
      </w:r>
    </w:p>
    <w:p>
      <w:pPr>
        <w:pStyle w:val="BodyTextIndent3"/>
        <w:spacing w:lineRule="auto" w:line="276" w:before="0" w:after="240"/>
        <w:ind w:start="0" w:end="0"/>
        <w:rPr>
          <w:i/>
          <w:sz w:val="26"/>
          <w:szCs w:val="26"/>
        </w:rPr>
      </w:pPr>
      <w:r>
        <w:rPr>
          <w:i/>
          <w:sz w:val="26"/>
          <w:szCs w:val="26"/>
        </w:rPr>
      </w:r>
    </w:p>
    <w:p>
      <w:pPr>
        <w:pStyle w:val="Normal"/>
        <w:rPr>
          <w:color w:val="000000"/>
        </w:rPr>
      </w:pPr>
      <w:r>
        <w:rPr>
          <w:i/>
          <w:color w:val="000000"/>
          <w:sz w:val="26"/>
          <w:szCs w:val="26"/>
        </w:rPr>
      </w:r>
    </w:p>
    <w:sectPr>
      <w:type w:val="nextPage"/>
      <w:pgSz w:w="11906" w:h="16838"/>
      <w:pgMar w:left="720" w:right="562" w:gutter="0" w:header="0" w:top="990" w:footer="0" w:bottom="113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Light">
    <w:charset w:val="00" w:characterSet="windows-1252"/>
    <w:family w:val="swiss"/>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b/>
        <w:bCs w:val="false"/>
        <w:i w:val="false"/>
        <w:iCs w:val="false"/>
        <w:sz w:val="28"/>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character" w:styleId="WW8Num1z0">
    <w:name w:val="WW8Num1z0"/>
    <w:qFormat/>
    <w:rPr>
      <w:rFonts w:ascii=".VnTime;Courier New" w:hAnsi=".VnTime;Courier New"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b/>
      <w:bCs w:val="false"/>
      <w:i w:val="false"/>
      <w:iCs w:val="false"/>
      <w:sz w:val="28"/>
    </w:rPr>
  </w:style>
  <w:style w:type="character" w:styleId="WW8Num8z0">
    <w:name w:val="WW8Num8z0"/>
    <w:qFormat/>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VnTime;Courier New" w:hAnsi=".VnTime;Courier New"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sz w:val="16"/>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b/>
    </w:rPr>
  </w:style>
  <w:style w:type="character" w:styleId="WW8Num13z0">
    <w:name w:val="WW8Num13z0"/>
    <w:qFormat/>
    <w:rPr/>
  </w:style>
  <w:style w:type="character" w:styleId="WW8Num14z0">
    <w:name w:val="WW8Num14z0"/>
    <w:qFormat/>
    <w:rPr>
      <w:sz w:val="28"/>
    </w:rPr>
  </w:style>
  <w:style w:type="character" w:styleId="WW8Num15z0">
    <w:name w:val="WW8Num15z0"/>
    <w:qFormat/>
    <w:rPr>
      <w:sz w:val="24"/>
    </w:rPr>
  </w:style>
  <w:style w:type="character" w:styleId="WW8Num16z0">
    <w:name w:val="WW8Num16z0"/>
    <w:qFormat/>
    <w:rPr>
      <w:rFonts w:ascii="Times New Roman" w:hAnsi="Times New Roman" w:eastAsia="Times New Roman" w:cs="Times New Roman"/>
      <w:b w:val="false"/>
      <w:sz w:val="28"/>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eastAsia="Arial"/>
    </w:rPr>
  </w:style>
  <w:style w:type="character" w:styleId="WW8Num21z0">
    <w:name w:val="WW8Num21z0"/>
    <w:qFormat/>
    <w:rPr>
      <w:rFonts w:ascii="Times New Roman" w:hAnsi="Times New Roman" w:cs="Times New Roman"/>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DefaultParagraphFont">
    <w:name w:val="Default Paragraph Font"/>
    <w:qFormat/>
    <w:rPr/>
  </w:style>
  <w:style w:type="character" w:styleId="BodyTextChar">
    <w:name w:val="Body Text Char"/>
    <w:qFormat/>
    <w:rPr>
      <w:rFonts w:ascii=".VnTime;Courier New" w:hAnsi=".VnTime;Courier New" w:eastAsia="Times New Roman" w:cs=".VnTime;Courier New"/>
      <w:sz w:val="28"/>
      <w:lang w:val="en-US"/>
    </w:rPr>
  </w:style>
  <w:style w:type="character" w:styleId="Heading1Char">
    <w:name w:val="Heading 1 Char"/>
    <w:qFormat/>
    <w:rPr>
      <w:rFonts w:ascii="Calibri Light" w:hAnsi="Calibri Light" w:eastAsia="Times New Roman" w:cs="Times New Roman"/>
      <w:b/>
      <w:bCs/>
      <w:kern w:val="2"/>
      <w:sz w:val="32"/>
      <w:szCs w:val="32"/>
    </w:rPr>
  </w:style>
  <w:style w:type="character" w:styleId="BalloonTextChar">
    <w:name w:val="Balloon Text Char"/>
    <w:qFormat/>
    <w:rPr>
      <w:rFonts w:ascii="Segoe UI" w:hAnsi="Segoe UI" w:cs="Segoe UI"/>
      <w:sz w:val="18"/>
      <w:szCs w:val="18"/>
    </w:rPr>
  </w:style>
  <w:style w:type="character" w:styleId="BodyTextIndent3Char">
    <w:name w:val="Body Text Indent 3 Char"/>
    <w:qFormat/>
    <w:rPr>
      <w:rFonts w:eastAsia="Times New Roman"/>
      <w:sz w:val="16"/>
      <w:szCs w:val="16"/>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120"/>
    </w:pPr>
    <w:rPr>
      <w:rFonts w:ascii=".VnTime;Courier New" w:hAnsi=".VnTime;Courier New" w:eastAsia="Times New Roman" w:cs=".VnTime;Courier New"/>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Spacing">
    <w:name w:val="No Spacing"/>
    <w:qFormat/>
    <w:pPr>
      <w:widowControl/>
      <w:bidi w:val="0"/>
    </w:pPr>
    <w:rPr>
      <w:rFonts w:ascii="Times New Roman" w:hAnsi="Times New Roman" w:eastAsia="Arial" w:cs="Times New Roman"/>
      <w:color w:val="auto"/>
      <w:sz w:val="28"/>
      <w:szCs w:val="22"/>
      <w:lang w:bidi="ar-SA" w:val="vi-VN" w:eastAsia="zh-CN"/>
    </w:rPr>
  </w:style>
  <w:style w:type="paragraph" w:styleId="BalloonText">
    <w:name w:val="Balloon Text"/>
    <w:basedOn w:val="Normal"/>
    <w:qFormat/>
    <w:pPr/>
    <w:rPr>
      <w:rFonts w:ascii="Segoe UI" w:hAnsi="Segoe UI" w:cs="Segoe UI"/>
      <w:sz w:val="18"/>
      <w:szCs w:val="18"/>
    </w:rPr>
  </w:style>
  <w:style w:type="paragraph" w:styleId="BodyTextIndent3">
    <w:name w:val="Body Text Indent 3"/>
    <w:basedOn w:val="Normal"/>
    <w:qFormat/>
    <w:pPr>
      <w:spacing w:before="0" w:after="120"/>
      <w:ind w:hanging="0" w:start="283" w:end="0"/>
    </w:pPr>
    <w:rPr>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2026-07-02T18:14:00Z</dcterms:created>
  <dc:creator>MyPC</dc:creator>
  <dc:description/>
  <cp:keywords/>
  <dc:language>vi-VN</dc:language>
  <cp:lastModifiedBy>COMPUTER</cp:lastModifiedBy>
  <cp:lastPrinted>2026-07-13T10:32:00Z</cp:lastPrinted>
  <dcterms:modified xsi:type="dcterms:W3CDTF">2026-08-03T08:49:00Z</dcterms:modified>
  <cp:revision>23</cp:revision>
  <dc:subject/>
  <dc:title/>
</cp:coreProperties>
</file>