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color w:val="FF0000"/>
          <w:sz w:val="72"/>
          <w:szCs w:val="72"/>
        </w:rPr>
      </w:pPr>
      <w:r>
        <w:rPr>
          <w:rFonts w:hint="eastAsia" w:ascii="宋体" w:hAnsi="宋体" w:eastAsia="宋体" w:cs="宋体"/>
          <w:b/>
          <w:color w:val="FF0000"/>
          <w:sz w:val="72"/>
          <w:szCs w:val="72"/>
        </w:rPr>
        <w:t>员工奖惩制度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为促进和保持员工工作积极性和自觉性，贯彻企业精神和经营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宗旨，保证公司目标实现特制定本制度。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color w:val="auto"/>
          <w:sz w:val="24"/>
          <w:szCs w:val="24"/>
        </w:rPr>
        <w:t xml:space="preserve">奖惩原则：奖优罚劣，奖勤罚懒，鼓励上进，鞭策落后。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一、 奖励：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　　奖励是成绩的体现、进取的动力、激励的措施，公司奉行有功必奖的原则，鼓励员工勤劳敬业，公司设立如下激励项目：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1、 最佳团队奖：每月底对各组的管理、纪律、任务完成、损耗情况、组与组之间及与其他部    门间的协作沟通等指标进行考核，全面达标的团队，获得最佳团队奖。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2、 优秀员工奖：根据各岗位员工工作业绩积累，当月工作任务完成情况较好，全优完成各项   指标，无损耗，无质量问题，无投诉的员工，由组长推荐，部长考核及公司上级领导审批    后授予优秀员工奖。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3、 举报奖：任何一个员工，都有权利有义务对部门内部严重失职、贪污盗窃、营私舞    弊、泄漏公司机密、违法乱纪等行为向部长或公司上级领导举报，凡属核查无误、情况属   实的有效举报，颁发举报奖。为保障举报人的权益，此奖不公开授予。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4、 特殊贡献奖：为保护公司财产、人身安全、忠于职守者；为公司提出比现有更好的工艺方    案者；为公司解决排除较大难题，避免和制止公司经济损失及整体形象的不    良影响者。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奖励方式：通报表彰和颁发奖金。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66"/>
        <w:gridCol w:w="1"/>
        <w:gridCol w:w="1666"/>
        <w:gridCol w:w="1666"/>
        <w:gridCol w:w="1668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3" w:hRule="atLeast"/>
          <w:jc w:val="center"/>
        </w:trPr>
        <w:tc>
          <w:tcPr>
            <w:tcW w:w="1666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333" w:type="dxa"/>
            <w:gridSpan w:val="3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最佳团队奖</w:t>
            </w:r>
          </w:p>
        </w:tc>
        <w:tc>
          <w:tcPr>
            <w:tcW w:w="1666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优秀员工奖</w:t>
            </w:r>
          </w:p>
        </w:tc>
        <w:tc>
          <w:tcPr>
            <w:tcW w:w="1668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检举奖</w:t>
            </w:r>
          </w:p>
        </w:tc>
        <w:tc>
          <w:tcPr>
            <w:tcW w:w="1667" w:type="dxa"/>
            <w:vMerge w:val="restart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特殊贡献奖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3" w:hRule="atLeast"/>
          <w:jc w:val="center"/>
        </w:trPr>
        <w:tc>
          <w:tcPr>
            <w:tcW w:w="1666" w:type="dxa"/>
            <w:vMerge w:val="continue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组长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组员</w:t>
            </w:r>
          </w:p>
        </w:tc>
        <w:tc>
          <w:tcPr>
            <w:tcW w:w="1666" w:type="dxa"/>
            <w:vMerge w:val="continue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68" w:type="dxa"/>
            <w:vMerge w:val="continue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67" w:type="dxa"/>
            <w:vMerge w:val="continue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  <w:jc w:val="center"/>
        </w:trPr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奖励金额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200元</w:t>
            </w:r>
          </w:p>
        </w:tc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50元/人</w:t>
            </w:r>
          </w:p>
        </w:tc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100元</w:t>
            </w:r>
          </w:p>
        </w:tc>
        <w:tc>
          <w:tcPr>
            <w:tcW w:w="166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100元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100-200元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6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公开</w:t>
            </w:r>
          </w:p>
        </w:tc>
        <w:tc>
          <w:tcPr>
            <w:tcW w:w="166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不公开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二、 惩罚： 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　　惩罚是对在工作中出错员工的教育，公司奉行有错必究的原则。第一次犯错者给予警告处分，再犯者则根据情况给予相应的罚款，屡教不改者给予离职处分。受惩罚的员工亦可根据其表现，经研究给予留职察看处分者。    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1、惩罚方式：通报批评和罚款。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91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6915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eastAsia="zh-CN"/>
              </w:rPr>
              <w:t>项目</w:t>
            </w:r>
          </w:p>
        </w:tc>
        <w:tc>
          <w:tcPr>
            <w:tcW w:w="205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eastAsia="zh-CN"/>
              </w:rPr>
              <w:t>惩罚金额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1" w:hRule="atLeast"/>
          <w:jc w:val="center"/>
        </w:trPr>
        <w:tc>
          <w:tcPr>
            <w:tcW w:w="99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A类</w:t>
            </w:r>
          </w:p>
        </w:tc>
        <w:tc>
          <w:tcPr>
            <w:tcW w:w="6915" w:type="dxa"/>
            <w:noWrap w:val="0"/>
            <w:vAlign w:val="center"/>
          </w:tcPr>
          <w:tbl>
            <w:tblPr>
              <w:tblStyle w:val="7"/>
              <w:tblW w:w="0" w:type="auto"/>
              <w:tblInd w:w="-22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dotDotDash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otDash" w:color="auto" w:sz="4" w:space="0"/>
                  <w:insideV w:val="none" w:color="auto" w:sz="0" w:space="0"/>
                </w:tblBorders>
              </w:tblPrEx>
              <w:trPr>
                <w:trHeight w:val="486" w:hRule="atLeast"/>
              </w:trP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ind w:firstLine="240" w:firstLineChars="100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eastAsia="zh-CN"/>
                    </w:rPr>
                    <w:t>上班时间仪容不整，装扮影响公司形象，不穿工衣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otDash" w:color="auto" w:sz="4" w:space="0"/>
                  <w:insideV w:val="none" w:color="auto" w:sz="0" w:space="0"/>
                </w:tblBorders>
              </w:tblPrEx>
              <w:trPr>
                <w:trHeight w:val="486" w:hRule="atLeast"/>
              </w:trP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ind w:firstLine="240" w:firstLineChars="100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eastAsia="zh-CN"/>
                    </w:rPr>
                    <w:t>随地吐痰、乱扔杂物，不注意公共卫生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otDash" w:color="auto" w:sz="4" w:space="0"/>
                  <w:insideV w:val="none" w:color="auto" w:sz="0" w:space="0"/>
                </w:tblBorders>
              </w:tblPrEx>
              <w:trPr>
                <w:trHeight w:val="486" w:hRule="atLeast"/>
              </w:trP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工作时间窜岗、睡觉、做私事、扎堆聊天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otDash" w:color="auto" w:sz="4" w:space="0"/>
                  <w:insideV w:val="none" w:color="auto" w:sz="0" w:space="0"/>
                </w:tblBorders>
              </w:tblPrEx>
              <w:trPr>
                <w:trHeight w:val="486" w:hRule="atLeast"/>
              </w:trP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工作时间出现错误，但影响不大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otDash" w:color="auto" w:sz="4" w:space="0"/>
                  <w:insideV w:val="none" w:color="auto" w:sz="0" w:space="0"/>
                </w:tblBorders>
              </w:tblPrEx>
              <w:trPr>
                <w:trHeight w:val="497" w:hRule="atLeast"/>
              </w:trP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材料工具摆放凌乱、不注意保养</w:t>
                  </w:r>
                </w:p>
              </w:tc>
            </w:tr>
          </w:tbl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05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3" w:hRule="atLeast"/>
          <w:jc w:val="center"/>
        </w:trPr>
        <w:tc>
          <w:tcPr>
            <w:tcW w:w="99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B类</w:t>
            </w:r>
          </w:p>
        </w:tc>
        <w:tc>
          <w:tcPr>
            <w:tcW w:w="6915" w:type="dxa"/>
            <w:noWrap w:val="0"/>
            <w:vAlign w:val="center"/>
          </w:tcPr>
          <w:tbl>
            <w:tblPr>
              <w:tblStyle w:val="7"/>
              <w:tblW w:w="0" w:type="auto"/>
              <w:tblInd w:w="-22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dotDash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未经批准中止工作、撤离岗位</w:t>
                  </w:r>
                </w:p>
              </w:tc>
            </w:tr>
            <w:t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利用公司器材、仪器（如车间设备）从事与工作无关的事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发现有损公司利益的行为，不上报或不及时制止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对非本职工作但有利于公司的工作不予协助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不服从主管领导的合理指令或工作分派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工作中出现影响正常生产损害公司利益</w:t>
                  </w:r>
                </w:p>
              </w:tc>
            </w:tr>
          </w:tbl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05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7" w:hRule="atLeast"/>
          <w:jc w:val="center"/>
        </w:trPr>
        <w:tc>
          <w:tcPr>
            <w:tcW w:w="99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C类</w:t>
            </w:r>
          </w:p>
        </w:tc>
        <w:tc>
          <w:tcPr>
            <w:tcW w:w="6915" w:type="dxa"/>
            <w:noWrap w:val="0"/>
            <w:vAlign w:val="center"/>
          </w:tcPr>
          <w:tbl>
            <w:tblPr>
              <w:tblStyle w:val="7"/>
              <w:tblW w:w="0" w:type="auto"/>
              <w:tblInd w:w="-22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dotDash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ind w:firstLine="240" w:firstLineChars="100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eastAsia="zh-CN"/>
                    </w:rPr>
                    <w:t>工作中出现质量问题情况，经查实拒不承认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工作态度恶劣、侮辱他人</w:t>
                  </w:r>
                </w:p>
              </w:tc>
            </w:tr>
            <w:t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违反规定私自动用公司设备、仪器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知情不报、隐瞒他人严重违纪行为</w:t>
                  </w:r>
                </w:p>
              </w:tc>
            </w:tr>
          </w:tbl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05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D类</w:t>
            </w:r>
          </w:p>
        </w:tc>
        <w:tc>
          <w:tcPr>
            <w:tcW w:w="6915" w:type="dxa"/>
            <w:noWrap w:val="0"/>
            <w:vAlign w:val="center"/>
          </w:tcPr>
          <w:tbl>
            <w:tblPr>
              <w:tblStyle w:val="7"/>
              <w:tblW w:w="0" w:type="auto"/>
              <w:tblInd w:w="-22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dotDash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在工作场所打架斗殴，造成严重伤亡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对投诉未能及时妥善解决，致使矛盾激化或造成其他严重后果</w:t>
                  </w:r>
                </w:p>
              </w:tc>
            </w:tr>
            <w:tr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蓄意破坏公司财物，触犯国家法律法规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dotDash" w:color="auto" w:sz="4" w:space="0"/>
                  <w:insideV w:val="none" w:color="auto" w:sz="0" w:space="0"/>
                </w:tblBorders>
              </w:tblPrEx>
              <w:tc>
                <w:tcPr>
                  <w:tcW w:w="7028" w:type="dxa"/>
                  <w:tcBorders>
                    <w:tl2br w:val="nil"/>
                    <w:tr2bl w:val="nil"/>
                  </w:tcBorders>
                  <w:noWrap w:val="0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afterAutospacing="0" w:line="360" w:lineRule="auto"/>
                    <w:jc w:val="both"/>
                    <w:textAlignment w:val="auto"/>
                    <w:outlineLvl w:val="9"/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利用职务之便、盗窃贪污公司财务</w:t>
                  </w:r>
                </w:p>
              </w:tc>
            </w:tr>
          </w:tbl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056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Autospacing="0"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  <w:t>离职处分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hanging="360" w:hangingChars="1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2、损坏、丢失公司物品，视情节轻重赔偿损失，故意损坏的应加倍赔偿，非故意损坏的根据具体情况适当赔偿。   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hanging="360" w:hangingChars="1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3、员工可以直接向行政部报告违纪行为；主管对上述过失行为进行监督管理，对违纪情况做出处理决定，经核查后给予相应的处罚；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hanging="360" w:hangingChars="1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4、 总经理及行政部发现违纪行为可以直接进行处罚，同时对受处罚员工的直接组长或主管按管理不力论处，处以与受罚员工相同罚款，凡组长或主管对违纪员工包庇、开脱的，处以受罚员工两倍的罚款；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hanging="480" w:hanging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5、 认为公司处罚不当或有过失的员工，可以在接到处罚通知之日起三个工作日内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行政部门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提起申诉，在接受申诉期间，员工可以暂缓履行处罚。 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hanging="480" w:hanging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hanging="480" w:hanging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hanging="480" w:hanging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79" w:leftChars="228" w:firstLine="6240" w:firstLineChars="26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珠海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xxx有限公司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79" w:leftChars="228" w:firstLine="6240" w:firstLineChars="26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年   月   日</w:t>
      </w:r>
    </w:p>
    <w:sectPr>
      <w:pgSz w:w="11906" w:h="16838"/>
      <w:pgMar w:top="1440" w:right="1080" w:bottom="1440" w:left="1080" w:header="156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40360"/>
    <w:multiLevelType w:val="singleLevel"/>
    <w:tmpl w:val="6AC4036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D8D33"/>
    <w:rsid w:val="000819DC"/>
    <w:rsid w:val="000B76CA"/>
    <w:rsid w:val="00151D7D"/>
    <w:rsid w:val="00172A85"/>
    <w:rsid w:val="001A5318"/>
    <w:rsid w:val="001B54F2"/>
    <w:rsid w:val="001C7B18"/>
    <w:rsid w:val="001D1F36"/>
    <w:rsid w:val="001E7A03"/>
    <w:rsid w:val="00210C3A"/>
    <w:rsid w:val="00214795"/>
    <w:rsid w:val="002303AD"/>
    <w:rsid w:val="002630D2"/>
    <w:rsid w:val="00263893"/>
    <w:rsid w:val="002846FD"/>
    <w:rsid w:val="002B219B"/>
    <w:rsid w:val="002B4AA0"/>
    <w:rsid w:val="002C37D6"/>
    <w:rsid w:val="002E45AB"/>
    <w:rsid w:val="00374212"/>
    <w:rsid w:val="00456F9E"/>
    <w:rsid w:val="00497246"/>
    <w:rsid w:val="00562613"/>
    <w:rsid w:val="006076E0"/>
    <w:rsid w:val="00607954"/>
    <w:rsid w:val="006C6974"/>
    <w:rsid w:val="007767E9"/>
    <w:rsid w:val="009033FD"/>
    <w:rsid w:val="00964C91"/>
    <w:rsid w:val="009B22BA"/>
    <w:rsid w:val="00A35BA0"/>
    <w:rsid w:val="00A50D63"/>
    <w:rsid w:val="00A6373F"/>
    <w:rsid w:val="00A71A54"/>
    <w:rsid w:val="00A92B37"/>
    <w:rsid w:val="00AE4211"/>
    <w:rsid w:val="00B43482"/>
    <w:rsid w:val="00BB6389"/>
    <w:rsid w:val="00BE6F7E"/>
    <w:rsid w:val="00C115A3"/>
    <w:rsid w:val="00C82D71"/>
    <w:rsid w:val="00FA3D2B"/>
    <w:rsid w:val="089570EA"/>
    <w:rsid w:val="188D572B"/>
    <w:rsid w:val="1A0229AA"/>
    <w:rsid w:val="1BB52851"/>
    <w:rsid w:val="22034B05"/>
    <w:rsid w:val="25746829"/>
    <w:rsid w:val="282B19F2"/>
    <w:rsid w:val="35707A5F"/>
    <w:rsid w:val="41983122"/>
    <w:rsid w:val="4D9926E0"/>
    <w:rsid w:val="56C85D0A"/>
    <w:rsid w:val="6B460876"/>
    <w:rsid w:val="6EFD8D33"/>
    <w:rsid w:val="6F687467"/>
    <w:rsid w:val="72B35A6E"/>
    <w:rsid w:val="9BFDF0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e87c0bd1-46b6-4bbe-9e3f-0f8e0dcf27d8/&#21592;&#24037;&#22870;&#24809;&#21046;&#2423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员工奖惩制度.docx</Template>
  <Pages>3</Pages>
  <Words>1293</Words>
  <Characters>1308</Characters>
  <Lines>7</Lines>
  <Paragraphs>2</Paragraphs>
  <TotalTime>26</TotalTime>
  <ScaleCrop>false</ScaleCrop>
  <LinksUpToDate>false</LinksUpToDate>
  <CharactersWithSpaces>1404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2023-06-02T14:47:00Z</dcterms:created>
  <dc:creator>ZingLing</dc:creator>
  <cp:lastModifiedBy>ZingLing</cp:lastModifiedBy>
  <dcterms:modified xsi:type="dcterms:W3CDTF">2023-06-02T14:47:39Z</dcterms:modified>
  <dc:title>员工奖惩制度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v1.0_mb_9cEhME9HWrTpWt4aVtdkSA==</vt:lpwstr>
  </property>
  <property fmtid="{D5CDD505-2E9C-101B-9397-08002B2CF9AE}" pid="4" name="ICV">
    <vt:lpwstr>5C32BCEE578E05C777907964736D13D8</vt:lpwstr>
  </property>
</Properties>
</file>