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eastAsia"/>
          <w:sz w:val="52"/>
        </w:rPr>
      </w:pPr>
      <w:r>
        <w:rPr>
          <w:rFonts w:hint="eastAsia"/>
          <w:sz w:val="52"/>
        </w:rPr>
        <w:t>XX股份有限公司</w:t>
      </w:r>
      <w:r>
        <w:rPr>
          <w:sz w:val="52"/>
        </w:rPr>
        <w:t xml:space="preserve"> KPI </w:t>
      </w:r>
      <w:r>
        <w:rPr>
          <w:rFonts w:hint="eastAsia"/>
          <w:sz w:val="52"/>
        </w:rPr>
        <w:t>指标体系</w:t>
      </w:r>
    </w:p>
    <w:p>
      <w:pPr>
        <w:pStyle w:val="7"/>
        <w:spacing w:after="0" w:line="360" w:lineRule="auto"/>
        <w:rPr>
          <w:rFonts w:ascii="楷体_GB2312" w:eastAsia="楷体_GB2312"/>
        </w:rPr>
      </w:pPr>
    </w:p>
    <w:p>
      <w:pPr>
        <w:pStyle w:val="7"/>
        <w:spacing w:after="0" w:line="360" w:lineRule="auto"/>
        <w:ind w:firstLine="560" w:firstLineChars="200"/>
        <w:jc w:val="left"/>
      </w:pPr>
      <w:r>
        <w:rPr>
          <w:rFonts w:ascii="楷体_GB2312" w:hAnsi="Arial" w:eastAsia="楷体_GB2312" w:cs="Arial"/>
          <w:sz w:val="28"/>
          <w:szCs w:val="28"/>
        </w:rPr>
        <w:t>KPI</w:t>
      </w:r>
      <w:r>
        <w:rPr>
          <w:rFonts w:hint="eastAsia" w:ascii="楷体_GB2312" w:hAnsi="Times New Roman" w:eastAsia="楷体_GB2312"/>
          <w:sz w:val="28"/>
          <w:szCs w:val="28"/>
        </w:rPr>
        <w:t>（</w:t>
      </w:r>
      <w:r>
        <w:rPr>
          <w:rFonts w:ascii="楷体_GB2312" w:hAnsi="Arial" w:eastAsia="楷体_GB2312" w:cs="Arial"/>
          <w:sz w:val="28"/>
          <w:szCs w:val="28"/>
        </w:rPr>
        <w:t>Key Performance Index</w:t>
      </w:r>
      <w:r>
        <w:rPr>
          <w:rFonts w:hint="eastAsia" w:ascii="楷体_GB2312" w:hAnsi="Times New Roman" w:eastAsia="楷体_GB2312"/>
          <w:sz w:val="28"/>
          <w:szCs w:val="28"/>
        </w:rPr>
        <w:t>）指标体系，主要是对各部门（流程）工作绩效的量化指标体系。其内容包括：市场开发（</w:t>
      </w:r>
      <w:r>
        <w:rPr>
          <w:rFonts w:ascii="楷体_GB2312" w:hAnsi="Arial" w:eastAsia="楷体_GB2312" w:cs="Arial"/>
          <w:sz w:val="28"/>
          <w:szCs w:val="28"/>
        </w:rPr>
        <w:t>M</w:t>
      </w:r>
      <w:r>
        <w:rPr>
          <w:rFonts w:hint="eastAsia" w:ascii="楷体_GB2312" w:hAnsi="Times New Roman" w:eastAsia="楷体_GB2312"/>
          <w:sz w:val="28"/>
          <w:szCs w:val="28"/>
        </w:rPr>
        <w:t>＆</w:t>
      </w:r>
      <w:r>
        <w:rPr>
          <w:rFonts w:ascii="楷体_GB2312" w:hAnsi="Arial" w:eastAsia="楷体_GB2312" w:cs="Arial"/>
          <w:sz w:val="28"/>
          <w:szCs w:val="28"/>
        </w:rPr>
        <w:t>D</w:t>
      </w:r>
      <w:r>
        <w:rPr>
          <w:rFonts w:hint="eastAsia" w:ascii="楷体_GB2312" w:hAnsi="Times New Roman" w:eastAsia="楷体_GB2312"/>
          <w:sz w:val="28"/>
          <w:szCs w:val="28"/>
        </w:rPr>
        <w:t>）、用户满意和品质保证（</w:t>
      </w:r>
      <w:r>
        <w:rPr>
          <w:rFonts w:ascii="楷体_GB2312" w:hAnsi="Arial" w:eastAsia="楷体_GB2312" w:cs="Arial"/>
          <w:sz w:val="28"/>
          <w:szCs w:val="28"/>
        </w:rPr>
        <w:t>CS</w:t>
      </w:r>
      <w:r>
        <w:rPr>
          <w:rFonts w:hint="eastAsia" w:ascii="楷体_GB2312" w:hAnsi="Times New Roman" w:eastAsia="楷体_GB2312"/>
          <w:sz w:val="28"/>
          <w:szCs w:val="28"/>
        </w:rPr>
        <w:t>＆</w:t>
      </w:r>
      <w:r>
        <w:rPr>
          <w:rFonts w:ascii="楷体_GB2312" w:hAnsi="Arial" w:eastAsia="楷体_GB2312" w:cs="Arial"/>
          <w:sz w:val="28"/>
          <w:szCs w:val="28"/>
        </w:rPr>
        <w:t>QA</w:t>
      </w:r>
      <w:r>
        <w:rPr>
          <w:rFonts w:hint="eastAsia" w:ascii="楷体_GB2312" w:hAnsi="Times New Roman" w:eastAsia="楷体_GB2312"/>
          <w:sz w:val="28"/>
          <w:szCs w:val="28"/>
        </w:rPr>
        <w:t>）、研究开发（</w:t>
      </w:r>
      <w:r>
        <w:rPr>
          <w:rFonts w:ascii="楷体_GB2312" w:hAnsi="Arial" w:eastAsia="楷体_GB2312" w:cs="Arial"/>
          <w:sz w:val="28"/>
          <w:szCs w:val="28"/>
        </w:rPr>
        <w:t>R</w:t>
      </w:r>
      <w:r>
        <w:rPr>
          <w:rFonts w:hint="eastAsia" w:ascii="楷体_GB2312" w:hAnsi="Times New Roman" w:eastAsia="楷体_GB2312"/>
          <w:sz w:val="28"/>
          <w:szCs w:val="28"/>
        </w:rPr>
        <w:t>＆</w:t>
      </w:r>
      <w:r>
        <w:rPr>
          <w:rFonts w:ascii="楷体_GB2312" w:hAnsi="Arial" w:eastAsia="楷体_GB2312" w:cs="Arial"/>
          <w:sz w:val="28"/>
          <w:szCs w:val="28"/>
        </w:rPr>
        <w:t>D</w:t>
      </w:r>
      <w:r>
        <w:rPr>
          <w:rFonts w:hint="eastAsia" w:ascii="楷体_GB2312" w:hAnsi="Times New Roman" w:eastAsia="楷体_GB2312"/>
          <w:sz w:val="28"/>
          <w:szCs w:val="28"/>
        </w:rPr>
        <w:t>）、采购与供应（</w:t>
      </w:r>
      <w:r>
        <w:rPr>
          <w:rFonts w:ascii="楷体_GB2312" w:hAnsi="Arial" w:eastAsia="楷体_GB2312" w:cs="Arial"/>
          <w:sz w:val="28"/>
          <w:szCs w:val="28"/>
        </w:rPr>
        <w:t>P</w:t>
      </w:r>
      <w:r>
        <w:rPr>
          <w:rFonts w:hint="eastAsia" w:ascii="楷体_GB2312" w:hAnsi="Times New Roman" w:eastAsia="楷体_GB2312"/>
          <w:sz w:val="28"/>
          <w:szCs w:val="28"/>
        </w:rPr>
        <w:t>＆</w:t>
      </w:r>
      <w:r>
        <w:rPr>
          <w:rFonts w:ascii="楷体_GB2312" w:hAnsi="Arial" w:eastAsia="楷体_GB2312" w:cs="Arial"/>
          <w:sz w:val="28"/>
          <w:szCs w:val="28"/>
        </w:rPr>
        <w:t>S</w:t>
      </w:r>
      <w:r>
        <w:rPr>
          <w:rFonts w:hint="eastAsia" w:ascii="楷体_GB2312" w:hAnsi="Times New Roman" w:eastAsia="楷体_GB2312"/>
          <w:sz w:val="28"/>
          <w:szCs w:val="28"/>
        </w:rPr>
        <w:t>）、制造与品质控制（</w:t>
      </w:r>
      <w:r>
        <w:rPr>
          <w:rFonts w:ascii="楷体_GB2312" w:hAnsi="Arial" w:eastAsia="楷体_GB2312" w:cs="Arial"/>
          <w:sz w:val="28"/>
          <w:szCs w:val="28"/>
        </w:rPr>
        <w:t>M</w:t>
      </w:r>
      <w:r>
        <w:rPr>
          <w:rFonts w:hint="eastAsia" w:ascii="楷体_GB2312" w:hAnsi="Times New Roman" w:eastAsia="楷体_GB2312"/>
          <w:sz w:val="28"/>
          <w:szCs w:val="28"/>
        </w:rPr>
        <w:t>＆</w:t>
      </w:r>
      <w:r>
        <w:rPr>
          <w:rFonts w:ascii="楷体_GB2312" w:hAnsi="Arial" w:eastAsia="楷体_GB2312" w:cs="Arial"/>
          <w:sz w:val="28"/>
          <w:szCs w:val="28"/>
        </w:rPr>
        <w:t>QC</w:t>
      </w:r>
      <w:r>
        <w:rPr>
          <w:rFonts w:hint="eastAsia" w:ascii="楷体_GB2312" w:hAnsi="Times New Roman" w:eastAsia="楷体_GB2312"/>
          <w:sz w:val="28"/>
          <w:szCs w:val="28"/>
        </w:rPr>
        <w:t>）、人力资源（</w:t>
      </w:r>
      <w:r>
        <w:rPr>
          <w:rFonts w:ascii="楷体_GB2312" w:hAnsi="Arial" w:eastAsia="楷体_GB2312" w:cs="Arial"/>
          <w:sz w:val="28"/>
          <w:szCs w:val="28"/>
        </w:rPr>
        <w:t>HR</w:t>
      </w:r>
      <w:r>
        <w:rPr>
          <w:rFonts w:hint="eastAsia" w:ascii="楷体_GB2312" w:hAnsi="Times New Roman" w:eastAsia="楷体_GB2312"/>
          <w:sz w:val="28"/>
          <w:szCs w:val="28"/>
        </w:rPr>
        <w:t>）。</w:t>
      </w:r>
    </w:p>
    <w:p>
      <w:pPr>
        <w:spacing w:line="360" w:lineRule="auto"/>
        <w:rPr>
          <w:rFonts w:hint="eastAsia" w:ascii="Arial" w:hAnsi="Arial" w:cs="Arial"/>
          <w:sz w:val="28"/>
          <w:szCs w:val="28"/>
        </w:rPr>
      </w:pPr>
    </w:p>
    <w:p>
      <w:pPr>
        <w:spacing w:line="360" w:lineRule="auto"/>
        <w:rPr>
          <w:rFonts w:hint="eastAsia"/>
        </w:rPr>
      </w:pPr>
      <w:r>
        <w:rPr>
          <w:rFonts w:hint="eastAsia"/>
          <w:sz w:val="28"/>
          <w:szCs w:val="28"/>
        </w:rPr>
        <w:t>市场开发（</w:t>
      </w:r>
      <w:r>
        <w:rPr>
          <w:rFonts w:ascii="Arial" w:hAnsi="Arial" w:cs="Arial"/>
          <w:sz w:val="28"/>
          <w:szCs w:val="28"/>
        </w:rPr>
        <w:t>M</w:t>
      </w:r>
      <w:r>
        <w:rPr>
          <w:rFonts w:hint="eastAsia"/>
          <w:sz w:val="28"/>
          <w:szCs w:val="28"/>
        </w:rPr>
        <w:t>＆</w:t>
      </w:r>
      <w:r>
        <w:rPr>
          <w:rFonts w:ascii="Arial" w:hAnsi="Arial" w:cs="Arial"/>
          <w:sz w:val="28"/>
          <w:szCs w:val="28"/>
        </w:rPr>
        <w:t>D</w:t>
      </w:r>
      <w:r>
        <w:rPr>
          <w:rFonts w:hint="eastAsia"/>
          <w:sz w:val="28"/>
          <w:szCs w:val="28"/>
        </w:rPr>
        <w:t>）</w:t>
      </w:r>
      <w:r>
        <w:rPr>
          <w:sz w:val="28"/>
          <w:szCs w:val="28"/>
        </w:rPr>
        <w:t xml:space="preserve"> </w:t>
      </w:r>
    </w:p>
    <w:p>
      <w:pPr>
        <w:rPr>
          <w:rFonts w:hint="eastAsia"/>
          <w:sz w:val="28"/>
          <w:szCs w:val="28"/>
        </w:rPr>
      </w:pPr>
      <w:r>
        <w:rPr>
          <w:rFonts w:hint="eastAsia"/>
          <w:sz w:val="28"/>
          <w:szCs w:val="28"/>
        </w:rPr>
        <w:t>销售目标达成率</w:t>
      </w:r>
    </w:p>
    <w:p>
      <w:pPr>
        <w:rPr>
          <w:rFonts w:hint="eastAsia"/>
          <w:sz w:val="28"/>
          <w:szCs w:val="28"/>
        </w:rPr>
      </w:pPr>
    </w:p>
    <w:tbl>
      <w:tblPr>
        <w:tblStyle w:val="8"/>
        <w:tblW w:w="0" w:type="dxa"/>
        <w:tblInd w:w="0" w:type="dxa"/>
        <w:tblLayout w:type="autofit"/>
        <w:tblCellMar>
          <w:top w:w="45" w:type="dxa"/>
          <w:left w:w="45" w:type="dxa"/>
          <w:bottom w:w="45" w:type="dxa"/>
          <w:right w:w="45" w:type="dxa"/>
        </w:tblCellMar>
      </w:tblPr>
      <w:tblGrid>
        <w:gridCol w:w="1223"/>
        <w:gridCol w:w="7173"/>
      </w:tblGrid>
      <w:tr>
        <w:trPr>
          <w:trHeight w:val="345"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销售目标达成率</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指年度销售目标经分解后形成月度销售目标实际达成的比率。</w:t>
            </w:r>
          </w:p>
        </w:tc>
      </w:tr>
      <w:tr>
        <w:trPr>
          <w:trHeight w:val="315" w:hRule="atLeast"/>
        </w:trPr>
        <w:tc>
          <w:tcPr>
            <w:tcW w:w="13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设立目的</w:t>
            </w:r>
          </w:p>
        </w:tc>
        <w:tc>
          <w:tcPr>
            <w:tcW w:w="817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考核营销部门在销售方面目标与实际情况的对比。销售目标可以用</w:t>
            </w:r>
            <w:r>
              <w:rPr>
                <w:rFonts w:ascii="Arial" w:hAnsi="Arial" w:cs="Arial"/>
              </w:rPr>
              <w:t xml:space="preserve">KVA </w:t>
            </w:r>
            <w:r>
              <w:rPr>
                <w:rFonts w:hint="eastAsia"/>
              </w:rPr>
              <w:t>或金</w:t>
            </w:r>
          </w:p>
        </w:tc>
      </w:tr>
      <w:tr>
        <w:trPr>
          <w:trHeight w:val="315" w:hRule="atLeast"/>
        </w:trPr>
        <w:tc>
          <w:tcPr>
            <w:tcW w:w="138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75"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额作单位，该指标是反映营销部门市场开发力度的一个重要指标。</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销售目标达成率＝实际销售发货额</w:t>
            </w:r>
            <w:r>
              <w:rPr>
                <w:rFonts w:ascii="Arial" w:hAnsi="Arial" w:cs="Arial"/>
              </w:rPr>
              <w:t>(KVA)</w:t>
            </w:r>
            <w:r>
              <w:rPr>
                <w:rFonts w:hint="eastAsia"/>
              </w:rPr>
              <w:t>÷目标销售额</w:t>
            </w:r>
            <w:r>
              <w:rPr>
                <w:rFonts w:ascii="Arial" w:hAnsi="Arial" w:cs="Arial"/>
              </w:rPr>
              <w:t>(KVA)</w:t>
            </w:r>
            <w:r>
              <w:t>×</w:t>
            </w:r>
            <w:r>
              <w:rPr>
                <w:rFonts w:ascii="Arial" w:hAnsi="Arial" w:cs="Arial"/>
              </w:rPr>
              <w:t xml:space="preserve">100% </w:t>
            </w:r>
          </w:p>
        </w:tc>
      </w:tr>
      <w:tr>
        <w:trPr>
          <w:trHeight w:val="1260" w:hRule="atLeast"/>
        </w:trPr>
        <w:tc>
          <w:tcPr>
            <w:tcW w:w="138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相关说明</w:t>
            </w:r>
          </w:p>
        </w:tc>
        <w:tc>
          <w:tcPr>
            <w:tcW w:w="8175" w:type="dxa"/>
            <w:tcBorders>
              <w:top w:val="single" w:color="000000" w:sz="6" w:space="0"/>
              <w:left w:val="single" w:color="000000" w:sz="6" w:space="0"/>
              <w:bottom w:val="single" w:color="000000" w:sz="6" w:space="0"/>
              <w:right w:val="single" w:color="000000" w:sz="6" w:space="0"/>
            </w:tcBorders>
            <w:noWrap w:val="0"/>
            <w:vAlign w:val="top"/>
          </w:tcPr>
          <w:p>
            <w:pPr>
              <w:jc w:val="left"/>
              <w:rPr>
                <w:rFonts w:hint="eastAsia"/>
              </w:rPr>
            </w:pPr>
            <w:r>
              <w:rPr>
                <w:rFonts w:hint="eastAsia"/>
              </w:rPr>
              <w:t>·销售业绩以销售发货额统计。</w:t>
            </w:r>
          </w:p>
          <w:p>
            <w:pPr>
              <w:jc w:val="left"/>
              <w:rPr>
                <w:rFonts w:hint="eastAsia"/>
              </w:rPr>
            </w:pPr>
            <w:r>
              <w:rPr>
                <w:rFonts w:hint="eastAsia"/>
              </w:rPr>
              <w:t>·该指标可作每日管理工具由营销每日自行累计。</w:t>
            </w:r>
          </w:p>
          <w:p>
            <w:pPr>
              <w:jc w:val="left"/>
              <w:rPr>
                <w:rFonts w:hint="eastAsia"/>
              </w:rPr>
            </w:pPr>
            <w:r>
              <w:rPr>
                <w:rFonts w:hint="eastAsia"/>
              </w:rPr>
              <w:t>·每月、每年指标可作管理及考核指标。</w:t>
            </w:r>
          </w:p>
          <w:p>
            <w:pPr>
              <w:jc w:val="left"/>
              <w:rPr>
                <w:rFonts w:ascii="宋体" w:hAnsi="宋体"/>
                <w:color w:val="000000"/>
                <w:sz w:val="24"/>
              </w:rPr>
            </w:pPr>
            <w:r>
              <w:rPr>
                <w:rFonts w:hint="eastAsia"/>
              </w:rPr>
              <w:t>·各类产品可分别进行统计。</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财务报表：由财务部门提供</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每日、每月一次</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p>
    <w:p>
      <w:pPr>
        <w:rPr>
          <w:rFonts w:hint="eastAsia"/>
        </w:rPr>
      </w:pPr>
    </w:p>
    <w:p>
      <w:pPr>
        <w:rPr>
          <w:rFonts w:hint="eastAsia"/>
        </w:rPr>
      </w:pPr>
      <w:r>
        <w:rPr>
          <w:rFonts w:hint="eastAsia"/>
          <w:sz w:val="28"/>
          <w:szCs w:val="28"/>
        </w:rPr>
        <w:t>销售增长率</w:t>
      </w:r>
    </w:p>
    <w:p>
      <w:pPr>
        <w:rPr>
          <w:rFonts w:hint="eastAsia"/>
        </w:rPr>
      </w:pPr>
    </w:p>
    <w:tbl>
      <w:tblPr>
        <w:tblStyle w:val="8"/>
        <w:tblW w:w="0" w:type="dxa"/>
        <w:tblInd w:w="0" w:type="dxa"/>
        <w:tblLayout w:type="autofit"/>
        <w:tblCellMar>
          <w:top w:w="45" w:type="dxa"/>
          <w:left w:w="45" w:type="dxa"/>
          <w:bottom w:w="45" w:type="dxa"/>
          <w:right w:w="45" w:type="dxa"/>
        </w:tblCellMar>
      </w:tblPr>
      <w:tblGrid>
        <w:gridCol w:w="1223"/>
        <w:gridCol w:w="7173"/>
      </w:tblGrid>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销售增长率</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产品的销售额</w:t>
            </w:r>
            <w:r>
              <w:rPr>
                <w:rFonts w:ascii="Arial" w:hAnsi="Arial" w:cs="Arial"/>
              </w:rPr>
              <w:t>(KVA)</w:t>
            </w:r>
            <w:r>
              <w:rPr>
                <w:rFonts w:hint="eastAsia"/>
              </w:rPr>
              <w:t>比去年同期增长的百分比。</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反映当期产品销售与去年同期销售相比的增长情况。</w:t>
            </w:r>
          </w:p>
        </w:tc>
      </w:tr>
      <w:tr>
        <w:trPr>
          <w:trHeight w:val="330" w:hRule="atLeast"/>
        </w:trPr>
        <w:tc>
          <w:tcPr>
            <w:tcW w:w="13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计算公式</w:t>
            </w:r>
          </w:p>
        </w:tc>
        <w:tc>
          <w:tcPr>
            <w:tcW w:w="817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销售增长率＝</w:t>
            </w:r>
            <w:r>
              <w:rPr>
                <w:rFonts w:ascii="Arial" w:hAnsi="Arial" w:cs="Arial"/>
              </w:rPr>
              <w:t>(</w:t>
            </w:r>
            <w:r>
              <w:rPr>
                <w:rFonts w:hint="eastAsia"/>
              </w:rPr>
              <w:t>本月实际销售额</w:t>
            </w:r>
            <w:r>
              <w:rPr>
                <w:rFonts w:ascii="Arial" w:hAnsi="Arial" w:cs="Arial"/>
              </w:rPr>
              <w:t>(KVA)</w:t>
            </w:r>
            <w:r>
              <w:rPr>
                <w:rFonts w:hint="eastAsia"/>
              </w:rPr>
              <w:t>—去年同期销售额</w:t>
            </w:r>
            <w:r>
              <w:rPr>
                <w:rFonts w:ascii="Arial" w:hAnsi="Arial" w:cs="Arial"/>
              </w:rPr>
              <w:t>(KVA))</w:t>
            </w:r>
            <w:r>
              <w:rPr>
                <w:rFonts w:hint="eastAsia"/>
              </w:rPr>
              <w:t>÷去年同期销</w:t>
            </w:r>
          </w:p>
        </w:tc>
      </w:tr>
      <w:tr>
        <w:trPr>
          <w:trHeight w:val="300" w:hRule="atLeast"/>
        </w:trPr>
        <w:tc>
          <w:tcPr>
            <w:tcW w:w="138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75"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售额</w:t>
            </w:r>
            <w:r>
              <w:rPr>
                <w:rFonts w:ascii="Arial" w:hAnsi="Arial" w:cs="Arial"/>
              </w:rPr>
              <w:t>(KVA)</w:t>
            </w:r>
            <w:r>
              <w:t>×</w:t>
            </w:r>
            <w:r>
              <w:rPr>
                <w:rFonts w:ascii="Arial" w:hAnsi="Arial" w:cs="Arial"/>
              </w:rPr>
              <w:t xml:space="preserve">100% </w:t>
            </w:r>
          </w:p>
        </w:tc>
      </w:tr>
      <w:tr>
        <w:trPr>
          <w:trHeight w:val="315" w:hRule="atLeast"/>
        </w:trPr>
        <w:tc>
          <w:tcPr>
            <w:tcW w:w="13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7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·可按产品种类统计。</w:t>
            </w:r>
          </w:p>
        </w:tc>
      </w:tr>
      <w:tr>
        <w:trPr>
          <w:trHeight w:val="315" w:hRule="atLeast"/>
        </w:trPr>
        <w:tc>
          <w:tcPr>
            <w:tcW w:w="1380"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175"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·销售额要以实际出货的为基准。</w:t>
            </w:r>
          </w:p>
        </w:tc>
      </w:tr>
      <w:tr>
        <w:trPr>
          <w:trHeight w:val="315" w:hRule="atLeast"/>
        </w:trPr>
        <w:tc>
          <w:tcPr>
            <w:tcW w:w="138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75"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·在管理运用上，可按营业区作统计分析。</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市场部、财务部</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市场部的销售统计和财务报表</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p>
    <w:p>
      <w:pPr>
        <w:rPr>
          <w:rFonts w:hint="eastAsia"/>
        </w:rPr>
      </w:pPr>
      <w:r>
        <w:rPr>
          <w:rFonts w:hint="eastAsia"/>
          <w:sz w:val="28"/>
          <w:szCs w:val="28"/>
        </w:rPr>
        <w:t>市场拓展投入产出比</w:t>
      </w:r>
      <w:r>
        <w:t xml:space="preserve"> </w:t>
      </w:r>
    </w:p>
    <w:p>
      <w:pPr>
        <w:rPr>
          <w:rFonts w:hint="eastAsia"/>
        </w:rPr>
      </w:pPr>
    </w:p>
    <w:tbl>
      <w:tblPr>
        <w:tblStyle w:val="8"/>
        <w:tblW w:w="0" w:type="dxa"/>
        <w:tblInd w:w="0" w:type="dxa"/>
        <w:tblLayout w:type="autofit"/>
        <w:tblCellMar>
          <w:top w:w="45" w:type="dxa"/>
          <w:left w:w="45" w:type="dxa"/>
          <w:bottom w:w="45" w:type="dxa"/>
          <w:right w:w="45" w:type="dxa"/>
        </w:tblCellMar>
      </w:tblPr>
      <w:tblGrid>
        <w:gridCol w:w="1296"/>
        <w:gridCol w:w="7100"/>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市场拓展投入产出比</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某一时期市场拓展销售费用支出占该月度销售额的比率。</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考核市场开发和推广中市场部门的工作业绩。同时了解市场部门的市场开发</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投入产出比率。简单地说，就是每花一元钱，作多少生意。</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市场拓展投入产出比</w:t>
            </w:r>
            <w:r>
              <w:rPr>
                <w:rFonts w:ascii="Arial" w:hAnsi="Arial" w:cs="Arial"/>
              </w:rPr>
              <w:t>=</w:t>
            </w:r>
            <w:r>
              <w:rPr>
                <w:rFonts w:hint="eastAsia"/>
              </w:rPr>
              <w:t>市场拓展销售费用÷销售额×</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·费用总计包括房租金、工资、差旅、交通费、广促费用、折扣等</w:t>
            </w:r>
          </w:p>
        </w:tc>
      </w:tr>
      <w:tr>
        <w:trPr>
          <w:trHeight w:val="315"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·销售额应以合同金额为准。</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·在管理运用上，可按营业区作统计分析。</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市场部的销售统计和财务资料</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p>
    <w:p>
      <w:pPr>
        <w:rPr>
          <w:rFonts w:hint="eastAsia"/>
          <w:sz w:val="28"/>
          <w:szCs w:val="28"/>
        </w:rPr>
      </w:pPr>
    </w:p>
    <w:p>
      <w:pPr>
        <w:rPr>
          <w:rFonts w:hint="eastAsia"/>
          <w:sz w:val="28"/>
          <w:szCs w:val="28"/>
        </w:rPr>
      </w:pPr>
    </w:p>
    <w:p>
      <w:pPr>
        <w:rPr>
          <w:rFonts w:hint="eastAsia"/>
        </w:rPr>
      </w:pPr>
      <w:r>
        <w:rPr>
          <w:rFonts w:hint="eastAsia"/>
          <w:sz w:val="28"/>
          <w:szCs w:val="28"/>
        </w:rPr>
        <w:t>货款回收计划完成率</w:t>
      </w:r>
      <w:r>
        <w:t xml:space="preserve"> </w:t>
      </w:r>
    </w:p>
    <w:p>
      <w:pPr>
        <w:rPr>
          <w:rFonts w:hint="eastAsia"/>
        </w:rPr>
      </w:pPr>
    </w:p>
    <w:tbl>
      <w:tblPr>
        <w:tblStyle w:val="8"/>
        <w:tblW w:w="0" w:type="dxa"/>
        <w:tblInd w:w="0" w:type="dxa"/>
        <w:tblLayout w:type="autofit"/>
        <w:tblCellMar>
          <w:top w:w="45" w:type="dxa"/>
          <w:left w:w="45" w:type="dxa"/>
          <w:bottom w:w="45" w:type="dxa"/>
          <w:right w:w="45" w:type="dxa"/>
        </w:tblCellMar>
      </w:tblPr>
      <w:tblGrid>
        <w:gridCol w:w="1296"/>
        <w:gridCol w:w="7100"/>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货款回收计划完成率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指在一定时期内货款回收金额与计划回收金额之比</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考核市场部货款回收的管理和业绩。</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货款回收计划完成率＝货款回款金额÷计划回款金额×</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·按财务规定的付款进度进行统计。</w:t>
            </w:r>
          </w:p>
        </w:tc>
      </w:tr>
      <w:tr>
        <w:trPr>
          <w:trHeight w:val="330"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·该指标可作每日管理工具由市场部每日自行累计，月度以财务报表为</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准。</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市场部的货款统计和财务资料</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每日、每月一次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合同执行比率</w:t>
      </w:r>
      <w:r>
        <w:t xml:space="preserve"> </w:t>
      </w:r>
    </w:p>
    <w:tbl>
      <w:tblPr>
        <w:tblStyle w:val="8"/>
        <w:tblW w:w="0" w:type="dxa"/>
        <w:tblInd w:w="0" w:type="dxa"/>
        <w:tblLayout w:type="autofit"/>
        <w:tblCellMar>
          <w:top w:w="45" w:type="dxa"/>
          <w:left w:w="45" w:type="dxa"/>
          <w:bottom w:w="45" w:type="dxa"/>
          <w:right w:w="45" w:type="dxa"/>
        </w:tblCellMar>
      </w:tblPr>
      <w:tblGrid>
        <w:gridCol w:w="1287"/>
        <w:gridCol w:w="7109"/>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合同执行比率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以月度或年度到期合同的执行情况。</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该指标针对市场部或业务员对合同的预审及追踪力。</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合同执行比率</w:t>
            </w:r>
            <w:r>
              <w:rPr>
                <w:rFonts w:ascii="Arial" w:hAnsi="Arial" w:cs="Arial"/>
              </w:rPr>
              <w:t>=</w:t>
            </w:r>
            <w:r>
              <w:rPr>
                <w:rFonts w:hint="eastAsia"/>
              </w:rPr>
              <w:t>当期合同执行金额</w:t>
            </w:r>
            <w:r>
              <w:rPr>
                <w:rFonts w:ascii="Arial" w:hAnsi="Arial" w:cs="Arial"/>
              </w:rPr>
              <w:t>(KVA)</w:t>
            </w:r>
            <w:r>
              <w:rPr>
                <w:rFonts w:hint="eastAsia"/>
              </w:rPr>
              <w:t>÷当期合同应执行金额</w:t>
            </w:r>
            <w:r>
              <w:rPr>
                <w:rFonts w:ascii="Arial" w:hAnsi="Arial" w:cs="Arial"/>
              </w:rPr>
              <w:t>(KVA)</w:t>
            </w:r>
            <w:r>
              <w:t>×</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·预先获得客户书面展延的合同以展延的日期为统计基准。</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·展延通知必需在交期前多少天通知，由公司决定。</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市场部的货款统计和财务资料</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每月、每年一次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p>
    <w:p>
      <w:pPr>
        <w:rPr>
          <w:rFonts w:hint="eastAsia"/>
        </w:rPr>
      </w:pPr>
      <w:r>
        <w:rPr>
          <w:rFonts w:hint="eastAsia"/>
          <w:sz w:val="28"/>
          <w:szCs w:val="28"/>
        </w:rPr>
        <w:t>成品库存周转率</w:t>
      </w:r>
      <w:r>
        <w:t xml:space="preserve"> </w:t>
      </w:r>
    </w:p>
    <w:tbl>
      <w:tblPr>
        <w:tblStyle w:val="8"/>
        <w:tblW w:w="0" w:type="dxa"/>
        <w:tblInd w:w="0" w:type="dxa"/>
        <w:tblLayout w:type="autofit"/>
        <w:tblCellMar>
          <w:top w:w="45" w:type="dxa"/>
          <w:left w:w="45" w:type="dxa"/>
          <w:bottom w:w="45" w:type="dxa"/>
          <w:right w:w="45" w:type="dxa"/>
        </w:tblCellMar>
      </w:tblPr>
      <w:tblGrid>
        <w:gridCol w:w="1291"/>
        <w:gridCol w:w="7105"/>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成品库存周转率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一定时期内，成品实际库存的平均周转次数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反映市场部成品库存周转情况，即反映商品变现速度</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成品库存周转率＝本期出货金额÷</w:t>
            </w:r>
            <w:r>
              <w:rPr>
                <w:rFonts w:ascii="Arial" w:hAnsi="Arial" w:cs="Arial"/>
              </w:rPr>
              <w:t>((</w:t>
            </w:r>
            <w:r>
              <w:rPr>
                <w:rFonts w:hint="eastAsia"/>
              </w:rPr>
              <w:t>期出库存额</w:t>
            </w:r>
            <w:r>
              <w:rPr>
                <w:rFonts w:ascii="Arial" w:hAnsi="Arial" w:cs="Arial"/>
              </w:rPr>
              <w:t>+</w:t>
            </w:r>
            <w:r>
              <w:rPr>
                <w:rFonts w:hint="eastAsia"/>
              </w:rPr>
              <w:t>期末库存额÷</w:t>
            </w:r>
            <w:r>
              <w:rPr>
                <w:rFonts w:ascii="Arial" w:hAnsi="Arial" w:cs="Arial"/>
              </w:rPr>
              <w:t>2)</w:t>
            </w:r>
            <w:r>
              <w:t>×</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·成品计算用元或</w:t>
            </w:r>
            <w:r>
              <w:rPr>
                <w:rFonts w:ascii="Arial" w:hAnsi="Arial" w:cs="Arial"/>
              </w:rPr>
              <w:t>KVA</w:t>
            </w:r>
            <w:r>
              <w:rPr>
                <w:rFonts w:hint="eastAsia"/>
              </w:rPr>
              <w:t>。</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·出货金额以合同金额或标准价格计算。</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市场部的销售统计、成品仓库的库存报表、财务部的财务报表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每月、每年一次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r>
    </w:tbl>
    <w:p>
      <w:pPr>
        <w:rPr>
          <w:rFonts w:hint="eastAsia"/>
        </w:rPr>
      </w:pPr>
    </w:p>
    <w:p>
      <w:pPr>
        <w:rPr>
          <w:rFonts w:hint="eastAsia"/>
        </w:rPr>
      </w:pPr>
      <w:r>
        <w:rPr>
          <w:rFonts w:hint="eastAsia"/>
          <w:sz w:val="28"/>
          <w:szCs w:val="28"/>
        </w:rPr>
        <w:t>市场占有率</w:t>
      </w:r>
      <w:r>
        <w:t xml:space="preserve"> </w:t>
      </w:r>
    </w:p>
    <w:tbl>
      <w:tblPr>
        <w:tblStyle w:val="8"/>
        <w:tblW w:w="0" w:type="dxa"/>
        <w:tblInd w:w="0" w:type="dxa"/>
        <w:tblLayout w:type="autofit"/>
        <w:tblCellMar>
          <w:top w:w="45" w:type="dxa"/>
          <w:left w:w="45" w:type="dxa"/>
          <w:bottom w:w="45" w:type="dxa"/>
          <w:right w:w="45" w:type="dxa"/>
        </w:tblCellMar>
      </w:tblPr>
      <w:tblGrid>
        <w:gridCol w:w="1227"/>
        <w:gridCol w:w="7169"/>
      </w:tblGrid>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市场占有率</w:t>
            </w:r>
          </w:p>
        </w:tc>
      </w:tr>
      <w:tr>
        <w:trPr>
          <w:trHeight w:val="330" w:hRule="atLeast"/>
        </w:trPr>
        <w:tc>
          <w:tcPr>
            <w:tcW w:w="13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指标定义</w:t>
            </w:r>
          </w:p>
        </w:tc>
        <w:tc>
          <w:tcPr>
            <w:tcW w:w="817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某一时期内产品在一定地理区域（根据市场分割）的占有比率，是针对竞争</w:t>
            </w:r>
          </w:p>
        </w:tc>
      </w:tr>
      <w:tr>
        <w:trPr>
          <w:trHeight w:val="300" w:hRule="atLeast"/>
        </w:trPr>
        <w:tc>
          <w:tcPr>
            <w:tcW w:w="138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75"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对手而言的。</w:t>
            </w:r>
          </w:p>
        </w:tc>
      </w:tr>
      <w:tr>
        <w:trPr>
          <w:trHeight w:val="330" w:hRule="atLeast"/>
        </w:trPr>
        <w:tc>
          <w:tcPr>
            <w:tcW w:w="13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设立目的</w:t>
            </w:r>
          </w:p>
        </w:tc>
        <w:tc>
          <w:tcPr>
            <w:tcW w:w="817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通过了解每年在各地区产品市场中所拥有的份额情况，来反映市场开发中各</w:t>
            </w:r>
          </w:p>
        </w:tc>
      </w:tr>
      <w:tr>
        <w:trPr>
          <w:trHeight w:val="300" w:hRule="atLeast"/>
        </w:trPr>
        <w:tc>
          <w:tcPr>
            <w:tcW w:w="138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75"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类产品在市场情况，同时也间接了解竞争对手市场占有情况。</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市场占有率＝年度产品销售量</w:t>
            </w:r>
            <w:r>
              <w:rPr>
                <w:rFonts w:ascii="Arial" w:hAnsi="Arial" w:cs="Arial"/>
              </w:rPr>
              <w:t>(</w:t>
            </w:r>
            <w:r>
              <w:rPr>
                <w:rFonts w:hint="eastAsia"/>
              </w:rPr>
              <w:t>额</w:t>
            </w:r>
            <w:r>
              <w:rPr>
                <w:rFonts w:ascii="Arial" w:hAnsi="Arial" w:cs="Arial"/>
              </w:rPr>
              <w:t>)</w:t>
            </w:r>
            <w:r>
              <w:rPr>
                <w:rFonts w:hint="eastAsia"/>
              </w:rPr>
              <w:t>÷国内年度同类产品销售量</w:t>
            </w:r>
            <w:r>
              <w:rPr>
                <w:rFonts w:ascii="Arial" w:hAnsi="Arial" w:cs="Arial"/>
              </w:rPr>
              <w:t>(</w:t>
            </w:r>
            <w:r>
              <w:rPr>
                <w:rFonts w:hint="eastAsia"/>
              </w:rPr>
              <w:t>额</w:t>
            </w:r>
            <w:r>
              <w:rPr>
                <w:rFonts w:ascii="Arial" w:hAnsi="Arial" w:cs="Arial"/>
              </w:rPr>
              <w:t>)</w:t>
            </w:r>
            <w:r>
              <w:t>×</w:t>
            </w:r>
            <w:r>
              <w:rPr>
                <w:rFonts w:ascii="Arial" w:hAnsi="Arial" w:cs="Arial"/>
              </w:rPr>
              <w:t xml:space="preserve">100% </w:t>
            </w:r>
          </w:p>
        </w:tc>
      </w:tr>
      <w:tr>
        <w:trPr>
          <w:trHeight w:val="645" w:hRule="atLeast"/>
        </w:trPr>
        <w:tc>
          <w:tcPr>
            <w:tcW w:w="1380" w:type="dxa"/>
            <w:tcBorders>
              <w:top w:val="single" w:color="000000" w:sz="6" w:space="0"/>
              <w:left w:val="single" w:color="000000" w:sz="6" w:space="0"/>
              <w:bottom w:val="nil"/>
              <w:right w:val="single" w:color="000000" w:sz="6" w:space="0"/>
            </w:tcBorders>
            <w:noWrap w:val="0"/>
            <w:vAlign w:val="top"/>
          </w:tcPr>
          <w:p>
            <w:pPr>
              <w:jc w:val="left"/>
              <w:rPr>
                <w:rFonts w:ascii="宋体" w:hAnsi="宋体"/>
                <w:color w:val="000000"/>
                <w:sz w:val="24"/>
              </w:rPr>
            </w:pPr>
            <w:r>
              <w:rPr>
                <w:rFonts w:hint="eastAsia"/>
              </w:rPr>
              <w:t>相关说明</w:t>
            </w:r>
          </w:p>
        </w:tc>
        <w:tc>
          <w:tcPr>
            <w:tcW w:w="817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·产品种类为按</w:t>
            </w:r>
            <w:r>
              <w:rPr>
                <w:rFonts w:ascii="Arial" w:hAnsi="Arial" w:cs="Arial"/>
              </w:rPr>
              <w:t>KVA</w:t>
            </w:r>
            <w:r>
              <w:rPr>
                <w:rFonts w:hint="eastAsia"/>
              </w:rPr>
              <w:t>（或元）</w:t>
            </w:r>
            <w:r>
              <w:rPr>
                <w:rFonts w:ascii="Arial" w:hAnsi="Arial" w:cs="Arial"/>
              </w:rPr>
              <w:t>,</w:t>
            </w:r>
            <w:r>
              <w:rPr>
                <w:rFonts w:hint="eastAsia"/>
              </w:rPr>
              <w:t>统计数据收集周期每年一次·根据年度销售，确定与上一年同期对比。</w:t>
            </w:r>
          </w:p>
        </w:tc>
      </w:tr>
      <w:tr>
        <w:trPr>
          <w:trHeight w:val="315" w:hRule="atLeast"/>
        </w:trPr>
        <w:tc>
          <w:tcPr>
            <w:tcW w:w="1380"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175"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·如果没有上一年同期的资料，可以确定与本期计划相比。</w:t>
            </w:r>
          </w:p>
        </w:tc>
      </w:tr>
      <w:tr>
        <w:trPr>
          <w:trHeight w:val="315" w:hRule="atLeast"/>
        </w:trPr>
        <w:tc>
          <w:tcPr>
            <w:tcW w:w="138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75"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·资料正确性的确认有一定困难度，建议只作管理参考用。</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市场调查、政府公报</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每年或半年一次</w:t>
            </w:r>
          </w:p>
        </w:tc>
      </w:tr>
      <w:tr>
        <w:trPr>
          <w:trHeight w:val="330" w:hRule="atLeast"/>
        </w:trPr>
        <w:tc>
          <w:tcPr>
            <w:tcW w:w="13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7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市场竞争比率</w:t>
      </w:r>
      <w:r>
        <w:t xml:space="preserve"> </w:t>
      </w:r>
    </w:p>
    <w:tbl>
      <w:tblPr>
        <w:tblStyle w:val="8"/>
        <w:tblW w:w="0" w:type="dxa"/>
        <w:tblInd w:w="0" w:type="dxa"/>
        <w:tblLayout w:type="autofit"/>
        <w:tblCellMar>
          <w:top w:w="45" w:type="dxa"/>
          <w:left w:w="45" w:type="dxa"/>
          <w:bottom w:w="45" w:type="dxa"/>
          <w:right w:w="45" w:type="dxa"/>
        </w:tblCellMar>
      </w:tblPr>
      <w:tblGrid>
        <w:gridCol w:w="1296"/>
        <w:gridCol w:w="7100"/>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市场竞争比率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某一时期内，主要产品在市场领域与主要竞争对手进行市场销售对比的情况。</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该指标针对市场主要竞争对手，也可以衡量市场部的相对销售能力。</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市场竞争比率</w:t>
            </w:r>
            <w:r>
              <w:rPr>
                <w:rFonts w:ascii="Arial" w:hAnsi="Arial" w:cs="Arial"/>
              </w:rPr>
              <w:t>=</w:t>
            </w:r>
            <w:r>
              <w:rPr>
                <w:rFonts w:hint="eastAsia"/>
              </w:rPr>
              <w:t>事业部实际销售额÷主要竞争对手销售额×</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·主要竞争对手可以规定为国内最强的</w:t>
            </w:r>
            <w:r>
              <w:rPr>
                <w:rFonts w:ascii="Arial" w:hAnsi="Arial" w:cs="Arial"/>
              </w:rPr>
              <w:t xml:space="preserve">2~3 </w:t>
            </w:r>
            <w:r>
              <w:rPr>
                <w:rFonts w:hint="eastAsia"/>
              </w:rPr>
              <w:t>个对手</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·资料正确性的确认有一定困难度，建议只作管理参考用。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各地竞标统计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每月、每年一次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品牌认识度</w:t>
      </w:r>
      <w:r>
        <w:t xml:space="preserve"> </w:t>
      </w:r>
    </w:p>
    <w:tbl>
      <w:tblPr>
        <w:tblStyle w:val="8"/>
        <w:tblW w:w="0" w:type="dxa"/>
        <w:tblInd w:w="0" w:type="dxa"/>
        <w:tblLayout w:type="autofit"/>
        <w:tblCellMar>
          <w:top w:w="45" w:type="dxa"/>
          <w:left w:w="45" w:type="dxa"/>
          <w:bottom w:w="45" w:type="dxa"/>
          <w:right w:w="45" w:type="dxa"/>
        </w:tblCellMar>
      </w:tblPr>
      <w:tblGrid>
        <w:gridCol w:w="1296"/>
        <w:gridCol w:w="7100"/>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品牌认识度</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表示透过了</w:t>
            </w:r>
            <w:r>
              <w:rPr>
                <w:rFonts w:ascii="Arial" w:hAnsi="Arial" w:cs="Arial"/>
              </w:rPr>
              <w:t xml:space="preserve">CI </w:t>
            </w:r>
            <w:r>
              <w:rPr>
                <w:rFonts w:hint="eastAsia"/>
              </w:rPr>
              <w:t>广宣，消费者对企业品牌的认识程度</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考核市场部在品牌宣传的成效</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品牌认识度＝受访的认知人数÷受访总人数×</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·每季度或半年或一年进行一次消费者调查。</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·消费者调查可委托专业调查机构或由市场部执行。</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市场部或调查机构</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调查表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每季度、半年、每年一次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jc w:val="left"/>
        <w:rPr>
          <w:rFonts w:hint="eastAsia"/>
        </w:rPr>
      </w:pPr>
      <w:r>
        <w:rPr>
          <w:rFonts w:hint="eastAsia"/>
          <w:sz w:val="28"/>
          <w:szCs w:val="28"/>
        </w:rPr>
        <w:t>客户服务与管理</w:t>
      </w:r>
      <w:r>
        <w:t xml:space="preserve"> </w:t>
      </w:r>
    </w:p>
    <w:p>
      <w:pPr>
        <w:rPr>
          <w:rFonts w:hint="eastAsia"/>
        </w:rPr>
      </w:pPr>
      <w:r>
        <w:rPr>
          <w:rFonts w:hint="eastAsia"/>
          <w:sz w:val="28"/>
          <w:szCs w:val="28"/>
        </w:rPr>
        <w:t>用户满意综合指数</w:t>
      </w:r>
      <w:r>
        <w:t xml:space="preserve"> </w:t>
      </w:r>
    </w:p>
    <w:tbl>
      <w:tblPr>
        <w:tblStyle w:val="8"/>
        <w:tblW w:w="0" w:type="dxa"/>
        <w:tblInd w:w="0" w:type="dxa"/>
        <w:tblLayout w:type="autofit"/>
        <w:tblCellMar>
          <w:top w:w="45" w:type="dxa"/>
          <w:left w:w="45" w:type="dxa"/>
          <w:bottom w:w="45" w:type="dxa"/>
          <w:right w:w="45" w:type="dxa"/>
        </w:tblCellMar>
      </w:tblPr>
      <w:tblGrid>
        <w:gridCol w:w="1298"/>
        <w:gridCol w:w="7098"/>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用户满意综合指数</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用户对技术、产品质量、交货期、售后服务等方面的综合满意程</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度。</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从用户角度反映公司的服务水平。</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根据调查结果进行统计分析。</w:t>
            </w:r>
          </w:p>
        </w:tc>
      </w:tr>
      <w:tr>
        <w:trPr>
          <w:trHeight w:val="630" w:hRule="atLeast"/>
        </w:trPr>
        <w:tc>
          <w:tcPr>
            <w:tcW w:w="1455" w:type="dxa"/>
            <w:tcBorders>
              <w:top w:val="single" w:color="000000" w:sz="6" w:space="0"/>
              <w:left w:val="single" w:color="000000" w:sz="6" w:space="0"/>
              <w:bottom w:val="nil"/>
              <w:right w:val="single" w:color="000000" w:sz="6" w:space="0"/>
            </w:tcBorders>
            <w:noWrap w:val="0"/>
            <w:vAlign w:val="top"/>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top"/>
          </w:tcPr>
          <w:p>
            <w:pPr>
              <w:jc w:val="left"/>
              <w:rPr>
                <w:rFonts w:ascii="宋体" w:hAnsi="宋体"/>
                <w:color w:val="000000"/>
                <w:sz w:val="24"/>
              </w:rPr>
            </w:pPr>
            <w:r>
              <w:rPr>
                <w:rFonts w:hint="eastAsia"/>
              </w:rPr>
              <w:t>·由企业管理部设计问卷题目和统计方式，评分标准，采用问卷方式·对一定时期内公司的客户进行问卷调查。</w:t>
            </w:r>
          </w:p>
        </w:tc>
      </w:tr>
      <w:tr>
        <w:trPr>
          <w:trHeight w:val="315"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·也可委托第三方进行问卷和统计分析。</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·问卷内容应包括销售时、售后、安装、维修、品质等意见。</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问卷调查</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投诉处理率</w:t>
      </w:r>
      <w:r>
        <w:t xml:space="preserve"> </w:t>
      </w:r>
    </w:p>
    <w:tbl>
      <w:tblPr>
        <w:tblStyle w:val="8"/>
        <w:tblW w:w="0" w:type="dxa"/>
        <w:tblInd w:w="0" w:type="dxa"/>
        <w:tblLayout w:type="autofit"/>
        <w:tblCellMar>
          <w:top w:w="45" w:type="dxa"/>
          <w:left w:w="45" w:type="dxa"/>
          <w:bottom w:w="45" w:type="dxa"/>
          <w:right w:w="45" w:type="dxa"/>
        </w:tblCellMar>
      </w:tblPr>
      <w:tblGrid>
        <w:gridCol w:w="1296"/>
        <w:gridCol w:w="7100"/>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投诉处理率</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在一定时间公司对客户投诉实际处理完毕的投诉数量占总投诉次数的百分</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反映处理用户投诉的工作态度和工作效率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月投诉处理率</w:t>
            </w:r>
            <w:r>
              <w:rPr>
                <w:rFonts w:ascii="Arial" w:hAnsi="Arial" w:cs="Arial"/>
              </w:rPr>
              <w:t>=</w:t>
            </w:r>
            <w:r>
              <w:rPr>
                <w:rFonts w:hint="eastAsia"/>
              </w:rPr>
              <w:t>每月实际处理的投诉数量÷投诉总量×</w:t>
            </w:r>
            <w:r>
              <w:rPr>
                <w:rFonts w:ascii="Arial" w:hAnsi="Arial" w:cs="Arial"/>
              </w:rPr>
              <w:t xml:space="preserve">100% </w:t>
            </w:r>
          </w:p>
        </w:tc>
      </w:tr>
      <w:tr>
        <w:trPr>
          <w:trHeight w:val="1260" w:hRule="atLeast"/>
        </w:trPr>
        <w:tc>
          <w:tcPr>
            <w:tcW w:w="145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·投诉数量指在一定时间内接到的顾客投诉的总和。·可考虑设立专门接受客户投诉的单位和渠道。·投诉处理应建立书面资料。·该指标可作每日管理工具。</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客户投诉管理部门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用户服务投诉受理部门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客户投诉管理部门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每日、每月一次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客户档案完整率</w:t>
      </w:r>
      <w:r>
        <w:t xml:space="preserve"> </w:t>
      </w:r>
    </w:p>
    <w:tbl>
      <w:tblPr>
        <w:tblStyle w:val="8"/>
        <w:tblW w:w="0" w:type="dxa"/>
        <w:tblInd w:w="0" w:type="dxa"/>
        <w:tblLayout w:type="autofit"/>
        <w:tblCellMar>
          <w:top w:w="45" w:type="dxa"/>
          <w:left w:w="45" w:type="dxa"/>
          <w:bottom w:w="45" w:type="dxa"/>
          <w:right w:w="45" w:type="dxa"/>
        </w:tblCellMar>
      </w:tblPr>
      <w:tblGrid>
        <w:gridCol w:w="1296"/>
        <w:gridCol w:w="7100"/>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客户档案完整率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表示各营业区域对客情资料的管理状况。</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反映各地营业区域的营销管理能力和表现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客户档案完整率＝合格档案数÷客户总数×</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·正确地按照企业要求标准执行的视为完整。</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·由各区域总经理负管理责任；市场部定期进行业务考察。</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业务考察</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每季、每月一次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r>
        <w:rPr>
          <w:rFonts w:hint="eastAsia"/>
          <w:sz w:val="28"/>
          <w:szCs w:val="28"/>
        </w:rPr>
        <w:t>研究开发（</w:t>
      </w:r>
      <w:r>
        <w:rPr>
          <w:rFonts w:ascii="Arial" w:hAnsi="Arial" w:cs="Arial"/>
          <w:sz w:val="28"/>
          <w:szCs w:val="28"/>
        </w:rPr>
        <w:t>R&amp;D</w:t>
      </w:r>
      <w:r>
        <w:rPr>
          <w:rFonts w:hint="eastAsia"/>
          <w:sz w:val="28"/>
          <w:szCs w:val="28"/>
        </w:rPr>
        <w:t>）</w:t>
      </w:r>
      <w:r>
        <w:rPr>
          <w:sz w:val="28"/>
          <w:szCs w:val="28"/>
        </w:rPr>
        <w:t xml:space="preserve"> </w:t>
      </w:r>
    </w:p>
    <w:p>
      <w:pPr>
        <w:rPr>
          <w:rFonts w:hint="eastAsia"/>
        </w:rPr>
      </w:pPr>
      <w:r>
        <w:rPr>
          <w:rFonts w:hint="eastAsia"/>
          <w:sz w:val="28"/>
          <w:szCs w:val="28"/>
        </w:rPr>
        <w:t>申请立项通过率</w:t>
      </w:r>
      <w:r>
        <w:t xml:space="preserve"> </w:t>
      </w:r>
    </w:p>
    <w:tbl>
      <w:tblPr>
        <w:tblStyle w:val="8"/>
        <w:tblW w:w="0" w:type="dxa"/>
        <w:tblInd w:w="0" w:type="dxa"/>
        <w:tblLayout w:type="autofit"/>
        <w:tblCellMar>
          <w:top w:w="45" w:type="dxa"/>
          <w:left w:w="45" w:type="dxa"/>
          <w:bottom w:w="45" w:type="dxa"/>
          <w:right w:w="45" w:type="dxa"/>
        </w:tblCellMar>
      </w:tblPr>
      <w:tblGrid>
        <w:gridCol w:w="1296"/>
        <w:gridCol w:w="7100"/>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申请立项通过率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某一时期，研发部门产品申请立项通过的比率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考察科研中心产品立项质量情况</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申请立项通过率＝产品立项通过数÷立项总数×</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·该指标可以研发小组或个人进行统计。</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·研发部门以季、半年、年提出研发立项计划。</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研发部门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研发部门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每半年、每年一次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项目及时完成率（月度计划完成率）</w:t>
      </w:r>
      <w:r>
        <w:t xml:space="preserve"> </w:t>
      </w:r>
    </w:p>
    <w:p/>
    <w:p>
      <w:pPr>
        <w:rPr>
          <w:vanish/>
        </w:rPr>
      </w:pPr>
    </w:p>
    <w:p>
      <w:pPr>
        <w:rPr>
          <w:vanish/>
        </w:rPr>
      </w:pPr>
    </w:p>
    <w:p>
      <w:pPr>
        <w:rPr>
          <w:vanish/>
        </w:rPr>
      </w:pPr>
    </w:p>
    <w:p>
      <w:pPr>
        <w:rPr>
          <w:vanish/>
        </w:rPr>
      </w:pPr>
    </w:p>
    <w:p>
      <w:pPr>
        <w:rPr>
          <w:vanish/>
        </w:rPr>
      </w:pPr>
    </w:p>
    <w:p>
      <w:pPr>
        <w:rPr>
          <w:vanish/>
        </w:rPr>
      </w:pPr>
    </w:p>
    <w:p>
      <w:pPr>
        <w:rPr>
          <w:vanish/>
        </w:rPr>
      </w:pPr>
    </w:p>
    <w:p>
      <w:pPr>
        <w:rPr>
          <w:vanish/>
        </w:rPr>
      </w:pPr>
    </w:p>
    <w:p>
      <w:pPr>
        <w:rPr>
          <w:vanish/>
        </w:rPr>
      </w:pPr>
    </w:p>
    <w:p>
      <w:pPr>
        <w:rPr>
          <w:vanish/>
        </w:rPr>
      </w:pPr>
    </w:p>
    <w:p>
      <w:pPr>
        <w:rPr>
          <w:vanish/>
        </w:rPr>
      </w:pPr>
    </w:p>
    <w:p>
      <w:pPr>
        <w:rPr>
          <w:vanish/>
        </w:rPr>
      </w:pPr>
    </w:p>
    <w:p>
      <w:pPr>
        <w:rPr>
          <w:vanish/>
        </w:rPr>
      </w:pPr>
    </w:p>
    <w:tbl>
      <w:tblPr>
        <w:tblStyle w:val="8"/>
        <w:tblW w:w="0" w:type="dxa"/>
        <w:tblInd w:w="0" w:type="dxa"/>
        <w:tblLayout w:type="autofit"/>
        <w:tblCellMar>
          <w:top w:w="45" w:type="dxa"/>
          <w:left w:w="45" w:type="dxa"/>
          <w:bottom w:w="45" w:type="dxa"/>
          <w:right w:w="45" w:type="dxa"/>
        </w:tblCellMar>
      </w:tblPr>
      <w:tblGrid>
        <w:gridCol w:w="1296"/>
        <w:gridCol w:w="7100"/>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项目及时完成率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某一时期研发部门立项产品实际完成量与计划完成量的比率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考核研发部门的项目及时完成情况</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项目及时完成率＝实际完成量÷计划完成量×</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·计划完成量根据研发部门月滚动计划计算。</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·当期未完成项目，递延下期计算。</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研发部门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研发部门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每半年、每年一次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vanish/>
        </w:rPr>
      </w:pPr>
    </w:p>
    <w:p>
      <w:pPr>
        <w:rPr>
          <w:vanish/>
        </w:rPr>
      </w:pPr>
    </w:p>
    <w:p>
      <w:pPr>
        <w:rPr>
          <w:vanish/>
        </w:rPr>
      </w:pPr>
    </w:p>
    <w:tbl>
      <w:tblPr>
        <w:tblStyle w:val="8"/>
        <w:tblW w:w="0" w:type="dxa"/>
        <w:tblInd w:w="0" w:type="dxa"/>
        <w:tblLayout w:type="autofit"/>
        <w:tblCellMar>
          <w:top w:w="45" w:type="dxa"/>
          <w:left w:w="45" w:type="dxa"/>
          <w:bottom w:w="45" w:type="dxa"/>
          <w:right w:w="45" w:type="dxa"/>
        </w:tblCellMar>
      </w:tblPr>
      <w:tblGrid>
        <w:gridCol w:w="1278"/>
        <w:gridCol w:w="7118"/>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设计及时完成率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某一时期技术部设计实际完成量与计划完成量的比率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考核技术部门的项目及时完成情况</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设计及时完成率＝实际按期完成量÷计划完成量×</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·计划完成量根据技术部门月滚动计划计算。</w:t>
            </w:r>
          </w:p>
        </w:tc>
      </w:tr>
      <w:tr>
        <w:trPr>
          <w:trHeight w:val="94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·当期未完成项目，递延下期计算。·及时完成率也可以个案及时完成得</w:t>
            </w:r>
            <w:r>
              <w:rPr>
                <w:rFonts w:ascii="Arial" w:hAnsi="Arial" w:cs="Arial"/>
              </w:rPr>
              <w:t xml:space="preserve">10 </w:t>
            </w:r>
            <w:r>
              <w:rPr>
                <w:rFonts w:hint="eastAsia"/>
              </w:rPr>
              <w:t>分，每延迟一天扣一分，再以算式：设计及时完成率＝得分合计÷</w:t>
            </w:r>
            <w:r>
              <w:rPr>
                <w:rFonts w:ascii="Arial" w:hAnsi="Arial" w:cs="Arial"/>
              </w:rPr>
              <w:t>(n</w:t>
            </w:r>
            <w:r>
              <w:t>×</w:t>
            </w:r>
            <w:r>
              <w:rPr>
                <w:rFonts w:ascii="Arial" w:hAnsi="Arial" w:cs="Arial"/>
              </w:rPr>
              <w:t>10)</w:t>
            </w:r>
            <w:r>
              <w:t>×</w:t>
            </w:r>
            <w:r>
              <w:rPr>
                <w:rFonts w:ascii="Arial" w:hAnsi="Arial" w:cs="Arial"/>
              </w:rPr>
              <w:t>100%</w:t>
            </w:r>
            <w:r>
              <w:rPr>
                <w:rFonts w:hint="eastAsia"/>
              </w:rPr>
              <w:t>；</w:t>
            </w:r>
            <w:r>
              <w:rPr>
                <w:rFonts w:ascii="Arial" w:hAnsi="Arial" w:cs="Arial"/>
              </w:rPr>
              <w:t xml:space="preserve">n </w:t>
            </w:r>
            <w:r>
              <w:rPr>
                <w:rFonts w:hint="eastAsia"/>
              </w:rPr>
              <w:t>为当期应完成案件数。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技术部门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技术部门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vanish/>
        </w:rPr>
      </w:pPr>
    </w:p>
    <w:p>
      <w:pPr>
        <w:rPr>
          <w:vanish/>
        </w:rPr>
      </w:pPr>
    </w:p>
    <w:p>
      <w:pPr>
        <w:rPr>
          <w:vanish/>
        </w:rPr>
      </w:pPr>
    </w:p>
    <w:p>
      <w:pPr>
        <w:rPr>
          <w:vanish/>
        </w:rPr>
      </w:pPr>
    </w:p>
    <w:p>
      <w:pPr>
        <w:rPr>
          <w:rFonts w:hint="eastAsia"/>
        </w:rPr>
      </w:pPr>
    </w:p>
    <w:p>
      <w:pPr>
        <w:rPr>
          <w:rFonts w:hint="eastAsia"/>
        </w:rPr>
      </w:pPr>
      <w:r>
        <w:rPr>
          <w:rFonts w:hint="eastAsia"/>
          <w:sz w:val="28"/>
          <w:szCs w:val="28"/>
        </w:rPr>
        <w:t>产品开发收益率</w:t>
      </w:r>
      <w:r>
        <w:t xml:space="preserve"> </w:t>
      </w:r>
    </w:p>
    <w:tbl>
      <w:tblPr>
        <w:tblStyle w:val="8"/>
        <w:tblW w:w="0" w:type="dxa"/>
        <w:tblInd w:w="0" w:type="dxa"/>
        <w:tblLayout w:type="autofit"/>
        <w:tblCellMar>
          <w:top w:w="45" w:type="dxa"/>
          <w:left w:w="45" w:type="dxa"/>
          <w:bottom w:w="45" w:type="dxa"/>
          <w:right w:w="45" w:type="dxa"/>
        </w:tblCellMar>
      </w:tblPr>
      <w:tblGrid>
        <w:gridCol w:w="1296"/>
        <w:gridCol w:w="7100"/>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产品开发收益率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某一时期开发产品的回款金额与同期研发部开发投入的比率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考察产品的开发效益，是否具有开发价值</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产品开发收益率</w:t>
            </w:r>
            <w:r>
              <w:rPr>
                <w:rFonts w:ascii="Arial" w:hAnsi="Arial" w:cs="Arial"/>
              </w:rPr>
              <w:t>=</w:t>
            </w:r>
            <w:r>
              <w:rPr>
                <w:rFonts w:hint="eastAsia"/>
              </w:rPr>
              <w:t>开发产品的当年回款额÷该产品投入×</w:t>
            </w:r>
            <w:r>
              <w:rPr>
                <w:rFonts w:ascii="Arial" w:hAnsi="Arial" w:cs="Arial"/>
              </w:rPr>
              <w:t xml:space="preserve">100% </w:t>
            </w:r>
          </w:p>
        </w:tc>
      </w:tr>
      <w:tr>
        <w:trPr>
          <w:trHeight w:val="1260" w:hRule="atLeast"/>
        </w:trPr>
        <w:tc>
          <w:tcPr>
            <w:tcW w:w="145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·按产品别进行统计。·开发投入费用包括科研投入、人员出差、设备维修等。·开发收益以产品投入市场一年的营业利润合计。·因设计失误所造成的退货损失要从利润中扣减。</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财务报表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研发部门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jc w:val="left"/>
      </w:pPr>
      <w:r>
        <w:rPr>
          <w:rFonts w:hint="eastAsia"/>
          <w:sz w:val="28"/>
          <w:szCs w:val="28"/>
        </w:rPr>
        <w:t>技术设计（</w:t>
      </w:r>
      <w:r>
        <w:rPr>
          <w:rFonts w:ascii="Arial" w:hAnsi="Arial" w:cs="Arial"/>
          <w:sz w:val="28"/>
          <w:szCs w:val="28"/>
        </w:rPr>
        <w:t>Technical</w:t>
      </w:r>
      <w:r>
        <w:rPr>
          <w:rFonts w:hint="eastAsia"/>
          <w:sz w:val="28"/>
          <w:szCs w:val="28"/>
        </w:rPr>
        <w:t>＆</w:t>
      </w:r>
      <w:r>
        <w:rPr>
          <w:rFonts w:ascii="Arial" w:hAnsi="Arial" w:cs="Arial"/>
          <w:sz w:val="28"/>
          <w:szCs w:val="28"/>
        </w:rPr>
        <w:t>Design</w:t>
      </w:r>
      <w:r>
        <w:rPr>
          <w:rFonts w:hint="eastAsia"/>
          <w:sz w:val="28"/>
          <w:szCs w:val="28"/>
        </w:rPr>
        <w:t>）</w:t>
      </w:r>
      <w:r>
        <w:rPr>
          <w:sz w:val="28"/>
          <w:szCs w:val="28"/>
        </w:rPr>
        <w:t xml:space="preserve"> </w:t>
      </w:r>
    </w:p>
    <w:p>
      <w:pPr>
        <w:rPr>
          <w:rFonts w:hint="eastAsia"/>
        </w:rPr>
      </w:pPr>
      <w:r>
        <w:rPr>
          <w:rFonts w:hint="eastAsia"/>
          <w:sz w:val="28"/>
          <w:szCs w:val="28"/>
        </w:rPr>
        <w:t>人均产量</w:t>
      </w:r>
      <w:r>
        <w:t xml:space="preserve"> </w:t>
      </w:r>
    </w:p>
    <w:tbl>
      <w:tblPr>
        <w:tblStyle w:val="8"/>
        <w:tblW w:w="0" w:type="dxa"/>
        <w:tblInd w:w="0" w:type="dxa"/>
        <w:tblLayout w:type="autofit"/>
        <w:tblCellMar>
          <w:top w:w="45" w:type="dxa"/>
          <w:left w:w="45" w:type="dxa"/>
          <w:bottom w:w="45" w:type="dxa"/>
          <w:right w:w="45" w:type="dxa"/>
        </w:tblCellMar>
      </w:tblPr>
      <w:tblGrid>
        <w:gridCol w:w="1299"/>
        <w:gridCol w:w="7097"/>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人均产量</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某一时期，技术部门的产出换算成人均的</w:t>
            </w:r>
            <w:r>
              <w:rPr>
                <w:rFonts w:ascii="Arial" w:hAnsi="Arial" w:cs="Arial"/>
              </w:rPr>
              <w:t xml:space="preserve">KVA </w:t>
            </w:r>
            <w:r>
              <w:rPr>
                <w:rFonts w:hint="eastAsia"/>
              </w:rPr>
              <w:t>产量</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反映技术部的人均价值贡献的变化</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人均产量＝交付量产图纸数量</w:t>
            </w:r>
            <w:r>
              <w:rPr>
                <w:rFonts w:ascii="Arial" w:hAnsi="Arial" w:cs="Arial"/>
              </w:rPr>
              <w:t>KVA</w:t>
            </w:r>
            <w:r>
              <w:rPr>
                <w:rFonts w:hint="eastAsia"/>
              </w:rPr>
              <w:t>÷月平均人数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·该指标可以产品别统计。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技术部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生产调度的图纸接收量和人力资源部的人数资料</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生产调度、人力资源部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设计及时完成率</w:t>
      </w:r>
      <w:r>
        <w:t xml:space="preserve"> </w:t>
      </w:r>
    </w:p>
    <w:p>
      <w:pPr>
        <w:rPr>
          <w:rFonts w:hint="eastAsia"/>
          <w:sz w:val="28"/>
          <w:szCs w:val="28"/>
        </w:rPr>
      </w:pPr>
      <w:r>
        <w:rPr>
          <w:rFonts w:hint="eastAsia"/>
          <w:sz w:val="28"/>
          <w:szCs w:val="28"/>
        </w:rPr>
        <w:t>设计损失率</w:t>
      </w:r>
    </w:p>
    <w:tbl>
      <w:tblPr>
        <w:tblStyle w:val="8"/>
        <w:tblW w:w="0" w:type="dxa"/>
        <w:tblInd w:w="0" w:type="dxa"/>
        <w:tblLayout w:type="autofit"/>
        <w:tblCellMar>
          <w:top w:w="45" w:type="dxa"/>
          <w:left w:w="45" w:type="dxa"/>
          <w:bottom w:w="45" w:type="dxa"/>
          <w:right w:w="45" w:type="dxa"/>
        </w:tblCellMar>
      </w:tblPr>
      <w:tblGrid>
        <w:gridCol w:w="1296"/>
        <w:gridCol w:w="7100"/>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设计损失率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统计在产品设计所产生的成本损失</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经由本数据提供设计部在设计品质上的挖潜</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设计损失率</w:t>
            </w:r>
            <w:r>
              <w:rPr>
                <w:rFonts w:ascii="Arial" w:hAnsi="Arial" w:cs="Arial"/>
              </w:rPr>
              <w:t>=</w:t>
            </w:r>
            <w:r>
              <w:rPr>
                <w:rFonts w:hint="eastAsia"/>
              </w:rPr>
              <w:t>Σ设计损失金额÷Σ合同成本金额×</w:t>
            </w:r>
            <w:r>
              <w:rPr>
                <w:rFonts w:ascii="Arial" w:hAnsi="Arial" w:cs="Arial"/>
              </w:rPr>
              <w:t xml:space="preserve">100% </w:t>
            </w:r>
          </w:p>
        </w:tc>
      </w:tr>
      <w:tr>
        <w:trPr>
          <w:trHeight w:val="1575" w:hRule="atLeast"/>
        </w:trPr>
        <w:tc>
          <w:tcPr>
            <w:tcW w:w="145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single" w:color="000000" w:sz="6" w:space="0"/>
              <w:right w:val="single" w:color="000000" w:sz="6" w:space="0"/>
            </w:tcBorders>
            <w:noWrap w:val="0"/>
            <w:vAlign w:val="bottom"/>
          </w:tcPr>
          <w:p>
            <w:pPr>
              <w:jc w:val="left"/>
              <w:rPr>
                <w:rFonts w:ascii="宋体" w:hAnsi="宋体"/>
                <w:color w:val="000000"/>
                <w:sz w:val="24"/>
              </w:rPr>
            </w:pPr>
            <w:r>
              <w:rPr>
                <w:rFonts w:hint="eastAsia"/>
              </w:rPr>
              <w:t>·可按产品别进行统计。·可按设计者进行统计。·若作为考核指标可按设计难度给予权数。·设计损失包括原料、人工、制造费用的再投入成本。·要做好成本归属要先做好领料管理</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财务报表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技术部门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sz w:val="28"/>
          <w:szCs w:val="28"/>
        </w:rPr>
      </w:pPr>
    </w:p>
    <w:p>
      <w:pPr>
        <w:rPr>
          <w:rFonts w:hint="eastAsia"/>
          <w:sz w:val="28"/>
          <w:szCs w:val="28"/>
        </w:rPr>
      </w:pPr>
      <w:r>
        <w:rPr>
          <w:rFonts w:hint="eastAsia"/>
          <w:sz w:val="28"/>
          <w:szCs w:val="28"/>
        </w:rPr>
        <w:t>错误再发生数</w:t>
      </w:r>
    </w:p>
    <w:tbl>
      <w:tblPr>
        <w:tblStyle w:val="8"/>
        <w:tblW w:w="0" w:type="dxa"/>
        <w:tblInd w:w="0" w:type="dxa"/>
        <w:tblLayout w:type="autofit"/>
        <w:tblCellMar>
          <w:top w:w="45" w:type="dxa"/>
          <w:left w:w="45" w:type="dxa"/>
          <w:bottom w:w="45" w:type="dxa"/>
          <w:right w:w="45" w:type="dxa"/>
        </w:tblCellMar>
      </w:tblPr>
      <w:tblGrid>
        <w:gridCol w:w="1302"/>
        <w:gridCol w:w="7094"/>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错误再发生数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显示某一位设计者同样的错误再发生的次数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考核并提醒设计者不要发生同样的错误以减少损失</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错误再发生数＝Σ错误再发生数</w:t>
            </w:r>
          </w:p>
        </w:tc>
      </w:tr>
      <w:tr>
        <w:trPr>
          <w:trHeight w:val="600" w:hRule="atLeast"/>
        </w:trPr>
        <w:tc>
          <w:tcPr>
            <w:tcW w:w="145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·此指标可作为技术部内部管理指标。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技术部门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技术部门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技术部门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技术服务度</w:t>
      </w:r>
      <w:r>
        <w:t xml:space="preserve"> </w:t>
      </w:r>
    </w:p>
    <w:tbl>
      <w:tblPr>
        <w:tblStyle w:val="8"/>
        <w:tblW w:w="0" w:type="dxa"/>
        <w:tblInd w:w="0" w:type="dxa"/>
        <w:tblLayout w:type="autofit"/>
        <w:tblCellMar>
          <w:top w:w="45" w:type="dxa"/>
          <w:left w:w="45" w:type="dxa"/>
          <w:bottom w:w="45" w:type="dxa"/>
          <w:right w:w="45" w:type="dxa"/>
        </w:tblCellMar>
      </w:tblPr>
      <w:tblGrid>
        <w:gridCol w:w="1302"/>
        <w:gridCol w:w="7094"/>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技术服务度</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显示技术部在产、销上的技术支援服务的满意度</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提倡技术是为服务而产生价值的精神</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调研满意度</w:t>
            </w:r>
          </w:p>
        </w:tc>
      </w:tr>
      <w:tr>
        <w:trPr>
          <w:trHeight w:val="330"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·可以技术部为被调研对象；也可以个人为对象。</w:t>
            </w:r>
          </w:p>
        </w:tc>
      </w:tr>
      <w:tr>
        <w:trPr>
          <w:trHeight w:val="58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100" w:type="dxa"/>
            <w:tcBorders>
              <w:top w:val="nil"/>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·以技术部的服务部门为调研样本。</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调研资料</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技术部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jc w:val="left"/>
        <w:rPr>
          <w:rFonts w:hint="eastAsia"/>
        </w:rPr>
      </w:pPr>
      <w:r>
        <w:rPr>
          <w:rFonts w:hint="eastAsia"/>
          <w:sz w:val="28"/>
          <w:szCs w:val="28"/>
        </w:rPr>
        <w:t>采购与供应（</w:t>
      </w:r>
      <w:r>
        <w:rPr>
          <w:rFonts w:ascii="Arial" w:hAnsi="Arial" w:cs="Arial"/>
          <w:sz w:val="28"/>
          <w:szCs w:val="28"/>
        </w:rPr>
        <w:t>P&amp;S</w:t>
      </w:r>
      <w:r>
        <w:rPr>
          <w:rFonts w:hint="eastAsia"/>
          <w:sz w:val="28"/>
          <w:szCs w:val="28"/>
        </w:rPr>
        <w:t>）</w:t>
      </w:r>
      <w:r>
        <w:rPr>
          <w:sz w:val="28"/>
          <w:szCs w:val="28"/>
        </w:rPr>
        <w:t xml:space="preserve"> </w:t>
      </w:r>
    </w:p>
    <w:p>
      <w:pPr>
        <w:jc w:val="left"/>
        <w:rPr>
          <w:rFonts w:hint="eastAsia"/>
        </w:rPr>
      </w:pPr>
      <w:r>
        <w:rPr>
          <w:rFonts w:hint="eastAsia"/>
          <w:sz w:val="28"/>
          <w:szCs w:val="28"/>
        </w:rPr>
        <w:t>采购价格指数</w:t>
      </w:r>
      <w:r>
        <w:t xml:space="preserve"> </w:t>
      </w:r>
    </w:p>
    <w:tbl>
      <w:tblPr>
        <w:tblStyle w:val="8"/>
        <w:tblW w:w="0" w:type="dxa"/>
        <w:tblInd w:w="0" w:type="dxa"/>
        <w:tblLayout w:type="autofit"/>
        <w:tblCellMar>
          <w:top w:w="45" w:type="dxa"/>
          <w:left w:w="45" w:type="dxa"/>
          <w:bottom w:w="45" w:type="dxa"/>
          <w:right w:w="45" w:type="dxa"/>
        </w:tblCellMar>
      </w:tblPr>
      <w:tblGrid>
        <w:gridCol w:w="1277"/>
        <w:gridCol w:w="7119"/>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采购价格指数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指采购部门对供应商开发以及市场价格、价格谈判的管理能力</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通过该指标表现采购部门对供应商开发、辅导以及市场价格的掌握、优势谈判</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等所创造的价值</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采购价格指数＝</w:t>
            </w:r>
            <w:r>
              <w:rPr>
                <w:rFonts w:ascii="Arial" w:hAnsi="Arial" w:cs="Arial"/>
              </w:rPr>
              <w:t>(</w:t>
            </w:r>
            <w:r>
              <w:rPr>
                <w:rFonts w:hint="eastAsia"/>
              </w:rPr>
              <w:t>单价变动额×当期用量</w:t>
            </w:r>
            <w:r>
              <w:rPr>
                <w:rFonts w:ascii="Arial" w:hAnsi="Arial" w:cs="Arial"/>
              </w:rPr>
              <w:t>)</w:t>
            </w:r>
            <w:r>
              <w:rPr>
                <w:rFonts w:hint="eastAsia"/>
              </w:rPr>
              <w:t>÷当期原料标准成本总额</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·该指标的使用要先建立年度管理单价。</w:t>
            </w:r>
          </w:p>
        </w:tc>
      </w:tr>
      <w:tr>
        <w:trPr>
          <w:trHeight w:val="330"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·单价变动额＝Σ</w:t>
            </w:r>
            <w:r>
              <w:rPr>
                <w:rFonts w:ascii="Arial" w:hAnsi="Arial" w:cs="Arial"/>
              </w:rPr>
              <w:t>(</w:t>
            </w:r>
            <w:r>
              <w:rPr>
                <w:rFonts w:hint="eastAsia"/>
              </w:rPr>
              <w:t>当期平均单价－管理单价</w:t>
            </w:r>
            <w:r>
              <w:rPr>
                <w:rFonts w:ascii="Arial" w:hAnsi="Arial" w:cs="Arial"/>
              </w:rPr>
              <w:t>)</w:t>
            </w:r>
            <w:r>
              <w:rPr>
                <w:rFonts w:hint="eastAsia"/>
              </w:rPr>
              <w:t>。</w:t>
            </w:r>
          </w:p>
        </w:tc>
      </w:tr>
      <w:tr>
        <w:trPr>
          <w:trHeight w:val="30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·当期原料标准成本总额＝Σ</w:t>
            </w:r>
            <w:r>
              <w:rPr>
                <w:rFonts w:ascii="Arial" w:hAnsi="Arial" w:cs="Arial"/>
              </w:rPr>
              <w:t>(</w:t>
            </w:r>
            <w:r>
              <w:rPr>
                <w:rFonts w:hint="eastAsia"/>
              </w:rPr>
              <w:t>管理单价×当期用量</w:t>
            </w:r>
            <w:r>
              <w:rPr>
                <w:rFonts w:ascii="Arial" w:hAnsi="Arial" w:cs="Arial"/>
              </w:rPr>
              <w:t>)</w:t>
            </w:r>
            <w:r>
              <w:rPr>
                <w:rFonts w:hint="eastAsia"/>
              </w:rPr>
              <w:t>。</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供应部采购</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ascii="Arial" w:hAnsi="Arial" w:cs="Arial"/>
              </w:rPr>
              <w:t>MRP</w:t>
            </w:r>
            <w:r>
              <w:rPr>
                <w:rFonts w:hint="eastAsia"/>
              </w:rPr>
              <w:t>Ⅱ系统</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jc w:val="left"/>
        <w:rPr>
          <w:rFonts w:hint="eastAsia"/>
        </w:rPr>
      </w:pPr>
    </w:p>
    <w:p>
      <w:pPr>
        <w:rPr>
          <w:rFonts w:hint="eastAsia"/>
        </w:rPr>
      </w:pPr>
      <w:r>
        <w:rPr>
          <w:rFonts w:hint="eastAsia"/>
          <w:sz w:val="28"/>
          <w:szCs w:val="28"/>
        </w:rPr>
        <w:t>采购达成率</w:t>
      </w:r>
      <w:r>
        <w:t xml:space="preserve"> </w:t>
      </w:r>
    </w:p>
    <w:tbl>
      <w:tblPr>
        <w:tblStyle w:val="8"/>
        <w:tblW w:w="0" w:type="dxa"/>
        <w:tblInd w:w="0" w:type="dxa"/>
        <w:tblLayout w:type="autofit"/>
        <w:tblCellMar>
          <w:top w:w="45" w:type="dxa"/>
          <w:left w:w="45" w:type="dxa"/>
          <w:bottom w:w="45" w:type="dxa"/>
          <w:right w:w="45" w:type="dxa"/>
        </w:tblCellMar>
      </w:tblPr>
      <w:tblGrid>
        <w:gridCol w:w="1275"/>
        <w:gridCol w:w="7121"/>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采购达成率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表现对外原材物料采购的管理效益</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反映采购部门对供应商的选择与管理的情况</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采购达成率＝交货完成的采购笔数÷到交期的请购笔数×</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·请采购笔数以交期计算。</w:t>
            </w:r>
          </w:p>
        </w:tc>
      </w:tr>
      <w:tr>
        <w:trPr>
          <w:trHeight w:val="3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·该资料可用微机计算列印。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采购部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ascii="Arial" w:hAnsi="Arial" w:cs="Arial"/>
              </w:rPr>
              <w:t>MRP</w:t>
            </w:r>
            <w:r>
              <w:rPr>
                <w:rFonts w:hint="eastAsia"/>
              </w:rPr>
              <w:t>Ⅱ系统</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ascii="Arial" w:hAnsi="Arial" w:cs="Arial"/>
              </w:rPr>
              <w:t>MRP</w:t>
            </w:r>
            <w:r>
              <w:rPr>
                <w:rFonts w:hint="eastAsia"/>
              </w:rPr>
              <w:t>Ⅱ部门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供应商交货一次合格率</w:t>
      </w:r>
      <w:r>
        <w:t xml:space="preserve"> </w:t>
      </w:r>
    </w:p>
    <w:tbl>
      <w:tblPr>
        <w:tblStyle w:val="8"/>
        <w:tblW w:w="0" w:type="dxa"/>
        <w:tblInd w:w="0" w:type="dxa"/>
        <w:tblLayout w:type="autofit"/>
        <w:tblCellMar>
          <w:top w:w="45" w:type="dxa"/>
          <w:left w:w="45" w:type="dxa"/>
          <w:bottom w:w="45" w:type="dxa"/>
          <w:right w:w="45" w:type="dxa"/>
        </w:tblCellMar>
      </w:tblPr>
      <w:tblGrid>
        <w:gridCol w:w="1275"/>
        <w:gridCol w:w="7121"/>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供应商交货一次合格率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指供应商交货到厂经品管检验一次合格的比例</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ascii="Arial" w:hAnsi="Arial" w:cs="Arial"/>
              </w:rPr>
              <w:t>1-</w:t>
            </w:r>
            <w:r>
              <w:rPr>
                <w:rFonts w:hint="eastAsia"/>
              </w:rPr>
              <w:t>通过该指标表现采购部门对供应商开发、辅导的管理。</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ascii="Arial" w:hAnsi="Arial" w:cs="Arial"/>
              </w:rPr>
              <w:t>2-</w:t>
            </w:r>
            <w:r>
              <w:rPr>
                <w:rFonts w:hint="eastAsia"/>
              </w:rPr>
              <w:t>追求厂商供应成本的最小化。</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供应商交货一次合格率＝</w:t>
            </w:r>
            <w:r>
              <w:rPr>
                <w:rFonts w:ascii="Arial" w:hAnsi="Arial" w:cs="Arial"/>
              </w:rPr>
              <w:t>1</w:t>
            </w:r>
            <w:r>
              <w:rPr>
                <w:rFonts w:hint="eastAsia"/>
              </w:rPr>
              <w:t>－</w:t>
            </w:r>
            <w:r>
              <w:rPr>
                <w:rFonts w:ascii="Arial" w:hAnsi="Arial" w:cs="Arial"/>
              </w:rPr>
              <w:t>(</w:t>
            </w:r>
            <w:r>
              <w:rPr>
                <w:rFonts w:hint="eastAsia"/>
              </w:rPr>
              <w:t>退货批数＋特采批数</w:t>
            </w:r>
            <w:r>
              <w:rPr>
                <w:rFonts w:ascii="Arial" w:hAnsi="Arial" w:cs="Arial"/>
              </w:rPr>
              <w:t>)</w:t>
            </w:r>
            <w:r>
              <w:rPr>
                <w:rFonts w:hint="eastAsia"/>
              </w:rPr>
              <w:t>÷交货批数×</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·同一批货交货二次即计为二批。</w:t>
            </w:r>
          </w:p>
        </w:tc>
      </w:tr>
      <w:tr>
        <w:trPr>
          <w:trHeight w:val="315"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·于交货处建立品质看板有助于厂商竞争与改善品质。</w:t>
            </w:r>
          </w:p>
        </w:tc>
      </w:tr>
      <w:tr>
        <w:trPr>
          <w:trHeight w:val="6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·该指标为供应商管理与辅导的重要指标，建议作为管理要项而不作为考核指标。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质检科</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验货单</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采购部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原料库存周转率</w:t>
      </w:r>
      <w:r>
        <w:t xml:space="preserve"> </w:t>
      </w:r>
    </w:p>
    <w:tbl>
      <w:tblPr>
        <w:tblStyle w:val="8"/>
        <w:tblW w:w="0" w:type="dxa"/>
        <w:tblInd w:w="0" w:type="dxa"/>
        <w:tblLayout w:type="autofit"/>
        <w:tblCellMar>
          <w:top w:w="45" w:type="dxa"/>
          <w:left w:w="45" w:type="dxa"/>
          <w:bottom w:w="45" w:type="dxa"/>
          <w:right w:w="45" w:type="dxa"/>
        </w:tblCellMar>
      </w:tblPr>
      <w:tblGrid>
        <w:gridCol w:w="1264"/>
        <w:gridCol w:w="7132"/>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原料库存周转率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一定时期内，原料实际库存的平均周转次数</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ascii="Arial" w:hAnsi="Arial" w:cs="Arial"/>
              </w:rPr>
              <w:t>1-</w:t>
            </w:r>
            <w:r>
              <w:rPr>
                <w:rFonts w:hint="eastAsia"/>
              </w:rPr>
              <w:t>反映从调度→采购→仓管的计划及管理能力。</w:t>
            </w:r>
          </w:p>
        </w:tc>
      </w:tr>
      <w:tr>
        <w:trPr>
          <w:trHeight w:val="3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ascii="Arial" w:hAnsi="Arial" w:cs="Arial"/>
              </w:rPr>
              <w:t>2-</w:t>
            </w:r>
            <w:r>
              <w:rPr>
                <w:rFonts w:hint="eastAsia"/>
              </w:rPr>
              <w:t>即反映原料资金变现速度</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原料库存周转率</w:t>
            </w:r>
            <w:r>
              <w:rPr>
                <w:rFonts w:ascii="Arial" w:hAnsi="Arial" w:cs="Arial"/>
              </w:rPr>
              <w:t>=</w:t>
            </w:r>
            <w:r>
              <w:rPr>
                <w:rFonts w:hint="eastAsia"/>
              </w:rPr>
              <w:t>生产领料总金额÷</w:t>
            </w:r>
            <w:r>
              <w:rPr>
                <w:rFonts w:ascii="Arial" w:hAnsi="Arial" w:cs="Arial"/>
              </w:rPr>
              <w:t>((</w:t>
            </w:r>
            <w:r>
              <w:rPr>
                <w:rFonts w:hint="eastAsia"/>
              </w:rPr>
              <w:t>期出库存额</w:t>
            </w:r>
            <w:r>
              <w:rPr>
                <w:rFonts w:ascii="Arial" w:hAnsi="Arial" w:cs="Arial"/>
              </w:rPr>
              <w:t>+</w:t>
            </w:r>
            <w:r>
              <w:rPr>
                <w:rFonts w:hint="eastAsia"/>
              </w:rPr>
              <w:t>期末库存额</w:t>
            </w:r>
            <w:r>
              <w:rPr>
                <w:rFonts w:ascii="Arial" w:hAnsi="Arial" w:cs="Arial"/>
              </w:rPr>
              <w:t>)</w:t>
            </w:r>
            <w:r>
              <w:t>÷</w:t>
            </w:r>
            <w:r>
              <w:rPr>
                <w:rFonts w:ascii="Arial" w:hAnsi="Arial" w:cs="Arial"/>
              </w:rPr>
              <w:t>2)</w:t>
            </w:r>
            <w:r>
              <w:t>×</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·原料单价建议使用管理单价。</w:t>
            </w:r>
          </w:p>
        </w:tc>
      </w:tr>
      <w:tr>
        <w:trPr>
          <w:trHeight w:val="315"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·淡旺季产品应与去年同期作管理比较。</w:t>
            </w:r>
          </w:p>
        </w:tc>
      </w:tr>
      <w:tr>
        <w:trPr>
          <w:trHeight w:val="3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·该指标可分类为：成品、原料、备品备件、劳保文具。</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仓管科</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ascii="Arial" w:hAnsi="Arial" w:cs="Arial"/>
              </w:rPr>
              <w:t>MRP</w:t>
            </w:r>
            <w:r>
              <w:rPr>
                <w:rFonts w:hint="eastAsia"/>
              </w:rPr>
              <w:t>Ⅱ系统</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每月、每年一次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制造与品质控制（</w:t>
      </w:r>
      <w:r>
        <w:rPr>
          <w:rFonts w:ascii="Arial" w:hAnsi="Arial" w:cs="Arial"/>
          <w:sz w:val="28"/>
          <w:szCs w:val="28"/>
        </w:rPr>
        <w:t>M&amp;QC</w:t>
      </w:r>
      <w:r>
        <w:rPr>
          <w:rFonts w:hint="eastAsia"/>
          <w:sz w:val="28"/>
          <w:szCs w:val="28"/>
        </w:rPr>
        <w:t>）</w:t>
      </w:r>
      <w:r>
        <w:rPr>
          <w:sz w:val="28"/>
          <w:szCs w:val="28"/>
        </w:rPr>
        <w:t xml:space="preserve"> </w:t>
      </w:r>
    </w:p>
    <w:p>
      <w:pPr>
        <w:rPr>
          <w:rFonts w:hint="eastAsia"/>
        </w:rPr>
      </w:pPr>
      <w:r>
        <w:rPr>
          <w:rFonts w:hint="eastAsia"/>
          <w:sz w:val="28"/>
          <w:szCs w:val="28"/>
        </w:rPr>
        <w:t>工资毛利润贡献率</w:t>
      </w:r>
      <w:r>
        <w:t xml:space="preserve"> </w:t>
      </w:r>
    </w:p>
    <w:tbl>
      <w:tblPr>
        <w:tblStyle w:val="8"/>
        <w:tblW w:w="0" w:type="dxa"/>
        <w:tblInd w:w="0" w:type="dxa"/>
        <w:tblLayout w:type="autofit"/>
        <w:tblCellMar>
          <w:top w:w="45" w:type="dxa"/>
          <w:left w:w="45" w:type="dxa"/>
          <w:bottom w:w="45" w:type="dxa"/>
          <w:right w:w="45" w:type="dxa"/>
        </w:tblCellMar>
      </w:tblPr>
      <w:tblGrid>
        <w:gridCol w:w="1271"/>
        <w:gridCol w:w="7125"/>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工资毛利润贡献率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公司某一定时期的税前利润额与核发工资的比较</w:t>
            </w:r>
          </w:p>
        </w:tc>
      </w:tr>
      <w:tr>
        <w:trPr>
          <w:trHeight w:val="330"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通过工资利润比的表现，掌握生产工厂所创造价值的变化，也就是说调薪是否</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有相对地提高生产能力。此说明产品成本的升降。</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工资毛利润贡献率＝</w:t>
            </w:r>
            <w:r>
              <w:t>(</w:t>
            </w:r>
            <w:r>
              <w:rPr>
                <w:rFonts w:hint="eastAsia"/>
              </w:rPr>
              <w:t>毛利润÷核发工资</w:t>
            </w:r>
            <w:r>
              <w:rPr>
                <w:rFonts w:ascii="Arial" w:hAnsi="Arial" w:cs="Arial"/>
              </w:rPr>
              <w:t>)</w:t>
            </w:r>
            <w:r>
              <w:t>×</w:t>
            </w:r>
            <w:r>
              <w:rPr>
                <w:rFonts w:ascii="Arial" w:hAnsi="Arial" w:cs="Arial"/>
              </w:rPr>
              <w:t xml:space="preserve">100% </w:t>
            </w:r>
          </w:p>
        </w:tc>
      </w:tr>
      <w:tr>
        <w:trPr>
          <w:trHeight w:val="930" w:hRule="atLeast"/>
        </w:trPr>
        <w:tc>
          <w:tcPr>
            <w:tcW w:w="1455" w:type="dxa"/>
            <w:tcBorders>
              <w:top w:val="single" w:color="000000" w:sz="6" w:space="0"/>
              <w:left w:val="single" w:color="000000" w:sz="6" w:space="0"/>
              <w:bottom w:val="nil"/>
              <w:right w:val="single" w:color="000000" w:sz="6" w:space="0"/>
            </w:tcBorders>
            <w:noWrap w:val="0"/>
            <w:vAlign w:val="top"/>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top"/>
          </w:tcPr>
          <w:p>
            <w:pPr>
              <w:jc w:val="left"/>
              <w:rPr>
                <w:rFonts w:ascii="宋体" w:hAnsi="宋体"/>
                <w:color w:val="000000"/>
                <w:sz w:val="24"/>
              </w:rPr>
            </w:pPr>
            <w:r>
              <w:t xml:space="preserve">· </w:t>
            </w:r>
            <w:r>
              <w:rPr>
                <w:rFonts w:hint="eastAsia"/>
              </w:rPr>
              <w:t>毛利润＝生产产值－生产成本（生产成本包括原料成本、直接工资、制造费用）·核发工资要包含临时工、契约工的工资。</w:t>
            </w:r>
          </w:p>
        </w:tc>
      </w:tr>
      <w:tr>
        <w:trPr>
          <w:trHeight w:val="3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·工资合计包含从车间主任以下人员</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财务报表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产品一次合格率</w:t>
      </w:r>
      <w:r>
        <w:t xml:space="preserve"> </w:t>
      </w:r>
    </w:p>
    <w:tbl>
      <w:tblPr>
        <w:tblStyle w:val="8"/>
        <w:tblW w:w="0" w:type="dxa"/>
        <w:tblInd w:w="0" w:type="dxa"/>
        <w:tblLayout w:type="autofit"/>
        <w:tblCellMar>
          <w:top w:w="45" w:type="dxa"/>
          <w:left w:w="45" w:type="dxa"/>
          <w:bottom w:w="45" w:type="dxa"/>
          <w:right w:w="45" w:type="dxa"/>
        </w:tblCellMar>
      </w:tblPr>
      <w:tblGrid>
        <w:gridCol w:w="1271"/>
        <w:gridCol w:w="7125"/>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产品一次合格率</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指产品从生产的第一道工序始到最后一道工序止的一次合格数量占总产量的</w:t>
            </w:r>
          </w:p>
        </w:tc>
      </w:tr>
      <w:tr>
        <w:trPr>
          <w:trHeight w:val="315"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比率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反映生产部门的生产水平和质量保证水平、加工水平</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一次合格率</w:t>
            </w:r>
            <w:r>
              <w:rPr>
                <w:rFonts w:ascii="Arial" w:hAnsi="Arial" w:cs="Arial"/>
              </w:rPr>
              <w:t>=1</w:t>
            </w:r>
            <w:r>
              <w:rPr>
                <w:rFonts w:hint="eastAsia"/>
              </w:rPr>
              <w:t>－</w:t>
            </w:r>
            <w:r>
              <w:rPr>
                <w:rFonts w:ascii="Arial" w:hAnsi="Arial" w:cs="Arial"/>
              </w:rPr>
              <w:t>(</w:t>
            </w:r>
            <w:r>
              <w:rPr>
                <w:rFonts w:hint="eastAsia"/>
              </w:rPr>
              <w:t>月不良产次量÷月产量</w:t>
            </w:r>
            <w:r>
              <w:rPr>
                <w:rFonts w:ascii="Arial" w:hAnsi="Arial" w:cs="Arial"/>
              </w:rPr>
              <w:t>)</w:t>
            </w:r>
            <w:r>
              <w:t>×</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·一批产品有二项不良点即计算二次不良。</w:t>
            </w:r>
          </w:p>
        </w:tc>
      </w:tr>
      <w:tr>
        <w:trPr>
          <w:trHeight w:val="315"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·同一产品先后二次送检不良即计算二次不良。</w:t>
            </w:r>
          </w:p>
        </w:tc>
      </w:tr>
      <w:tr>
        <w:trPr>
          <w:trHeight w:val="3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·该指标为生产部门日常管理的重要指标。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质检科</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品管检验记录</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各车间</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每日、每月一次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在制品周转率</w:t>
      </w:r>
      <w:r>
        <w:t xml:space="preserve"> </w:t>
      </w:r>
    </w:p>
    <w:tbl>
      <w:tblPr>
        <w:tblStyle w:val="8"/>
        <w:tblW w:w="0" w:type="dxa"/>
        <w:tblInd w:w="0" w:type="dxa"/>
        <w:tblLayout w:type="autofit"/>
        <w:tblCellMar>
          <w:top w:w="45" w:type="dxa"/>
          <w:left w:w="45" w:type="dxa"/>
          <w:bottom w:w="45" w:type="dxa"/>
          <w:right w:w="45" w:type="dxa"/>
        </w:tblCellMar>
      </w:tblPr>
      <w:tblGrid>
        <w:gridCol w:w="1264"/>
        <w:gridCol w:w="7132"/>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在制品周转率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一定时期内，生产部门实际库存的平均周转次数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反映生产车间内库存周转情况，即反映车间资金积压速度</w:t>
            </w:r>
          </w:p>
        </w:tc>
      </w:tr>
      <w:tr>
        <w:trPr>
          <w:trHeight w:val="330"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在制品周转率＝入库成品原料总成本÷</w:t>
            </w:r>
            <w:r>
              <w:rPr>
                <w:rFonts w:ascii="Arial" w:hAnsi="Arial" w:cs="Arial"/>
              </w:rPr>
              <w:t>((</w:t>
            </w:r>
            <w:r>
              <w:rPr>
                <w:rFonts w:hint="eastAsia"/>
              </w:rPr>
              <w:t>在制品期初库存额＋在制品期末库</w:t>
            </w:r>
          </w:p>
        </w:tc>
      </w:tr>
      <w:tr>
        <w:trPr>
          <w:trHeight w:val="30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存额</w:t>
            </w:r>
            <w:r>
              <w:rPr>
                <w:rFonts w:ascii="Arial" w:hAnsi="Arial" w:cs="Arial"/>
              </w:rPr>
              <w:t>)</w:t>
            </w:r>
            <w:r>
              <w:t>÷</w:t>
            </w:r>
            <w:r>
              <w:rPr>
                <w:rFonts w:ascii="Arial" w:hAnsi="Arial" w:cs="Arial"/>
              </w:rPr>
              <w:t>2)</w:t>
            </w:r>
            <w:r>
              <w:t>×</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·原料单价建议使用管理单价。</w:t>
            </w:r>
          </w:p>
        </w:tc>
      </w:tr>
      <w:tr>
        <w:trPr>
          <w:trHeight w:val="3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·淡旺季产品应与去年同期作管理比较。</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财务报表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各车间</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每月、每年一次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生产效率</w:t>
      </w:r>
      <w:r>
        <w:t xml:space="preserve"> </w:t>
      </w:r>
    </w:p>
    <w:tbl>
      <w:tblPr>
        <w:tblStyle w:val="8"/>
        <w:tblW w:w="0" w:type="dxa"/>
        <w:tblInd w:w="0" w:type="dxa"/>
        <w:tblLayout w:type="autofit"/>
        <w:tblCellMar>
          <w:top w:w="45" w:type="dxa"/>
          <w:left w:w="45" w:type="dxa"/>
          <w:bottom w:w="45" w:type="dxa"/>
          <w:right w:w="45" w:type="dxa"/>
        </w:tblCellMar>
      </w:tblPr>
      <w:tblGrid>
        <w:gridCol w:w="1275"/>
        <w:gridCol w:w="7121"/>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生产效率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是指生产部门的投入工时的有效利用率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反映生产管理对人员、设备和制程的管理效率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生产效率＝Σ产成品核定工时÷Σ产成品投入工时×</w:t>
            </w:r>
            <w:r>
              <w:rPr>
                <w:rFonts w:ascii="Arial" w:hAnsi="Arial" w:cs="Arial"/>
              </w:rPr>
              <w:t xml:space="preserve">100% </w:t>
            </w:r>
          </w:p>
        </w:tc>
      </w:tr>
      <w:tr>
        <w:trPr>
          <w:trHeight w:val="1260" w:hRule="atLeast"/>
        </w:trPr>
        <w:tc>
          <w:tcPr>
            <w:tcW w:w="145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·Σ核定工时即各个投产合同所额定的生产工时合计·投入工时要扣除因停电、缺料等外部因素所造成的停产工时。·要做到这项统计必须每日由车间提报工时记录。·该指标为生产日常管理的重要指标。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各车间</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入库单、考勤资料</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每日、每月一次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原料收率</w:t>
      </w:r>
      <w:r>
        <w:t xml:space="preserve"> </w:t>
      </w:r>
    </w:p>
    <w:p>
      <w:pPr>
        <w:rPr>
          <w:vanish/>
        </w:rPr>
      </w:pPr>
    </w:p>
    <w:p>
      <w:pPr>
        <w:rPr>
          <w:vanish/>
        </w:rPr>
      </w:pPr>
    </w:p>
    <w:p>
      <w:pPr>
        <w:rPr>
          <w:vanish/>
        </w:rPr>
      </w:pPr>
    </w:p>
    <w:p>
      <w:pPr>
        <w:rPr>
          <w:vanish/>
        </w:rPr>
      </w:pPr>
    </w:p>
    <w:p>
      <w:pPr>
        <w:rPr>
          <w:vanish/>
        </w:rPr>
      </w:pPr>
    </w:p>
    <w:p>
      <w:pPr>
        <w:rPr>
          <w:vanish/>
        </w:rPr>
      </w:pPr>
    </w:p>
    <w:p>
      <w:pPr>
        <w:rPr>
          <w:vanish/>
        </w:rPr>
      </w:pPr>
    </w:p>
    <w:p>
      <w:pPr>
        <w:rPr>
          <w:vanish/>
        </w:rPr>
      </w:pPr>
    </w:p>
    <w:tbl>
      <w:tblPr>
        <w:tblStyle w:val="8"/>
        <w:tblW w:w="0" w:type="dxa"/>
        <w:tblInd w:w="0" w:type="dxa"/>
        <w:tblLayout w:type="autofit"/>
        <w:tblCellMar>
          <w:top w:w="45" w:type="dxa"/>
          <w:left w:w="45" w:type="dxa"/>
          <w:bottom w:w="45" w:type="dxa"/>
          <w:right w:w="45" w:type="dxa"/>
        </w:tblCellMar>
      </w:tblPr>
      <w:tblGrid>
        <w:gridCol w:w="1275"/>
        <w:gridCol w:w="7121"/>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原料收率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是指生产部门的投入原料的有效利用率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反映生产管理对人员、设备和制程的管理在原料上产生的效益</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原料收率＝Σ产成品标准用料合计÷Σ产成品领用原料合计×</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·要做到这项统计必须领料按合同归属领料。</w:t>
            </w:r>
          </w:p>
        </w:tc>
      </w:tr>
      <w:tr>
        <w:trPr>
          <w:trHeight w:val="60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·该指标为生产日常管理的重要指标。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入库单、领料单、</w:t>
            </w:r>
            <w:r>
              <w:rPr>
                <w:rFonts w:ascii="Arial" w:hAnsi="Arial" w:cs="Arial"/>
              </w:rPr>
              <w:t>MRP</w:t>
            </w:r>
            <w:r>
              <w:rPr>
                <w:rFonts w:hint="eastAsia"/>
              </w:rPr>
              <w:t>Ⅱ</w:t>
            </w:r>
            <w:r>
              <w:t xml:space="preserve"> </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每日、每月一次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vanish/>
        </w:rPr>
      </w:pPr>
    </w:p>
    <w:p>
      <w:pPr>
        <w:rPr>
          <w:vanish/>
        </w:rPr>
      </w:pPr>
    </w:p>
    <w:p>
      <w:pPr>
        <w:rPr>
          <w:rFonts w:hint="eastAsia"/>
        </w:rPr>
      </w:pPr>
    </w:p>
    <w:p>
      <w:pPr>
        <w:rPr>
          <w:rFonts w:hint="eastAsia"/>
        </w:rPr>
      </w:pPr>
      <w:r>
        <w:rPr>
          <w:rFonts w:hint="eastAsia"/>
          <w:sz w:val="28"/>
          <w:szCs w:val="28"/>
        </w:rPr>
        <w:t>设备时间利用率</w:t>
      </w:r>
      <w:r>
        <w:t xml:space="preserve"> </w:t>
      </w:r>
    </w:p>
    <w:tbl>
      <w:tblPr>
        <w:tblStyle w:val="8"/>
        <w:tblW w:w="0" w:type="dxa"/>
        <w:tblInd w:w="0" w:type="dxa"/>
        <w:tblLayout w:type="autofit"/>
        <w:tblCellMar>
          <w:top w:w="45" w:type="dxa"/>
          <w:left w:w="45" w:type="dxa"/>
          <w:bottom w:w="45" w:type="dxa"/>
          <w:right w:w="45" w:type="dxa"/>
        </w:tblCellMar>
      </w:tblPr>
      <w:tblGrid>
        <w:gridCol w:w="1274"/>
        <w:gridCol w:w="7122"/>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设备时间利用率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是指设备在时间上的有效利用率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反映生产部门对设备的维修、保养与使用的管理效益</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设备利用率＝</w:t>
            </w:r>
            <w:r>
              <w:rPr>
                <w:rFonts w:ascii="Arial" w:hAnsi="Arial" w:cs="Arial"/>
              </w:rPr>
              <w:t>1</w:t>
            </w:r>
            <w:r>
              <w:rPr>
                <w:rFonts w:hint="eastAsia"/>
              </w:rPr>
              <w:t>－</w:t>
            </w:r>
            <w:r>
              <w:rPr>
                <w:rFonts w:ascii="Arial" w:hAnsi="Arial" w:cs="Arial"/>
              </w:rPr>
              <w:t>(</w:t>
            </w:r>
            <w:r>
              <w:rPr>
                <w:rFonts w:hint="eastAsia"/>
              </w:rPr>
              <w:t>停机总工时÷设备可用总工时×</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·设备可用总工时</w:t>
            </w:r>
            <w:r>
              <w:rPr>
                <w:rFonts w:ascii="Arial" w:hAnsi="Arial" w:cs="Arial"/>
              </w:rPr>
              <w:t xml:space="preserve">24 </w:t>
            </w:r>
            <w:r>
              <w:rPr>
                <w:rFonts w:hint="eastAsia"/>
              </w:rPr>
              <w:t>小时。</w:t>
            </w:r>
          </w:p>
        </w:tc>
      </w:tr>
      <w:tr>
        <w:trPr>
          <w:trHeight w:val="930"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nil"/>
              <w:right w:val="single" w:color="000000" w:sz="6" w:space="0"/>
            </w:tcBorders>
            <w:noWrap w:val="0"/>
            <w:vAlign w:val="top"/>
          </w:tcPr>
          <w:p>
            <w:pPr>
              <w:jc w:val="left"/>
              <w:rPr>
                <w:rFonts w:ascii="宋体" w:hAnsi="宋体"/>
                <w:color w:val="000000"/>
                <w:sz w:val="24"/>
              </w:rPr>
            </w:pPr>
            <w:r>
              <w:rPr>
                <w:rFonts w:hint="eastAsia"/>
              </w:rPr>
              <w:t>·停机工时是指停电、未排产、缺料停产、缺料待修、故障等因素停机。·缺料待修指因缺少备件停机超过</w:t>
            </w:r>
            <w:r>
              <w:t xml:space="preserve">30 </w:t>
            </w:r>
            <w:r>
              <w:rPr>
                <w:rFonts w:hint="eastAsia"/>
              </w:rPr>
              <w:t>分钟以上的停机，</w:t>
            </w:r>
            <w:r>
              <w:t xml:space="preserve">30 </w:t>
            </w:r>
            <w:r>
              <w:rPr>
                <w:rFonts w:hint="eastAsia"/>
              </w:rPr>
              <w:t>分钟计为故障，超出时间计为缺料停机。</w:t>
            </w:r>
          </w:p>
        </w:tc>
      </w:tr>
      <w:tr>
        <w:trPr>
          <w:trHeight w:val="315"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·要做到这项统计必须做好设备运行的停机记录。</w:t>
            </w:r>
          </w:p>
        </w:tc>
      </w:tr>
      <w:tr>
        <w:trPr>
          <w:trHeight w:val="3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·该指标为生产日常管理的重要指标。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生产调度</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设备停机记录</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生产部长</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每日、每月一次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设备有效生产率</w:t>
      </w:r>
      <w:r>
        <w:t xml:space="preserve"> </w:t>
      </w:r>
    </w:p>
    <w:tbl>
      <w:tblPr>
        <w:tblStyle w:val="8"/>
        <w:tblW w:w="8402" w:type="dxa"/>
        <w:tblInd w:w="0" w:type="dxa"/>
        <w:tblLayout w:type="autofit"/>
        <w:tblCellMar>
          <w:top w:w="45" w:type="dxa"/>
          <w:left w:w="45" w:type="dxa"/>
          <w:bottom w:w="45" w:type="dxa"/>
          <w:right w:w="45" w:type="dxa"/>
        </w:tblCellMar>
      </w:tblPr>
      <w:tblGrid>
        <w:gridCol w:w="1273"/>
        <w:gridCol w:w="7129"/>
      </w:tblGrid>
      <w:tr>
        <w:trPr>
          <w:trHeight w:val="345" w:hRule="atLeast"/>
        </w:trPr>
        <w:tc>
          <w:tcPr>
            <w:tcW w:w="1273"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7129"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设备有效生产率</w:t>
            </w:r>
          </w:p>
        </w:tc>
      </w:tr>
      <w:tr>
        <w:trPr>
          <w:trHeight w:val="330" w:hRule="atLeast"/>
        </w:trPr>
        <w:tc>
          <w:tcPr>
            <w:tcW w:w="1273"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7129"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是指生产部门对设备的有效利用率</w:t>
            </w:r>
          </w:p>
        </w:tc>
      </w:tr>
      <w:tr>
        <w:trPr>
          <w:trHeight w:val="330" w:hRule="atLeast"/>
        </w:trPr>
        <w:tc>
          <w:tcPr>
            <w:tcW w:w="1273"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7129"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反映生产部门对设备的维修、保养与使用管理效益</w:t>
            </w:r>
          </w:p>
        </w:tc>
      </w:tr>
      <w:tr>
        <w:trPr>
          <w:trHeight w:val="330" w:hRule="atLeast"/>
        </w:trPr>
        <w:tc>
          <w:tcPr>
            <w:tcW w:w="1273"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7129"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设备利用率＝</w:t>
            </w:r>
            <w:r>
              <w:rPr>
                <w:rFonts w:ascii="Arial" w:hAnsi="Arial" w:cs="Arial"/>
              </w:rPr>
              <w:t>(</w:t>
            </w:r>
            <w:r>
              <w:rPr>
                <w:rFonts w:hint="eastAsia"/>
              </w:rPr>
              <w:t>设备开机总工时－外部停机总工时</w:t>
            </w:r>
            <w:r>
              <w:rPr>
                <w:rFonts w:ascii="Arial" w:hAnsi="Arial" w:cs="Arial"/>
              </w:rPr>
              <w:t>)</w:t>
            </w:r>
            <w:r>
              <w:rPr>
                <w:rFonts w:hint="eastAsia"/>
              </w:rPr>
              <w:t>÷设备开机总工时×</w:t>
            </w:r>
            <w:r>
              <w:rPr>
                <w:rFonts w:ascii="Arial" w:hAnsi="Arial" w:cs="Arial"/>
              </w:rPr>
              <w:t xml:space="preserve">100% </w:t>
            </w:r>
          </w:p>
        </w:tc>
      </w:tr>
      <w:tr>
        <w:trPr>
          <w:trHeight w:val="630" w:hRule="atLeast"/>
        </w:trPr>
        <w:tc>
          <w:tcPr>
            <w:tcW w:w="1273" w:type="dxa"/>
            <w:tcBorders>
              <w:top w:val="single" w:color="000000" w:sz="6" w:space="0"/>
              <w:left w:val="single" w:color="000000" w:sz="6" w:space="0"/>
              <w:bottom w:val="nil"/>
              <w:right w:val="single" w:color="000000" w:sz="6" w:space="0"/>
            </w:tcBorders>
            <w:noWrap w:val="0"/>
            <w:vAlign w:val="top"/>
          </w:tcPr>
          <w:p>
            <w:pPr>
              <w:jc w:val="left"/>
              <w:rPr>
                <w:rFonts w:ascii="宋体" w:hAnsi="宋体"/>
                <w:color w:val="000000"/>
                <w:sz w:val="24"/>
              </w:rPr>
            </w:pPr>
            <w:r>
              <w:rPr>
                <w:rFonts w:hint="eastAsia"/>
              </w:rPr>
              <w:t>相关说明</w:t>
            </w:r>
          </w:p>
        </w:tc>
        <w:tc>
          <w:tcPr>
            <w:tcW w:w="7129"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·设备开机总工时即每日上班工时（包括加班工时）。</w:t>
            </w:r>
            <w:r>
              <w:t xml:space="preserve">· </w:t>
            </w:r>
            <w:r>
              <w:rPr>
                <w:rFonts w:hint="eastAsia"/>
              </w:rPr>
              <w:t>外部停机总工时是指停电、未排产、缺料停产、缺料待修等因素的停机总工</w:t>
            </w:r>
          </w:p>
        </w:tc>
      </w:tr>
      <w:tr>
        <w:trPr>
          <w:trHeight w:val="630" w:hRule="atLeast"/>
        </w:trPr>
        <w:tc>
          <w:tcPr>
            <w:tcW w:w="1273"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7129"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时。·缺料待修指因缺少备件停机超过</w:t>
            </w:r>
            <w:r>
              <w:t xml:space="preserve">30 </w:t>
            </w:r>
            <w:r>
              <w:rPr>
                <w:rFonts w:hint="eastAsia"/>
              </w:rPr>
              <w:t>分钟以上的停机，</w:t>
            </w:r>
            <w:r>
              <w:t xml:space="preserve">30 </w:t>
            </w:r>
            <w:r>
              <w:rPr>
                <w:rFonts w:hint="eastAsia"/>
              </w:rPr>
              <w:t>分钟计为故障，超</w:t>
            </w:r>
          </w:p>
        </w:tc>
      </w:tr>
      <w:tr>
        <w:trPr>
          <w:trHeight w:val="300" w:hRule="atLeast"/>
        </w:trPr>
        <w:tc>
          <w:tcPr>
            <w:tcW w:w="1273"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7129"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出时间计为缺料停机。</w:t>
            </w:r>
          </w:p>
        </w:tc>
      </w:tr>
      <w:tr>
        <w:trPr>
          <w:trHeight w:val="315" w:hRule="atLeast"/>
        </w:trPr>
        <w:tc>
          <w:tcPr>
            <w:tcW w:w="1273"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7129"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·要做到这项统计必须做好设备运行的停机记录。</w:t>
            </w:r>
          </w:p>
        </w:tc>
      </w:tr>
      <w:tr>
        <w:trPr>
          <w:trHeight w:val="330" w:hRule="atLeast"/>
        </w:trPr>
        <w:tc>
          <w:tcPr>
            <w:tcW w:w="1273"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129"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·该指标为生产日常管理的重要指标。</w:t>
            </w:r>
          </w:p>
        </w:tc>
      </w:tr>
      <w:tr>
        <w:trPr>
          <w:trHeight w:val="330" w:hRule="atLeast"/>
        </w:trPr>
        <w:tc>
          <w:tcPr>
            <w:tcW w:w="1273"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7129"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生产调度</w:t>
            </w:r>
          </w:p>
        </w:tc>
      </w:tr>
      <w:tr>
        <w:trPr>
          <w:trHeight w:val="330" w:hRule="atLeast"/>
        </w:trPr>
        <w:tc>
          <w:tcPr>
            <w:tcW w:w="1273"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7129"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设备停机记录</w:t>
            </w:r>
          </w:p>
        </w:tc>
      </w:tr>
      <w:tr>
        <w:trPr>
          <w:trHeight w:val="330" w:hRule="atLeast"/>
        </w:trPr>
        <w:tc>
          <w:tcPr>
            <w:tcW w:w="1273"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7129"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生产部长</w:t>
            </w:r>
          </w:p>
        </w:tc>
      </w:tr>
      <w:tr>
        <w:trPr>
          <w:trHeight w:val="330" w:hRule="atLeast"/>
        </w:trPr>
        <w:tc>
          <w:tcPr>
            <w:tcW w:w="1273"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7129"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每日、每月一次</w:t>
            </w:r>
          </w:p>
        </w:tc>
      </w:tr>
      <w:tr>
        <w:trPr>
          <w:trHeight w:val="330" w:hRule="atLeast"/>
        </w:trPr>
        <w:tc>
          <w:tcPr>
            <w:tcW w:w="1273"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7129"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合同准时完成率</w:t>
      </w:r>
      <w:r>
        <w:t xml:space="preserve"> </w:t>
      </w:r>
    </w:p>
    <w:p>
      <w:pPr>
        <w:rPr>
          <w:vanish/>
        </w:rPr>
      </w:pPr>
    </w:p>
    <w:tbl>
      <w:tblPr>
        <w:tblStyle w:val="8"/>
        <w:tblW w:w="0" w:type="dxa"/>
        <w:tblInd w:w="0" w:type="dxa"/>
        <w:tblLayout w:type="autofit"/>
        <w:tblCellMar>
          <w:top w:w="45" w:type="dxa"/>
          <w:left w:w="45" w:type="dxa"/>
          <w:bottom w:w="45" w:type="dxa"/>
          <w:right w:w="45" w:type="dxa"/>
        </w:tblCellMar>
      </w:tblPr>
      <w:tblGrid>
        <w:gridCol w:w="1271"/>
        <w:gridCol w:w="7125"/>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合同准时完成率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是指生产部门对合同交期的管理能力</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反映生产部门从原料供应→生产调度→制程管理的综合效益</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合同准时完成率＝</w:t>
            </w:r>
            <w:r>
              <w:rPr>
                <w:rFonts w:ascii="Arial" w:hAnsi="Arial" w:cs="Arial"/>
              </w:rPr>
              <w:t>1</w:t>
            </w:r>
            <w:r>
              <w:rPr>
                <w:rFonts w:hint="eastAsia"/>
              </w:rPr>
              <w:t>－</w:t>
            </w:r>
            <w:r>
              <w:rPr>
                <w:rFonts w:ascii="Arial" w:hAnsi="Arial" w:cs="Arial"/>
              </w:rPr>
              <w:t>(</w:t>
            </w:r>
            <w:r>
              <w:rPr>
                <w:rFonts w:hint="eastAsia"/>
              </w:rPr>
              <w:t>当月延迟合同数量÷当月应交货合同数量</w:t>
            </w:r>
            <w:r>
              <w:rPr>
                <w:rFonts w:ascii="Arial" w:hAnsi="Arial" w:cs="Arial"/>
              </w:rPr>
              <w:t>)</w:t>
            </w:r>
            <w:r>
              <w:t>×</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·上月延迟到本月的合同并入本月计算。</w:t>
            </w:r>
          </w:p>
        </w:tc>
      </w:tr>
      <w:tr>
        <w:trPr>
          <w:trHeight w:val="315"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·合同延迟一天交货即视为延迟合同。</w:t>
            </w:r>
          </w:p>
        </w:tc>
      </w:tr>
      <w:tr>
        <w:trPr>
          <w:trHeight w:val="3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·该指标为生产日常管理的重要指标。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市场部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合同</w:t>
            </w:r>
            <w:r>
              <w:rPr>
                <w:rFonts w:ascii="Arial" w:hAnsi="Arial" w:cs="Arial"/>
              </w:rPr>
              <w:t>&amp;</w:t>
            </w:r>
            <w:r>
              <w:rPr>
                <w:rFonts w:hint="eastAsia"/>
              </w:rPr>
              <w:t>出货单</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生产部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每日、每月一次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vanish/>
        </w:rPr>
      </w:pPr>
    </w:p>
    <w:p>
      <w:pPr>
        <w:rPr>
          <w:rFonts w:hint="eastAsia"/>
        </w:rPr>
      </w:pPr>
    </w:p>
    <w:p>
      <w:pPr>
        <w:jc w:val="left"/>
      </w:pPr>
      <w:r>
        <w:rPr>
          <w:rFonts w:hint="eastAsia"/>
          <w:sz w:val="28"/>
          <w:szCs w:val="28"/>
        </w:rPr>
        <w:t>人力资源（</w:t>
      </w:r>
      <w:r>
        <w:rPr>
          <w:rFonts w:ascii="Arial" w:hAnsi="Arial" w:cs="Arial"/>
          <w:sz w:val="28"/>
          <w:szCs w:val="28"/>
        </w:rPr>
        <w:t>HR</w:t>
      </w:r>
      <w:r>
        <w:rPr>
          <w:rFonts w:hint="eastAsia"/>
          <w:sz w:val="28"/>
          <w:szCs w:val="28"/>
        </w:rPr>
        <w:t>）</w:t>
      </w:r>
      <w:r>
        <w:rPr>
          <w:sz w:val="28"/>
          <w:szCs w:val="28"/>
        </w:rPr>
        <w:t xml:space="preserve"> </w:t>
      </w:r>
    </w:p>
    <w:p>
      <w:pPr>
        <w:rPr>
          <w:rFonts w:hint="eastAsia"/>
        </w:rPr>
      </w:pPr>
      <w:r>
        <w:rPr>
          <w:rFonts w:hint="eastAsia"/>
          <w:sz w:val="28"/>
          <w:szCs w:val="28"/>
        </w:rPr>
        <w:t>员工自然流动率</w:t>
      </w:r>
      <w:r>
        <w:t xml:space="preserve"> </w:t>
      </w:r>
    </w:p>
    <w:tbl>
      <w:tblPr>
        <w:tblStyle w:val="8"/>
        <w:tblW w:w="8402" w:type="dxa"/>
        <w:tblInd w:w="0" w:type="dxa"/>
        <w:tblLayout w:type="autofit"/>
        <w:tblCellMar>
          <w:top w:w="45" w:type="dxa"/>
          <w:left w:w="45" w:type="dxa"/>
          <w:bottom w:w="45" w:type="dxa"/>
          <w:right w:w="45" w:type="dxa"/>
        </w:tblCellMar>
      </w:tblPr>
      <w:tblGrid>
        <w:gridCol w:w="1276"/>
        <w:gridCol w:w="7126"/>
      </w:tblGrid>
      <w:tr>
        <w:trPr>
          <w:trHeight w:val="345" w:hRule="atLeast"/>
        </w:trPr>
        <w:tc>
          <w:tcPr>
            <w:tcW w:w="127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712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员工自然流动率</w:t>
            </w:r>
          </w:p>
        </w:tc>
      </w:tr>
      <w:tr>
        <w:trPr>
          <w:trHeight w:val="330" w:hRule="atLeast"/>
        </w:trPr>
        <w:tc>
          <w:tcPr>
            <w:tcW w:w="127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712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一定时期内公司员工流动的比率</w:t>
            </w:r>
          </w:p>
        </w:tc>
      </w:tr>
      <w:tr>
        <w:trPr>
          <w:trHeight w:val="330" w:hRule="atLeast"/>
        </w:trPr>
        <w:tc>
          <w:tcPr>
            <w:tcW w:w="127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712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借该指标考察部门的稳定性和人员代谢</w:t>
            </w:r>
          </w:p>
        </w:tc>
      </w:tr>
      <w:tr>
        <w:trPr>
          <w:trHeight w:val="330" w:hRule="atLeast"/>
        </w:trPr>
        <w:tc>
          <w:tcPr>
            <w:tcW w:w="127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712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员工自然流动率＝离职人数÷在编的平均人数×</w:t>
            </w:r>
            <w:r>
              <w:rPr>
                <w:rFonts w:ascii="Arial" w:hAnsi="Arial" w:cs="Arial"/>
              </w:rPr>
              <w:t xml:space="preserve">100% </w:t>
            </w:r>
          </w:p>
        </w:tc>
      </w:tr>
      <w:tr>
        <w:trPr>
          <w:trHeight w:val="630" w:hRule="atLeast"/>
        </w:trPr>
        <w:tc>
          <w:tcPr>
            <w:tcW w:w="1276" w:type="dxa"/>
            <w:tcBorders>
              <w:top w:val="single" w:color="000000" w:sz="6" w:space="0"/>
              <w:left w:val="single" w:color="000000" w:sz="6" w:space="0"/>
              <w:bottom w:val="nil"/>
              <w:right w:val="single" w:color="000000" w:sz="6" w:space="0"/>
            </w:tcBorders>
            <w:noWrap w:val="0"/>
            <w:vAlign w:val="top"/>
          </w:tcPr>
          <w:p>
            <w:pPr>
              <w:jc w:val="left"/>
              <w:rPr>
                <w:rFonts w:ascii="宋体" w:hAnsi="宋体"/>
                <w:color w:val="000000"/>
                <w:sz w:val="24"/>
              </w:rPr>
            </w:pPr>
            <w:r>
              <w:rPr>
                <w:rFonts w:hint="eastAsia"/>
              </w:rPr>
              <w:t>相关说明</w:t>
            </w:r>
          </w:p>
        </w:tc>
        <w:tc>
          <w:tcPr>
            <w:tcW w:w="7126"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·员工应有一定的新陈代谢。·流动率一般在</w:t>
            </w:r>
            <w:r>
              <w:t>5%</w:t>
            </w:r>
            <w:r>
              <w:rPr>
                <w:rFonts w:hint="eastAsia"/>
              </w:rPr>
              <w:t>或以下较好。</w:t>
            </w:r>
          </w:p>
        </w:tc>
      </w:tr>
      <w:tr>
        <w:trPr>
          <w:trHeight w:val="315" w:hRule="atLeast"/>
        </w:trPr>
        <w:tc>
          <w:tcPr>
            <w:tcW w:w="1276"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7126"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·员工在试用期满前离职不列入统计。</w:t>
            </w:r>
          </w:p>
        </w:tc>
      </w:tr>
      <w:tr>
        <w:trPr>
          <w:trHeight w:val="330" w:hRule="atLeast"/>
        </w:trPr>
        <w:tc>
          <w:tcPr>
            <w:tcW w:w="1276"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126"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·该指标为人力资源的管理参考指标，建议作为政策参考用。</w:t>
            </w:r>
          </w:p>
        </w:tc>
      </w:tr>
      <w:tr>
        <w:trPr>
          <w:trHeight w:val="330" w:hRule="atLeast"/>
        </w:trPr>
        <w:tc>
          <w:tcPr>
            <w:tcW w:w="127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712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人力资源部</w:t>
            </w:r>
          </w:p>
        </w:tc>
      </w:tr>
      <w:tr>
        <w:trPr>
          <w:trHeight w:val="330" w:hRule="atLeast"/>
        </w:trPr>
        <w:tc>
          <w:tcPr>
            <w:tcW w:w="127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712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离职单</w:t>
            </w:r>
          </w:p>
        </w:tc>
      </w:tr>
      <w:tr>
        <w:trPr>
          <w:trHeight w:val="330" w:hRule="atLeast"/>
        </w:trPr>
        <w:tc>
          <w:tcPr>
            <w:tcW w:w="127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712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人力资源部</w:t>
            </w:r>
          </w:p>
        </w:tc>
      </w:tr>
      <w:tr>
        <w:trPr>
          <w:trHeight w:val="330" w:hRule="atLeast"/>
        </w:trPr>
        <w:tc>
          <w:tcPr>
            <w:tcW w:w="127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712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27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7126"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人员需求达成率</w:t>
      </w:r>
      <w:r>
        <w:t xml:space="preserve"> </w:t>
      </w:r>
    </w:p>
    <w:tbl>
      <w:tblPr>
        <w:tblStyle w:val="8"/>
        <w:tblW w:w="0" w:type="dxa"/>
        <w:tblInd w:w="0" w:type="dxa"/>
        <w:tblLayout w:type="autofit"/>
        <w:tblCellMar>
          <w:top w:w="45" w:type="dxa"/>
          <w:left w:w="45" w:type="dxa"/>
          <w:bottom w:w="45" w:type="dxa"/>
          <w:right w:w="45" w:type="dxa"/>
        </w:tblCellMar>
      </w:tblPr>
      <w:tblGrid>
        <w:gridCol w:w="1275"/>
        <w:gridCol w:w="7121"/>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人员需求达成率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一定时期内各部门于编制内提出人员增补需求的完成状况</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显示人力资源部门对各单位服务的绩效</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人员需求达成率＝报到人数÷需求人数×</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·报到员工要满足用人单位的人才需求规格。</w:t>
            </w:r>
          </w:p>
        </w:tc>
      </w:tr>
      <w:tr>
        <w:trPr>
          <w:trHeight w:val="60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·人员是否录用应由需求单位面试决定。</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人力资源部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人员需求申请单</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各部门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培训计划达成率</w:t>
      </w:r>
      <w:r>
        <w:t xml:space="preserve"> </w:t>
      </w:r>
    </w:p>
    <w:tbl>
      <w:tblPr>
        <w:tblStyle w:val="8"/>
        <w:tblW w:w="0" w:type="dxa"/>
        <w:tblInd w:w="0" w:type="dxa"/>
        <w:tblLayout w:type="autofit"/>
        <w:tblCellMar>
          <w:top w:w="45" w:type="dxa"/>
          <w:left w:w="45" w:type="dxa"/>
          <w:bottom w:w="45" w:type="dxa"/>
          <w:right w:w="45" w:type="dxa"/>
        </w:tblCellMar>
      </w:tblPr>
      <w:tblGrid>
        <w:gridCol w:w="1083"/>
        <w:gridCol w:w="205"/>
        <w:gridCol w:w="7108"/>
      </w:tblGrid>
      <w:tr>
        <w:trPr>
          <w:trHeight w:val="345" w:hRule="atLeast"/>
        </w:trPr>
        <w:tc>
          <w:tcPr>
            <w:tcW w:w="1230" w:type="dxa"/>
            <w:tcBorders>
              <w:top w:val="single" w:color="000000" w:sz="6" w:space="0"/>
              <w:left w:val="single" w:color="000000" w:sz="6" w:space="0"/>
              <w:bottom w:val="single" w:color="000000" w:sz="6" w:space="0"/>
              <w:right w:val="nil"/>
            </w:tcBorders>
            <w:noWrap w:val="0"/>
            <w:vAlign w:val="center"/>
          </w:tcPr>
          <w:p>
            <w:pPr>
              <w:jc w:val="left"/>
              <w:rPr>
                <w:rFonts w:ascii="宋体" w:hAnsi="宋体"/>
                <w:color w:val="000000"/>
                <w:sz w:val="24"/>
              </w:rPr>
            </w:pPr>
            <w:r>
              <w:rPr>
                <w:rFonts w:hint="eastAsia"/>
              </w:rPr>
              <w:t>指标名称</w:t>
            </w:r>
          </w:p>
        </w:tc>
        <w:tc>
          <w:tcPr>
            <w:tcW w:w="225" w:type="dxa"/>
            <w:tcBorders>
              <w:top w:val="single" w:color="000000" w:sz="6" w:space="0"/>
              <w:left w:val="nil"/>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培训计划达成率</w:t>
            </w:r>
          </w:p>
        </w:tc>
      </w:tr>
      <w:tr>
        <w:trPr>
          <w:trHeight w:val="330" w:hRule="atLeast"/>
        </w:trPr>
        <w:tc>
          <w:tcPr>
            <w:tcW w:w="1230" w:type="dxa"/>
            <w:tcBorders>
              <w:top w:val="single" w:color="000000" w:sz="6" w:space="0"/>
              <w:left w:val="single" w:color="000000" w:sz="6" w:space="0"/>
              <w:bottom w:val="single" w:color="000000" w:sz="6" w:space="0"/>
              <w:right w:val="nil"/>
            </w:tcBorders>
            <w:noWrap w:val="0"/>
            <w:vAlign w:val="center"/>
          </w:tcPr>
          <w:p>
            <w:pPr>
              <w:jc w:val="left"/>
              <w:rPr>
                <w:rFonts w:ascii="宋体" w:hAnsi="宋体"/>
                <w:color w:val="000000"/>
                <w:sz w:val="24"/>
              </w:rPr>
            </w:pPr>
            <w:r>
              <w:rPr>
                <w:rFonts w:hint="eastAsia"/>
              </w:rPr>
              <w:t>指标定义</w:t>
            </w:r>
          </w:p>
        </w:tc>
        <w:tc>
          <w:tcPr>
            <w:tcW w:w="225" w:type="dxa"/>
            <w:tcBorders>
              <w:top w:val="single" w:color="000000" w:sz="6" w:space="0"/>
              <w:left w:val="nil"/>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指在一定时期内培训计划的执行状况</w:t>
            </w:r>
          </w:p>
        </w:tc>
      </w:tr>
      <w:tr>
        <w:trPr>
          <w:trHeight w:val="330" w:hRule="atLeast"/>
        </w:trPr>
        <w:tc>
          <w:tcPr>
            <w:tcW w:w="1230" w:type="dxa"/>
            <w:tcBorders>
              <w:top w:val="single" w:color="000000" w:sz="6" w:space="0"/>
              <w:left w:val="single" w:color="000000" w:sz="6" w:space="0"/>
              <w:bottom w:val="single" w:color="000000" w:sz="6" w:space="0"/>
              <w:right w:val="nil"/>
            </w:tcBorders>
            <w:noWrap w:val="0"/>
            <w:vAlign w:val="center"/>
          </w:tcPr>
          <w:p>
            <w:pPr>
              <w:jc w:val="left"/>
              <w:rPr>
                <w:rFonts w:ascii="宋体" w:hAnsi="宋体"/>
                <w:color w:val="000000"/>
                <w:sz w:val="24"/>
              </w:rPr>
            </w:pPr>
            <w:r>
              <w:rPr>
                <w:rFonts w:hint="eastAsia"/>
              </w:rPr>
              <w:t>设立目的</w:t>
            </w:r>
          </w:p>
        </w:tc>
        <w:tc>
          <w:tcPr>
            <w:tcW w:w="225" w:type="dxa"/>
            <w:tcBorders>
              <w:top w:val="single" w:color="000000" w:sz="6" w:space="0"/>
              <w:left w:val="nil"/>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考察员工受培训及人才培养的执行</w:t>
            </w:r>
          </w:p>
        </w:tc>
      </w:tr>
      <w:tr>
        <w:trPr>
          <w:trHeight w:val="330" w:hRule="atLeast"/>
        </w:trPr>
        <w:tc>
          <w:tcPr>
            <w:tcW w:w="1230" w:type="dxa"/>
            <w:tcBorders>
              <w:top w:val="single" w:color="000000" w:sz="6" w:space="0"/>
              <w:left w:val="single" w:color="000000" w:sz="6" w:space="0"/>
              <w:bottom w:val="single" w:color="000000" w:sz="6" w:space="0"/>
              <w:right w:val="nil"/>
            </w:tcBorders>
            <w:noWrap w:val="0"/>
            <w:vAlign w:val="center"/>
          </w:tcPr>
          <w:p>
            <w:pPr>
              <w:jc w:val="left"/>
              <w:rPr>
                <w:rFonts w:ascii="宋体" w:hAnsi="宋体"/>
                <w:color w:val="000000"/>
                <w:sz w:val="24"/>
              </w:rPr>
            </w:pPr>
            <w:r>
              <w:rPr>
                <w:rFonts w:hint="eastAsia"/>
              </w:rPr>
              <w:t>计算公式</w:t>
            </w:r>
          </w:p>
        </w:tc>
        <w:tc>
          <w:tcPr>
            <w:tcW w:w="225" w:type="dxa"/>
            <w:tcBorders>
              <w:top w:val="single" w:color="000000" w:sz="6" w:space="0"/>
              <w:left w:val="nil"/>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培训计划达成率＝培训计划执行总时数÷培训计划总时数×</w:t>
            </w:r>
            <w:r>
              <w:rPr>
                <w:rFonts w:ascii="Arial" w:hAnsi="Arial" w:cs="Arial"/>
              </w:rPr>
              <w:t xml:space="preserve">100% </w:t>
            </w:r>
          </w:p>
        </w:tc>
      </w:tr>
      <w:tr>
        <w:trPr>
          <w:trHeight w:val="1260" w:hRule="atLeast"/>
        </w:trPr>
        <w:tc>
          <w:tcPr>
            <w:tcW w:w="1230" w:type="dxa"/>
            <w:tcBorders>
              <w:top w:val="single" w:color="000000" w:sz="6" w:space="0"/>
              <w:left w:val="single" w:color="000000" w:sz="6" w:space="0"/>
              <w:bottom w:val="single" w:color="000000" w:sz="6" w:space="0"/>
              <w:right w:val="nil"/>
            </w:tcBorders>
            <w:noWrap w:val="0"/>
            <w:vAlign w:val="top"/>
          </w:tcPr>
          <w:p>
            <w:pPr>
              <w:jc w:val="left"/>
              <w:rPr>
                <w:rFonts w:ascii="宋体" w:hAnsi="宋体"/>
                <w:color w:val="000000"/>
                <w:sz w:val="24"/>
              </w:rPr>
            </w:pPr>
            <w:r>
              <w:rPr>
                <w:rFonts w:hint="eastAsia"/>
              </w:rPr>
              <w:t>相关说明</w:t>
            </w:r>
          </w:p>
        </w:tc>
        <w:tc>
          <w:tcPr>
            <w:tcW w:w="225" w:type="dxa"/>
            <w:tcBorders>
              <w:top w:val="single" w:color="000000" w:sz="6" w:space="0"/>
              <w:left w:val="nil"/>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·培训指对员工进行有关公司文化、专业技能、外部培训、委托培养等方面正式的有组织的培训。·培训计划总时数＝Σ计划课时数×计划人数·培训课程要以满足各单位的培训需求为原则。</w:t>
            </w:r>
          </w:p>
        </w:tc>
      </w:tr>
      <w:tr>
        <w:trPr>
          <w:trHeight w:val="330" w:hRule="atLeast"/>
        </w:trPr>
        <w:tc>
          <w:tcPr>
            <w:tcW w:w="1230" w:type="dxa"/>
            <w:tcBorders>
              <w:top w:val="single" w:color="000000" w:sz="6" w:space="0"/>
              <w:left w:val="single" w:color="000000" w:sz="6" w:space="0"/>
              <w:bottom w:val="single" w:color="000000" w:sz="6" w:space="0"/>
              <w:right w:val="nil"/>
            </w:tcBorders>
            <w:noWrap w:val="0"/>
            <w:vAlign w:val="center"/>
          </w:tcPr>
          <w:p>
            <w:pPr>
              <w:jc w:val="left"/>
              <w:rPr>
                <w:rFonts w:ascii="宋体" w:hAnsi="宋体"/>
                <w:color w:val="000000"/>
                <w:sz w:val="24"/>
              </w:rPr>
            </w:pPr>
            <w:r>
              <w:rPr>
                <w:rFonts w:hint="eastAsia"/>
              </w:rPr>
              <w:t>数据收集</w:t>
            </w:r>
          </w:p>
        </w:tc>
        <w:tc>
          <w:tcPr>
            <w:tcW w:w="225" w:type="dxa"/>
            <w:tcBorders>
              <w:top w:val="single" w:color="000000" w:sz="6" w:space="0"/>
              <w:left w:val="nil"/>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人力资源部</w:t>
            </w:r>
          </w:p>
        </w:tc>
      </w:tr>
      <w:tr>
        <w:trPr>
          <w:trHeight w:val="330" w:hRule="atLeast"/>
        </w:trPr>
        <w:tc>
          <w:tcPr>
            <w:tcW w:w="1230" w:type="dxa"/>
            <w:tcBorders>
              <w:top w:val="single" w:color="000000" w:sz="6" w:space="0"/>
              <w:left w:val="single" w:color="000000" w:sz="6" w:space="0"/>
              <w:bottom w:val="single" w:color="000000" w:sz="6" w:space="0"/>
              <w:right w:val="nil"/>
            </w:tcBorders>
            <w:noWrap w:val="0"/>
            <w:vAlign w:val="center"/>
          </w:tcPr>
          <w:p>
            <w:pPr>
              <w:jc w:val="left"/>
              <w:rPr>
                <w:rFonts w:ascii="宋体" w:hAnsi="宋体"/>
                <w:color w:val="000000"/>
                <w:sz w:val="24"/>
              </w:rPr>
            </w:pPr>
            <w:r>
              <w:rPr>
                <w:rFonts w:hint="eastAsia"/>
              </w:rPr>
              <w:t>数据来源</w:t>
            </w:r>
          </w:p>
        </w:tc>
        <w:tc>
          <w:tcPr>
            <w:tcW w:w="225" w:type="dxa"/>
            <w:tcBorders>
              <w:top w:val="single" w:color="000000" w:sz="6" w:space="0"/>
              <w:left w:val="nil"/>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培训通知或记录</w:t>
            </w:r>
          </w:p>
        </w:tc>
      </w:tr>
      <w:tr>
        <w:trPr>
          <w:trHeight w:val="330" w:hRule="atLeast"/>
        </w:trPr>
        <w:tc>
          <w:tcPr>
            <w:tcW w:w="1230" w:type="dxa"/>
            <w:tcBorders>
              <w:top w:val="single" w:color="000000" w:sz="6" w:space="0"/>
              <w:left w:val="single" w:color="000000" w:sz="6" w:space="0"/>
              <w:bottom w:val="single" w:color="000000" w:sz="6" w:space="0"/>
              <w:right w:val="nil"/>
            </w:tcBorders>
            <w:noWrap w:val="0"/>
            <w:vAlign w:val="center"/>
          </w:tcPr>
          <w:p>
            <w:pPr>
              <w:jc w:val="left"/>
              <w:rPr>
                <w:rFonts w:ascii="宋体" w:hAnsi="宋体"/>
                <w:color w:val="000000"/>
                <w:sz w:val="24"/>
              </w:rPr>
            </w:pPr>
            <w:r>
              <w:rPr>
                <w:rFonts w:hint="eastAsia"/>
              </w:rPr>
              <w:t>数据核对</w:t>
            </w:r>
          </w:p>
        </w:tc>
        <w:tc>
          <w:tcPr>
            <w:tcW w:w="225" w:type="dxa"/>
            <w:tcBorders>
              <w:top w:val="single" w:color="000000" w:sz="6" w:space="0"/>
              <w:left w:val="nil"/>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各部门</w:t>
            </w:r>
          </w:p>
        </w:tc>
      </w:tr>
      <w:tr>
        <w:trPr>
          <w:trHeight w:val="330" w:hRule="atLeast"/>
        </w:trPr>
        <w:tc>
          <w:tcPr>
            <w:tcW w:w="1230" w:type="dxa"/>
            <w:tcBorders>
              <w:top w:val="single" w:color="000000" w:sz="6" w:space="0"/>
              <w:left w:val="single" w:color="000000" w:sz="6" w:space="0"/>
              <w:bottom w:val="single" w:color="000000" w:sz="6" w:space="0"/>
              <w:right w:val="nil"/>
            </w:tcBorders>
            <w:noWrap w:val="0"/>
            <w:vAlign w:val="center"/>
          </w:tcPr>
          <w:p>
            <w:pPr>
              <w:jc w:val="left"/>
              <w:rPr>
                <w:rFonts w:ascii="宋体" w:hAnsi="宋体"/>
                <w:color w:val="000000"/>
                <w:sz w:val="24"/>
              </w:rPr>
            </w:pPr>
            <w:r>
              <w:rPr>
                <w:rFonts w:hint="eastAsia"/>
              </w:rPr>
              <w:t>统计周期</w:t>
            </w:r>
          </w:p>
        </w:tc>
        <w:tc>
          <w:tcPr>
            <w:tcW w:w="225" w:type="dxa"/>
            <w:tcBorders>
              <w:top w:val="single" w:color="000000" w:sz="6" w:space="0"/>
              <w:left w:val="nil"/>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230" w:type="dxa"/>
            <w:tcBorders>
              <w:top w:val="single" w:color="000000" w:sz="6" w:space="0"/>
              <w:left w:val="single" w:color="000000" w:sz="6" w:space="0"/>
              <w:bottom w:val="single" w:color="000000" w:sz="6" w:space="0"/>
              <w:right w:val="nil"/>
            </w:tcBorders>
            <w:noWrap w:val="0"/>
            <w:vAlign w:val="center"/>
          </w:tcPr>
          <w:p>
            <w:pPr>
              <w:jc w:val="left"/>
              <w:rPr>
                <w:rFonts w:ascii="宋体" w:hAnsi="宋体"/>
                <w:color w:val="000000"/>
                <w:sz w:val="24"/>
              </w:rPr>
            </w:pPr>
            <w:r>
              <w:rPr>
                <w:rFonts w:hint="eastAsia"/>
              </w:rPr>
              <w:t>统计方式</w:t>
            </w:r>
          </w:p>
        </w:tc>
        <w:tc>
          <w:tcPr>
            <w:tcW w:w="225" w:type="dxa"/>
            <w:tcBorders>
              <w:top w:val="single" w:color="000000" w:sz="6" w:space="0"/>
              <w:left w:val="nil"/>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jc w:val="left"/>
        <w:rPr>
          <w:rFonts w:hint="eastAsia"/>
          <w:sz w:val="28"/>
          <w:szCs w:val="28"/>
        </w:rPr>
      </w:pPr>
      <w:r>
        <w:rPr>
          <w:rFonts w:hint="eastAsia"/>
          <w:sz w:val="28"/>
          <w:szCs w:val="28"/>
        </w:rPr>
        <w:t>财务管理</w:t>
      </w:r>
    </w:p>
    <w:p>
      <w:pPr>
        <w:jc w:val="left"/>
        <w:rPr>
          <w:rFonts w:hint="eastAsia"/>
        </w:rPr>
      </w:pPr>
      <w:r>
        <w:rPr>
          <w:rFonts w:hint="eastAsia"/>
          <w:sz w:val="28"/>
          <w:szCs w:val="28"/>
        </w:rPr>
        <w:t>结算延迟天数</w:t>
      </w:r>
    </w:p>
    <w:tbl>
      <w:tblPr>
        <w:tblStyle w:val="8"/>
        <w:tblW w:w="0" w:type="dxa"/>
        <w:tblInd w:w="0" w:type="dxa"/>
        <w:tblLayout w:type="autofit"/>
        <w:tblCellMar>
          <w:top w:w="45" w:type="dxa"/>
          <w:left w:w="45" w:type="dxa"/>
          <w:bottom w:w="45" w:type="dxa"/>
          <w:right w:w="45" w:type="dxa"/>
        </w:tblCellMar>
      </w:tblPr>
      <w:tblGrid>
        <w:gridCol w:w="1282"/>
        <w:gridCol w:w="7114"/>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结算延迟天数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表示财务部门财务结算时效和日常单据处理的能力</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考核财务部门的人员工作效率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结算延迟天数以规定的结算完成日计算</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·每月结算延迟天数的累加即为年的延迟天数。</w:t>
            </w:r>
          </w:p>
        </w:tc>
      </w:tr>
      <w:tr>
        <w:trPr>
          <w:trHeight w:val="3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·提早完成的天数不予计算。</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厂长办公室</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结算资料</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每月、每年一次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jc w:val="left"/>
        <w:rPr>
          <w:rFonts w:hint="eastAsia"/>
        </w:rPr>
      </w:pPr>
    </w:p>
    <w:p>
      <w:pPr>
        <w:jc w:val="left"/>
        <w:rPr>
          <w:rFonts w:hint="eastAsia"/>
        </w:rPr>
      </w:pPr>
    </w:p>
    <w:p>
      <w:pPr>
        <w:jc w:val="left"/>
        <w:rPr>
          <w:rFonts w:hint="eastAsia"/>
        </w:rPr>
      </w:pPr>
      <w:r>
        <w:rPr>
          <w:rFonts w:hint="eastAsia"/>
          <w:sz w:val="28"/>
          <w:szCs w:val="28"/>
        </w:rPr>
        <w:t>支出审核失误率</w:t>
      </w:r>
    </w:p>
    <w:tbl>
      <w:tblPr>
        <w:tblStyle w:val="8"/>
        <w:tblW w:w="8402" w:type="dxa"/>
        <w:tblInd w:w="0" w:type="dxa"/>
        <w:tblLayout w:type="autofit"/>
        <w:tblCellMar>
          <w:top w:w="45" w:type="dxa"/>
          <w:left w:w="45" w:type="dxa"/>
          <w:bottom w:w="45" w:type="dxa"/>
          <w:right w:w="45" w:type="dxa"/>
        </w:tblCellMar>
      </w:tblPr>
      <w:tblGrid>
        <w:gridCol w:w="1282"/>
        <w:gridCol w:w="7120"/>
      </w:tblGrid>
      <w:tr>
        <w:trPr>
          <w:trHeight w:val="345" w:hRule="atLeast"/>
        </w:trPr>
        <w:tc>
          <w:tcPr>
            <w:tcW w:w="1282"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712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支出审核失误率</w:t>
            </w:r>
          </w:p>
        </w:tc>
      </w:tr>
      <w:tr>
        <w:trPr>
          <w:trHeight w:val="330" w:hRule="atLeast"/>
        </w:trPr>
        <w:tc>
          <w:tcPr>
            <w:tcW w:w="1282"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712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表示财务部门在稽核功能上的表现状况</w:t>
            </w:r>
          </w:p>
        </w:tc>
      </w:tr>
      <w:tr>
        <w:trPr>
          <w:trHeight w:val="330" w:hRule="atLeast"/>
        </w:trPr>
        <w:tc>
          <w:tcPr>
            <w:tcW w:w="1282"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712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考核财务部门的单据与出纳管理能力</w:t>
            </w:r>
          </w:p>
        </w:tc>
      </w:tr>
      <w:tr>
        <w:trPr>
          <w:trHeight w:val="330" w:hRule="atLeast"/>
        </w:trPr>
        <w:tc>
          <w:tcPr>
            <w:tcW w:w="1282"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712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支出审核失误率＝不当支出金额÷支出总额</w:t>
            </w:r>
          </w:p>
        </w:tc>
      </w:tr>
      <w:tr>
        <w:trPr>
          <w:trHeight w:val="315" w:hRule="atLeast"/>
        </w:trPr>
        <w:tc>
          <w:tcPr>
            <w:tcW w:w="1282"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712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·所谓不当支出为请款手续和资料有缺陷的。</w:t>
            </w:r>
          </w:p>
        </w:tc>
      </w:tr>
      <w:tr>
        <w:trPr>
          <w:trHeight w:val="330" w:hRule="atLeast"/>
        </w:trPr>
        <w:tc>
          <w:tcPr>
            <w:tcW w:w="1282"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12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·所谓不当支出为超出核决权限而付款的</w:t>
            </w:r>
          </w:p>
        </w:tc>
      </w:tr>
      <w:tr>
        <w:trPr>
          <w:trHeight w:val="330" w:hRule="atLeast"/>
        </w:trPr>
        <w:tc>
          <w:tcPr>
            <w:tcW w:w="1282"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712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审计</w:t>
            </w:r>
          </w:p>
        </w:tc>
      </w:tr>
      <w:tr>
        <w:trPr>
          <w:trHeight w:val="330" w:hRule="atLeast"/>
        </w:trPr>
        <w:tc>
          <w:tcPr>
            <w:tcW w:w="1282"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712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请款单据</w:t>
            </w:r>
          </w:p>
        </w:tc>
      </w:tr>
      <w:tr>
        <w:trPr>
          <w:trHeight w:val="330" w:hRule="atLeast"/>
        </w:trPr>
        <w:tc>
          <w:tcPr>
            <w:tcW w:w="1282"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712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282"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712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每月、季一次</w:t>
            </w:r>
          </w:p>
        </w:tc>
      </w:tr>
      <w:tr>
        <w:trPr>
          <w:trHeight w:val="330" w:hRule="atLeast"/>
        </w:trPr>
        <w:tc>
          <w:tcPr>
            <w:tcW w:w="1282"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712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sz w:val="28"/>
          <w:szCs w:val="28"/>
        </w:rPr>
      </w:pPr>
    </w:p>
    <w:p>
      <w:pPr>
        <w:rPr>
          <w:rFonts w:hint="eastAsia"/>
        </w:rPr>
      </w:pPr>
      <w:r>
        <w:rPr>
          <w:rFonts w:hint="eastAsia"/>
          <w:sz w:val="28"/>
          <w:szCs w:val="28"/>
        </w:rPr>
        <w:t>资金调度达成率</w:t>
      </w:r>
    </w:p>
    <w:tbl>
      <w:tblPr>
        <w:tblStyle w:val="8"/>
        <w:tblW w:w="0" w:type="dxa"/>
        <w:tblInd w:w="0" w:type="dxa"/>
        <w:tblLayout w:type="autofit"/>
        <w:tblCellMar>
          <w:top w:w="45" w:type="dxa"/>
          <w:left w:w="45" w:type="dxa"/>
          <w:bottom w:w="45" w:type="dxa"/>
          <w:right w:w="45" w:type="dxa"/>
        </w:tblCellMar>
      </w:tblPr>
      <w:tblGrid>
        <w:gridCol w:w="1286"/>
        <w:gridCol w:w="7110"/>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资金调度达成率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对财务部门提供资金需求的服务能力</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考核财务部门的资金管理和运筹的能力</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资金调度达成率＝资金调度完成金额÷经核准的资金需求总额</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投资管理</w:t>
      </w:r>
      <w:r>
        <w:t xml:space="preserve"> </w:t>
      </w:r>
    </w:p>
    <w:p>
      <w:pPr>
        <w:rPr>
          <w:rFonts w:hint="eastAsia"/>
        </w:rPr>
      </w:pPr>
      <w:r>
        <w:rPr>
          <w:rFonts w:hint="eastAsia"/>
          <w:sz w:val="28"/>
          <w:szCs w:val="28"/>
        </w:rPr>
        <w:t>投资成功率</w:t>
      </w:r>
    </w:p>
    <w:tbl>
      <w:tblPr>
        <w:tblStyle w:val="8"/>
        <w:tblW w:w="8402" w:type="dxa"/>
        <w:tblInd w:w="0" w:type="dxa"/>
        <w:tblLayout w:type="autofit"/>
        <w:tblCellMar>
          <w:top w:w="45" w:type="dxa"/>
          <w:left w:w="45" w:type="dxa"/>
          <w:bottom w:w="45" w:type="dxa"/>
          <w:right w:w="45" w:type="dxa"/>
        </w:tblCellMar>
      </w:tblPr>
      <w:tblGrid>
        <w:gridCol w:w="1274"/>
        <w:gridCol w:w="7128"/>
      </w:tblGrid>
      <w:tr>
        <w:trPr>
          <w:trHeight w:val="345" w:hRule="atLeast"/>
        </w:trPr>
        <w:tc>
          <w:tcPr>
            <w:tcW w:w="1274"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7128"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投资成功率</w:t>
            </w:r>
          </w:p>
        </w:tc>
      </w:tr>
      <w:tr>
        <w:trPr>
          <w:trHeight w:val="330" w:hRule="atLeast"/>
        </w:trPr>
        <w:tc>
          <w:tcPr>
            <w:tcW w:w="1274"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7128"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表示对投资评估、审核与管理的严谨性</w:t>
            </w:r>
          </w:p>
        </w:tc>
      </w:tr>
      <w:tr>
        <w:trPr>
          <w:trHeight w:val="330" w:hRule="atLeast"/>
        </w:trPr>
        <w:tc>
          <w:tcPr>
            <w:tcW w:w="1274"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7128"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考核投资项目的成功比率</w:t>
            </w:r>
          </w:p>
        </w:tc>
      </w:tr>
      <w:tr>
        <w:trPr>
          <w:trHeight w:val="330" w:hRule="atLeast"/>
        </w:trPr>
        <w:tc>
          <w:tcPr>
            <w:tcW w:w="1274"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7128"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投资成功率＝投资成功件数÷投资总件数×</w:t>
            </w:r>
            <w:r>
              <w:rPr>
                <w:rFonts w:ascii="Arial" w:hAnsi="Arial" w:cs="Arial"/>
              </w:rPr>
              <w:t xml:space="preserve">100% </w:t>
            </w:r>
          </w:p>
        </w:tc>
      </w:tr>
      <w:tr>
        <w:trPr>
          <w:trHeight w:val="330" w:hRule="atLeast"/>
        </w:trPr>
        <w:tc>
          <w:tcPr>
            <w:tcW w:w="1274"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7128"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·投资成功以达成投资评估的</w:t>
            </w:r>
            <w:r>
              <w:rPr>
                <w:rFonts w:ascii="Arial" w:hAnsi="Arial" w:cs="Arial"/>
              </w:rPr>
              <w:t>80%(</w:t>
            </w:r>
            <w:r>
              <w:rPr>
                <w:rFonts w:hint="eastAsia"/>
              </w:rPr>
              <w:t>含</w:t>
            </w:r>
            <w:r>
              <w:rPr>
                <w:rFonts w:ascii="Arial" w:hAnsi="Arial" w:cs="Arial"/>
              </w:rPr>
              <w:t>)</w:t>
            </w:r>
            <w:r>
              <w:rPr>
                <w:rFonts w:hint="eastAsia"/>
              </w:rPr>
              <w:t>即为成功。</w:t>
            </w:r>
          </w:p>
        </w:tc>
      </w:tr>
      <w:tr>
        <w:trPr>
          <w:trHeight w:val="300" w:hRule="atLeast"/>
        </w:trPr>
        <w:tc>
          <w:tcPr>
            <w:tcW w:w="1274"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128"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·投资评估可以投资回收年限或投资报酬率为基准。</w:t>
            </w:r>
          </w:p>
        </w:tc>
      </w:tr>
      <w:tr>
        <w:trPr>
          <w:trHeight w:val="330" w:hRule="atLeast"/>
        </w:trPr>
        <w:tc>
          <w:tcPr>
            <w:tcW w:w="1274"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7128"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274"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7128"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财务报表</w:t>
            </w:r>
          </w:p>
        </w:tc>
      </w:tr>
      <w:tr>
        <w:trPr>
          <w:trHeight w:val="330" w:hRule="atLeast"/>
        </w:trPr>
        <w:tc>
          <w:tcPr>
            <w:tcW w:w="1274"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7128"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274"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7128"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每半年一次、每件投资案结案时</w:t>
            </w:r>
          </w:p>
        </w:tc>
      </w:tr>
      <w:tr>
        <w:trPr>
          <w:trHeight w:val="330" w:hRule="atLeast"/>
        </w:trPr>
        <w:tc>
          <w:tcPr>
            <w:tcW w:w="1274"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7128"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vanish/>
        </w:rPr>
      </w:pPr>
    </w:p>
    <w:p>
      <w:pPr>
        <w:rPr>
          <w:vanish/>
        </w:rPr>
      </w:pPr>
    </w:p>
    <w:p>
      <w:pPr>
        <w:rPr>
          <w:vanish/>
        </w:rPr>
      </w:pPr>
    </w:p>
    <w:p>
      <w:pPr>
        <w:rPr>
          <w:vanish/>
        </w:rPr>
      </w:pPr>
    </w:p>
    <w:p>
      <w:pPr>
        <w:rPr>
          <w:vanish/>
        </w:rPr>
      </w:pPr>
    </w:p>
    <w:p>
      <w:pPr>
        <w:rPr>
          <w:vanish/>
        </w:rPr>
      </w:pPr>
    </w:p>
    <w:p>
      <w:pPr>
        <w:rPr>
          <w:rFonts w:hint="eastAsia"/>
        </w:rPr>
      </w:pPr>
    </w:p>
    <w:p>
      <w:pPr>
        <w:rPr>
          <w:rFonts w:hint="eastAsia"/>
        </w:rPr>
      </w:pPr>
      <w:r>
        <w:rPr>
          <w:rFonts w:hint="eastAsia"/>
          <w:sz w:val="28"/>
          <w:szCs w:val="28"/>
        </w:rPr>
        <w:t>投资预算超支比率</w:t>
      </w:r>
      <w:r>
        <w:t xml:space="preserve"> </w:t>
      </w:r>
    </w:p>
    <w:tbl>
      <w:tblPr>
        <w:tblStyle w:val="8"/>
        <w:tblW w:w="0" w:type="dxa"/>
        <w:tblInd w:w="0" w:type="dxa"/>
        <w:tblLayout w:type="autofit"/>
        <w:tblCellMar>
          <w:top w:w="45" w:type="dxa"/>
          <w:left w:w="45" w:type="dxa"/>
          <w:bottom w:w="45" w:type="dxa"/>
          <w:right w:w="45" w:type="dxa"/>
        </w:tblCellMar>
      </w:tblPr>
      <w:tblGrid>
        <w:gridCol w:w="1275"/>
        <w:gridCol w:w="7121"/>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投资预算超支比率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对投资项目的预算核算、审核与执行的管理能力</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考核投资项目的预算管理的评价</w:t>
            </w:r>
          </w:p>
        </w:tc>
      </w:tr>
      <w:tr>
        <w:trPr>
          <w:trHeight w:val="330"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投资预算超支比率＝Σ</w:t>
            </w:r>
            <w:r>
              <w:rPr>
                <w:rFonts w:ascii="Arial" w:hAnsi="Arial" w:cs="Arial"/>
              </w:rPr>
              <w:t>(</w:t>
            </w:r>
            <w:r>
              <w:rPr>
                <w:rFonts w:hint="eastAsia"/>
              </w:rPr>
              <w:t>投资实际发生金额－投资预算金额</w:t>
            </w:r>
            <w:r>
              <w:rPr>
                <w:rFonts w:ascii="Arial" w:hAnsi="Arial" w:cs="Arial"/>
              </w:rPr>
              <w:t>)</w:t>
            </w:r>
            <w:r>
              <w:rPr>
                <w:rFonts w:hint="eastAsia"/>
              </w:rPr>
              <w:t>÷Σ投资预算金</w:t>
            </w:r>
          </w:p>
        </w:tc>
      </w:tr>
      <w:tr>
        <w:trPr>
          <w:trHeight w:val="30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额×</w:t>
            </w:r>
            <w:r>
              <w:rPr>
                <w:rFonts w:ascii="Arial" w:hAnsi="Arial" w:cs="Arial"/>
              </w:rPr>
              <w:t xml:space="preserve">100% </w:t>
            </w:r>
          </w:p>
        </w:tc>
      </w:tr>
      <w:tr>
        <w:trPr>
          <w:trHeight w:val="600" w:hRule="atLeast"/>
        </w:trPr>
        <w:tc>
          <w:tcPr>
            <w:tcW w:w="145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·计算投资发生金额－投资预算金额时要按每一件投资案计算。</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财务报表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项目经理</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每半年一次、每件投资案结案时</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rPr>
      </w:pPr>
      <w:r>
        <w:rPr>
          <w:rFonts w:hint="eastAsia"/>
          <w:sz w:val="28"/>
          <w:szCs w:val="28"/>
        </w:rPr>
        <w:t>投资延迟天数</w:t>
      </w:r>
      <w:r>
        <w:t xml:space="preserve"> </w:t>
      </w:r>
    </w:p>
    <w:tbl>
      <w:tblPr>
        <w:tblStyle w:val="8"/>
        <w:tblW w:w="0" w:type="dxa"/>
        <w:tblInd w:w="0" w:type="dxa"/>
        <w:tblLayout w:type="autofit"/>
        <w:tblCellMar>
          <w:top w:w="45" w:type="dxa"/>
          <w:left w:w="45" w:type="dxa"/>
          <w:bottom w:w="45" w:type="dxa"/>
          <w:right w:w="45" w:type="dxa"/>
        </w:tblCellMar>
      </w:tblPr>
      <w:tblGrid>
        <w:gridCol w:w="1282"/>
        <w:gridCol w:w="7114"/>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投资延迟天数</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对投资项目的进度规划与进行的管理能力</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考核投资项目的执行进程管理的评价</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投资延迟天数＝Σ</w:t>
            </w:r>
            <w:r>
              <w:rPr>
                <w:rFonts w:ascii="Arial" w:hAnsi="Arial" w:cs="Arial"/>
              </w:rPr>
              <w:t>(</w:t>
            </w:r>
            <w:r>
              <w:rPr>
                <w:rFonts w:hint="eastAsia"/>
              </w:rPr>
              <w:t>投资实际完成日－投资预定完成日</w:t>
            </w:r>
            <w:r>
              <w:rPr>
                <w:rFonts w:ascii="Arial" w:hAnsi="Arial" w:cs="Arial"/>
              </w:rPr>
              <w:t xml:space="preserve">)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·投资完成日以能交付使用的日期为完成基准日。</w:t>
            </w:r>
          </w:p>
        </w:tc>
      </w:tr>
      <w:tr>
        <w:trPr>
          <w:trHeight w:val="3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·提前完成不列入计算；也就是说，提前完成不能扣抵另案件的延迟。</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工作报告</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项目经理</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每半年一次、每件投资案结案时</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r>
        <w:rPr>
          <w:rFonts w:hint="eastAsia"/>
          <w:sz w:val="28"/>
          <w:szCs w:val="28"/>
        </w:rPr>
        <w:t>目标管理</w:t>
      </w:r>
      <w:r>
        <w:t xml:space="preserve"> </w:t>
      </w:r>
    </w:p>
    <w:p>
      <w:pPr>
        <w:rPr>
          <w:rFonts w:hint="eastAsia"/>
        </w:rPr>
      </w:pPr>
      <w:r>
        <w:rPr>
          <w:rFonts w:hint="eastAsia"/>
          <w:sz w:val="28"/>
          <w:szCs w:val="28"/>
        </w:rPr>
        <w:t>目标完成率</w:t>
      </w:r>
      <w:r>
        <w:t xml:space="preserve"> </w:t>
      </w:r>
    </w:p>
    <w:tbl>
      <w:tblPr>
        <w:tblStyle w:val="8"/>
        <w:tblW w:w="0" w:type="dxa"/>
        <w:tblInd w:w="0" w:type="dxa"/>
        <w:tblLayout w:type="autofit"/>
        <w:tblCellMar>
          <w:top w:w="45" w:type="dxa"/>
          <w:left w:w="45" w:type="dxa"/>
          <w:bottom w:w="45" w:type="dxa"/>
          <w:right w:w="45" w:type="dxa"/>
        </w:tblCellMar>
      </w:tblPr>
      <w:tblGrid>
        <w:gridCol w:w="1275"/>
        <w:gridCol w:w="7121"/>
      </w:tblGrid>
      <w:tr>
        <w:trPr>
          <w:trHeight w:val="345"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目标完成率</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说明对目标管理的计划、协调与执行的管理能力</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通过该指标强化各部门及员工对工作计划、执行的管理评价</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目标完成率＝目标完成件数÷同时期应完成目标件数×</w:t>
            </w:r>
            <w:r>
              <w:rPr>
                <w:rFonts w:ascii="Arial" w:hAnsi="Arial" w:cs="Arial"/>
              </w:rPr>
              <w:t xml:space="preserve">100% </w:t>
            </w:r>
          </w:p>
        </w:tc>
      </w:tr>
      <w:tr>
        <w:trPr>
          <w:trHeight w:val="315" w:hRule="atLeast"/>
        </w:trPr>
        <w:tc>
          <w:tcPr>
            <w:tcW w:w="145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相关说明</w:t>
            </w:r>
          </w:p>
        </w:tc>
        <w:tc>
          <w:tcPr>
            <w:tcW w:w="828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·该指标的评价要先做好目标管理的工作。</w:t>
            </w:r>
          </w:p>
        </w:tc>
      </w:tr>
      <w:tr>
        <w:trPr>
          <w:trHeight w:val="315"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·各部门、员工每年、月第一天提报当期的工作目标并呈主管核</w:t>
            </w:r>
          </w:p>
        </w:tc>
      </w:tr>
      <w:tr>
        <w:trPr>
          <w:trHeight w:val="630" w:hRule="atLeast"/>
        </w:trPr>
        <w:tc>
          <w:tcPr>
            <w:tcW w:w="145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rPr>
              <w:t>准。同时，提报上一期的工作执行成果。·目标的产生</w:t>
            </w:r>
            <w:r>
              <w:rPr>
                <w:rFonts w:ascii="Arial" w:hAnsi="Arial" w:cs="Arial"/>
              </w:rPr>
              <w:t>1-</w:t>
            </w:r>
            <w:r>
              <w:rPr>
                <w:rFonts w:hint="eastAsia"/>
              </w:rPr>
              <w:t>员工自我设定</w:t>
            </w:r>
            <w:r>
              <w:rPr>
                <w:rFonts w:ascii="Arial" w:hAnsi="Arial" w:cs="Arial"/>
              </w:rPr>
              <w:t>2-</w:t>
            </w:r>
            <w:r>
              <w:rPr>
                <w:rFonts w:hint="eastAsia"/>
              </w:rPr>
              <w:t>主管工作指派。</w:t>
            </w:r>
          </w:p>
        </w:tc>
      </w:tr>
      <w:tr>
        <w:trPr>
          <w:trHeight w:val="630" w:hRule="atLeast"/>
        </w:trPr>
        <w:tc>
          <w:tcPr>
            <w:tcW w:w="145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28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·员工提报工作成果时，要对自身的目标完成进行自我评价。·目标管理的量表如附件。</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各部门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目标管理表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各当事人及部门主管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每月一次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28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rPr>
      </w:pPr>
    </w:p>
    <w:p>
      <w:pPr>
        <w:rPr>
          <w:rFonts w:hint="eastAsia"/>
          <w:sz w:val="28"/>
          <w:szCs w:val="28"/>
        </w:rPr>
      </w:pPr>
      <w:r>
        <w:rPr>
          <w:rFonts w:hint="eastAsia"/>
          <w:sz w:val="28"/>
          <w:szCs w:val="28"/>
        </w:rPr>
        <w:t>内部服务满意度</w:t>
      </w:r>
    </w:p>
    <w:tbl>
      <w:tblPr>
        <w:tblStyle w:val="8"/>
        <w:tblW w:w="0" w:type="dxa"/>
        <w:tblInd w:w="0" w:type="dxa"/>
        <w:tblLayout w:type="autofit"/>
        <w:tblCellMar>
          <w:top w:w="45" w:type="dxa"/>
          <w:left w:w="45" w:type="dxa"/>
          <w:bottom w:w="45" w:type="dxa"/>
          <w:right w:w="45" w:type="dxa"/>
        </w:tblCellMar>
      </w:tblPr>
      <w:tblGrid>
        <w:gridCol w:w="1302"/>
        <w:gridCol w:w="7094"/>
      </w:tblGrid>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指标名称</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内部服务满意度</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指标定义</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显示内部客户服务精神的管理</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设立目的</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提倡内部客户服务的精神，进一步贯彻全员服务意识</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计算公式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内部服务满意度＝调研平均得分</w:t>
            </w:r>
          </w:p>
        </w:tc>
      </w:tr>
      <w:tr>
        <w:trPr>
          <w:trHeight w:val="600" w:hRule="atLeast"/>
        </w:trPr>
        <w:tc>
          <w:tcPr>
            <w:tcW w:w="145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相关说明</w:t>
            </w:r>
          </w:p>
        </w:tc>
        <w:tc>
          <w:tcPr>
            <w:tcW w:w="810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rPr>
              <w:t>·以各部门的服务意识、服务行为为调研主题；以相关部门为对象。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数据收集</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企业管理部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数据来源</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调研资料</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数据核对</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各部门</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统计周期</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每半年或一年一次</w:t>
            </w:r>
          </w:p>
        </w:tc>
      </w:tr>
      <w:tr>
        <w:trPr>
          <w:trHeight w:val="330" w:hRule="atLeast"/>
        </w:trPr>
        <w:tc>
          <w:tcPr>
            <w:tcW w:w="145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统计方式</w:t>
            </w:r>
          </w:p>
        </w:tc>
        <w:tc>
          <w:tcPr>
            <w:tcW w:w="8100"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rPr>
              <w:t>数据和趋势图</w:t>
            </w:r>
          </w:p>
        </w:tc>
      </w:tr>
    </w:tbl>
    <w:p>
      <w:pPr>
        <w:rPr>
          <w:rFonts w:hint="eastAsia"/>
          <w:sz w:val="28"/>
          <w:szCs w:val="28"/>
        </w:rPr>
      </w:pP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jc w:val="center"/>
        <w:rPr>
          <w:rFonts w:hint="eastAsia"/>
          <w:sz w:val="36"/>
        </w:rPr>
      </w:pPr>
      <w:r>
        <w:rPr>
          <w:b/>
          <w:bCs/>
          <w:sz w:val="36"/>
          <w:szCs w:val="32"/>
        </w:rPr>
        <w:t>****</w:t>
      </w:r>
      <w:r>
        <w:rPr>
          <w:rFonts w:hint="eastAsia"/>
          <w:sz w:val="36"/>
          <w:szCs w:val="32"/>
        </w:rPr>
        <w:t>股份有限公司</w:t>
      </w:r>
    </w:p>
    <w:p>
      <w:pPr>
        <w:jc w:val="center"/>
        <w:rPr>
          <w:rFonts w:hint="eastAsia"/>
          <w:sz w:val="36"/>
        </w:rPr>
      </w:pPr>
      <w:r>
        <w:rPr>
          <w:rFonts w:hint="eastAsia"/>
          <w:sz w:val="36"/>
          <w:szCs w:val="32"/>
        </w:rPr>
        <w:t>目标设定发表</w:t>
      </w:r>
    </w:p>
    <w:p>
      <w:pPr>
        <w:rPr>
          <w:rFonts w:hint="eastAsia"/>
        </w:rPr>
      </w:pPr>
    </w:p>
    <w:p>
      <w:pPr>
        <w:rPr>
          <w:rFonts w:hint="eastAsia"/>
        </w:rPr>
      </w:pPr>
      <w:r>
        <w:rPr>
          <w:rFonts w:hint="eastAsia"/>
          <w:szCs w:val="21"/>
        </w:rPr>
        <w:t>部门：                                            目标人：</w:t>
      </w:r>
    </w:p>
    <w:p>
      <w:pPr>
        <w:rPr>
          <w:rFonts w:hint="eastAsia"/>
        </w:rPr>
      </w:pPr>
      <w:r>
        <w:rPr>
          <w:rFonts w:hint="eastAsia"/>
          <w:szCs w:val="21"/>
        </w:rPr>
        <w:t>日期：               年月日</w:t>
      </w:r>
    </w:p>
    <w:p>
      <w:pPr>
        <w:rPr>
          <w:rFonts w:hint="eastAsia"/>
        </w:rPr>
      </w:pPr>
    </w:p>
    <w:p>
      <w:pPr>
        <w:rPr>
          <w:rFonts w:hint="eastAsia"/>
        </w:rPr>
      </w:pPr>
    </w:p>
    <w:p>
      <w:pPr>
        <w:jc w:val="left"/>
        <w:rPr>
          <w:vanish/>
        </w:rPr>
      </w:pPr>
    </w:p>
    <w:p>
      <w:pPr>
        <w:jc w:val="left"/>
        <w:rPr>
          <w:vanish/>
        </w:rPr>
      </w:pPr>
    </w:p>
    <w:p>
      <w:pPr>
        <w:jc w:val="left"/>
        <w:rPr>
          <w:vanish/>
        </w:rPr>
      </w:pPr>
    </w:p>
    <w:p>
      <w:pPr>
        <w:jc w:val="left"/>
        <w:rPr>
          <w:vanish/>
        </w:rPr>
      </w:pPr>
    </w:p>
    <w:p>
      <w:pPr>
        <w:jc w:val="left"/>
        <w:rPr>
          <w:vanish/>
        </w:rPr>
      </w:pPr>
    </w:p>
    <w:p>
      <w:pPr>
        <w:rPr>
          <w:vanish/>
        </w:rPr>
      </w:pPr>
    </w:p>
    <w:p>
      <w:pPr>
        <w:rPr>
          <w:vanish/>
        </w:rPr>
      </w:pPr>
    </w:p>
    <w:tbl>
      <w:tblPr>
        <w:tblStyle w:val="8"/>
        <w:tblW w:w="8402" w:type="dxa"/>
        <w:tblInd w:w="0" w:type="dxa"/>
        <w:tblLayout w:type="autofit"/>
        <w:tblCellMar>
          <w:top w:w="45" w:type="dxa"/>
          <w:left w:w="45" w:type="dxa"/>
          <w:bottom w:w="45" w:type="dxa"/>
          <w:right w:w="45" w:type="dxa"/>
        </w:tblCellMar>
      </w:tblPr>
      <w:tblGrid>
        <w:gridCol w:w="580"/>
        <w:gridCol w:w="2745"/>
        <w:gridCol w:w="865"/>
        <w:gridCol w:w="1143"/>
        <w:gridCol w:w="3069"/>
      </w:tblGrid>
      <w:tr>
        <w:trPr>
          <w:cantSplit/>
          <w:trHeight w:val="510" w:hRule="atLeast"/>
        </w:trPr>
        <w:tc>
          <w:tcPr>
            <w:tcW w:w="580" w:type="dxa"/>
            <w:tcBorders>
              <w:top w:val="single" w:color="000000" w:sz="6" w:space="0"/>
              <w:left w:val="single" w:color="000000" w:sz="6" w:space="0"/>
              <w:bottom w:val="single" w:color="000000" w:sz="6" w:space="0"/>
              <w:right w:val="single" w:color="000000" w:sz="6" w:space="0"/>
            </w:tcBorders>
            <w:noWrap w:val="0"/>
            <w:vAlign w:val="bottom"/>
          </w:tcPr>
          <w:p>
            <w:pPr>
              <w:jc w:val="center"/>
              <w:rPr>
                <w:rFonts w:ascii="宋体" w:hAnsi="宋体"/>
                <w:b/>
                <w:bCs/>
                <w:color w:val="000000"/>
                <w:sz w:val="24"/>
              </w:rPr>
            </w:pPr>
            <w:r>
              <w:rPr>
                <w:rFonts w:hint="eastAsia"/>
                <w:sz w:val="28"/>
                <w:szCs w:val="28"/>
              </w:rPr>
              <w:t>项次</w:t>
            </w:r>
          </w:p>
        </w:tc>
        <w:tc>
          <w:tcPr>
            <w:tcW w:w="2745" w:type="dxa"/>
            <w:tcBorders>
              <w:top w:val="single" w:color="000000" w:sz="6" w:space="0"/>
              <w:left w:val="single" w:color="000000" w:sz="6" w:space="0"/>
              <w:bottom w:val="single" w:color="000000" w:sz="6" w:space="0"/>
              <w:right w:val="single" w:color="000000" w:sz="6" w:space="0"/>
            </w:tcBorders>
            <w:noWrap w:val="0"/>
            <w:vAlign w:val="bottom"/>
          </w:tcPr>
          <w:p>
            <w:pPr>
              <w:jc w:val="center"/>
              <w:rPr>
                <w:rFonts w:ascii="宋体" w:hAnsi="宋体"/>
                <w:b/>
                <w:bCs/>
                <w:color w:val="000000"/>
                <w:sz w:val="24"/>
              </w:rPr>
            </w:pPr>
            <w:r>
              <w:rPr>
                <w:rFonts w:hint="eastAsia"/>
                <w:sz w:val="28"/>
                <w:szCs w:val="28"/>
              </w:rPr>
              <w:t>目标内容</w:t>
            </w:r>
          </w:p>
        </w:tc>
        <w:tc>
          <w:tcPr>
            <w:tcW w:w="865" w:type="dxa"/>
            <w:tcBorders>
              <w:top w:val="single" w:color="000000" w:sz="6" w:space="0"/>
              <w:left w:val="single" w:color="000000" w:sz="6" w:space="0"/>
              <w:bottom w:val="single" w:color="000000" w:sz="6" w:space="0"/>
              <w:right w:val="single" w:color="000000" w:sz="6" w:space="0"/>
            </w:tcBorders>
            <w:noWrap w:val="0"/>
            <w:vAlign w:val="bottom"/>
          </w:tcPr>
          <w:p>
            <w:pPr>
              <w:jc w:val="center"/>
              <w:rPr>
                <w:rFonts w:ascii="宋体" w:hAnsi="宋体"/>
                <w:b/>
                <w:bCs/>
                <w:color w:val="000000"/>
                <w:sz w:val="24"/>
              </w:rPr>
            </w:pPr>
            <w:r>
              <w:rPr>
                <w:rFonts w:hint="eastAsia"/>
                <w:sz w:val="28"/>
                <w:szCs w:val="28"/>
              </w:rPr>
              <w:t>完成时间</w:t>
            </w:r>
          </w:p>
        </w:tc>
        <w:tc>
          <w:tcPr>
            <w:tcW w:w="1143" w:type="dxa"/>
            <w:tcBorders>
              <w:top w:val="single" w:color="000000" w:sz="6" w:space="0"/>
              <w:left w:val="single" w:color="000000" w:sz="6" w:space="0"/>
              <w:bottom w:val="single" w:color="000000" w:sz="6" w:space="0"/>
              <w:right w:val="single" w:color="000000" w:sz="6" w:space="0"/>
            </w:tcBorders>
            <w:noWrap w:val="0"/>
            <w:vAlign w:val="bottom"/>
          </w:tcPr>
          <w:p>
            <w:pPr>
              <w:jc w:val="center"/>
              <w:rPr>
                <w:rFonts w:ascii="宋体" w:hAnsi="宋体"/>
                <w:b/>
                <w:bCs/>
                <w:color w:val="000000"/>
                <w:sz w:val="24"/>
              </w:rPr>
            </w:pPr>
            <w:r>
              <w:rPr>
                <w:rFonts w:hint="eastAsia"/>
                <w:sz w:val="28"/>
                <w:szCs w:val="28"/>
              </w:rPr>
              <w:t>完成标准</w:t>
            </w:r>
          </w:p>
        </w:tc>
        <w:tc>
          <w:tcPr>
            <w:tcW w:w="3069" w:type="dxa"/>
            <w:tcBorders>
              <w:top w:val="single" w:color="000000" w:sz="6" w:space="0"/>
              <w:left w:val="single" w:color="000000" w:sz="6" w:space="0"/>
              <w:bottom w:val="single" w:color="000000" w:sz="6" w:space="0"/>
              <w:right w:val="single" w:color="000000" w:sz="6" w:space="0"/>
            </w:tcBorders>
            <w:noWrap w:val="0"/>
            <w:vAlign w:val="bottom"/>
          </w:tcPr>
          <w:p>
            <w:pPr>
              <w:jc w:val="left"/>
              <w:rPr>
                <w:rFonts w:ascii="宋体" w:hAnsi="宋体"/>
                <w:b/>
                <w:bCs/>
                <w:color w:val="000000"/>
                <w:sz w:val="24"/>
              </w:rPr>
            </w:pPr>
            <w:r>
              <w:rPr>
                <w:rFonts w:hint="eastAsia"/>
                <w:sz w:val="28"/>
                <w:szCs w:val="28"/>
              </w:rPr>
              <w:t>目标对策</w:t>
            </w:r>
          </w:p>
        </w:tc>
      </w:tr>
      <w:tr>
        <w:trPr>
          <w:cantSplit/>
          <w:trHeight w:val="5475" w:hRule="atLeast"/>
        </w:trPr>
        <w:tc>
          <w:tcPr>
            <w:tcW w:w="5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2745"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65"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114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3069"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r>
    </w:tbl>
    <w:p>
      <w:pPr>
        <w:pStyle w:val="7"/>
        <w:spacing w:after="0"/>
        <w:jc w:val="both"/>
        <w:rPr>
          <w:rFonts w:hint="eastAsia" w:ascii="Times New Roman" w:hAnsi="Times New Roman"/>
          <w:sz w:val="28"/>
          <w:szCs w:val="28"/>
        </w:rPr>
      </w:pPr>
      <w:r>
        <w:rPr>
          <w:rFonts w:hint="eastAsia" w:ascii="Times New Roman" w:hAnsi="Times New Roman"/>
          <w:sz w:val="28"/>
          <w:szCs w:val="28"/>
        </w:rPr>
        <w:t>核准：                 审核：             制表：</w:t>
      </w: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p>
    <w:p>
      <w:pPr>
        <w:pStyle w:val="7"/>
        <w:spacing w:after="0"/>
        <w:rPr>
          <w:rFonts w:hint="eastAsia" w:ascii="Times New Roman" w:hAnsi="Times New Roman"/>
          <w:sz w:val="28"/>
          <w:szCs w:val="28"/>
        </w:rPr>
      </w:pPr>
      <w:r>
        <w:rPr>
          <w:b/>
          <w:bCs/>
          <w:sz w:val="32"/>
          <w:szCs w:val="32"/>
        </w:rPr>
        <w:t>****</w:t>
      </w:r>
      <w:r>
        <w:rPr>
          <w:rFonts w:hint="eastAsia"/>
          <w:sz w:val="32"/>
          <w:szCs w:val="32"/>
        </w:rPr>
        <w:t>股份有限公司</w:t>
      </w:r>
    </w:p>
    <w:p>
      <w:pPr>
        <w:pStyle w:val="7"/>
        <w:spacing w:after="0"/>
        <w:rPr>
          <w:rFonts w:hint="eastAsia"/>
          <w:sz w:val="32"/>
          <w:szCs w:val="32"/>
        </w:rPr>
      </w:pPr>
      <w:r>
        <w:rPr>
          <w:rFonts w:hint="eastAsia"/>
          <w:sz w:val="32"/>
          <w:szCs w:val="32"/>
        </w:rPr>
        <w:t xml:space="preserve">目标成果发表  </w:t>
      </w:r>
    </w:p>
    <w:p>
      <w:pPr>
        <w:pStyle w:val="7"/>
        <w:spacing w:after="0"/>
        <w:rPr>
          <w:rFonts w:hint="eastAsia"/>
          <w:sz w:val="32"/>
          <w:szCs w:val="32"/>
        </w:rPr>
      </w:pPr>
    </w:p>
    <w:p>
      <w:pPr>
        <w:rPr>
          <w:rFonts w:hint="eastAsia"/>
        </w:rPr>
      </w:pPr>
    </w:p>
    <w:p>
      <w:pPr>
        <w:rPr>
          <w:rFonts w:hint="eastAsia"/>
        </w:rPr>
      </w:pPr>
      <w:r>
        <w:rPr>
          <w:rFonts w:hint="eastAsia"/>
          <w:szCs w:val="21"/>
        </w:rPr>
        <w:t>部门：                                            目标人：</w:t>
      </w:r>
    </w:p>
    <w:p>
      <w:pPr>
        <w:rPr>
          <w:rFonts w:hint="eastAsia"/>
        </w:rPr>
      </w:pPr>
      <w:r>
        <w:rPr>
          <w:rFonts w:hint="eastAsia"/>
          <w:szCs w:val="21"/>
        </w:rPr>
        <w:t>日期：               年月日</w:t>
      </w:r>
    </w:p>
    <w:tbl>
      <w:tblPr>
        <w:tblStyle w:val="8"/>
        <w:tblW w:w="8402" w:type="dxa"/>
        <w:tblInd w:w="0" w:type="dxa"/>
        <w:tblLayout w:type="autofit"/>
        <w:tblCellMar>
          <w:top w:w="45" w:type="dxa"/>
          <w:left w:w="45" w:type="dxa"/>
          <w:bottom w:w="45" w:type="dxa"/>
          <w:right w:w="45" w:type="dxa"/>
        </w:tblCellMar>
      </w:tblPr>
      <w:tblGrid>
        <w:gridCol w:w="580"/>
        <w:gridCol w:w="2745"/>
        <w:gridCol w:w="865"/>
        <w:gridCol w:w="1143"/>
        <w:gridCol w:w="3069"/>
      </w:tblGrid>
      <w:tr>
        <w:trPr>
          <w:cantSplit/>
          <w:trHeight w:val="510" w:hRule="atLeast"/>
        </w:trPr>
        <w:tc>
          <w:tcPr>
            <w:tcW w:w="580" w:type="dxa"/>
            <w:tcBorders>
              <w:top w:val="single" w:color="000000" w:sz="6" w:space="0"/>
              <w:left w:val="single" w:color="000000" w:sz="6" w:space="0"/>
              <w:bottom w:val="single" w:color="000000" w:sz="6" w:space="0"/>
              <w:right w:val="single" w:color="000000" w:sz="6" w:space="0"/>
            </w:tcBorders>
            <w:noWrap w:val="0"/>
            <w:vAlign w:val="bottom"/>
          </w:tcPr>
          <w:p>
            <w:pPr>
              <w:jc w:val="center"/>
              <w:rPr>
                <w:rFonts w:ascii="宋体" w:hAnsi="宋体"/>
                <w:b/>
                <w:bCs/>
                <w:color w:val="000000"/>
                <w:sz w:val="24"/>
              </w:rPr>
            </w:pPr>
            <w:r>
              <w:rPr>
                <w:rFonts w:hint="eastAsia"/>
                <w:sz w:val="28"/>
                <w:szCs w:val="28"/>
              </w:rPr>
              <w:t>项次</w:t>
            </w:r>
          </w:p>
        </w:tc>
        <w:tc>
          <w:tcPr>
            <w:tcW w:w="2745" w:type="dxa"/>
            <w:tcBorders>
              <w:top w:val="single" w:color="000000" w:sz="6" w:space="0"/>
              <w:left w:val="single" w:color="000000" w:sz="6" w:space="0"/>
              <w:bottom w:val="single" w:color="000000" w:sz="6" w:space="0"/>
              <w:right w:val="single" w:color="000000" w:sz="6" w:space="0"/>
            </w:tcBorders>
            <w:noWrap w:val="0"/>
            <w:vAlign w:val="bottom"/>
          </w:tcPr>
          <w:p>
            <w:pPr>
              <w:jc w:val="center"/>
              <w:rPr>
                <w:rFonts w:ascii="宋体" w:hAnsi="宋体"/>
                <w:b/>
                <w:bCs/>
                <w:color w:val="000000"/>
                <w:sz w:val="24"/>
              </w:rPr>
            </w:pPr>
            <w:r>
              <w:rPr>
                <w:rFonts w:hint="eastAsia"/>
                <w:sz w:val="28"/>
                <w:szCs w:val="28"/>
              </w:rPr>
              <w:t>目标内容</w:t>
            </w:r>
          </w:p>
        </w:tc>
        <w:tc>
          <w:tcPr>
            <w:tcW w:w="865" w:type="dxa"/>
            <w:tcBorders>
              <w:top w:val="single" w:color="000000" w:sz="6" w:space="0"/>
              <w:left w:val="single" w:color="000000" w:sz="6" w:space="0"/>
              <w:bottom w:val="single" w:color="000000" w:sz="6" w:space="0"/>
              <w:right w:val="single" w:color="000000" w:sz="6" w:space="0"/>
            </w:tcBorders>
            <w:noWrap w:val="0"/>
            <w:vAlign w:val="bottom"/>
          </w:tcPr>
          <w:p>
            <w:pPr>
              <w:jc w:val="center"/>
              <w:rPr>
                <w:rFonts w:ascii="宋体" w:hAnsi="宋体"/>
                <w:b/>
                <w:bCs/>
                <w:color w:val="000000"/>
                <w:sz w:val="24"/>
              </w:rPr>
            </w:pPr>
            <w:r>
              <w:rPr>
                <w:rFonts w:hint="eastAsia"/>
                <w:sz w:val="28"/>
                <w:szCs w:val="28"/>
              </w:rPr>
              <w:t>完成时间</w:t>
            </w:r>
          </w:p>
        </w:tc>
        <w:tc>
          <w:tcPr>
            <w:tcW w:w="1143" w:type="dxa"/>
            <w:tcBorders>
              <w:top w:val="single" w:color="000000" w:sz="6" w:space="0"/>
              <w:left w:val="single" w:color="000000" w:sz="6" w:space="0"/>
              <w:bottom w:val="single" w:color="000000" w:sz="6" w:space="0"/>
              <w:right w:val="single" w:color="000000" w:sz="6" w:space="0"/>
            </w:tcBorders>
            <w:noWrap w:val="0"/>
            <w:vAlign w:val="bottom"/>
          </w:tcPr>
          <w:p>
            <w:pPr>
              <w:jc w:val="center"/>
              <w:rPr>
                <w:rFonts w:ascii="宋体" w:hAnsi="宋体"/>
                <w:b/>
                <w:bCs/>
                <w:color w:val="000000"/>
                <w:sz w:val="24"/>
              </w:rPr>
            </w:pPr>
            <w:r>
              <w:rPr>
                <w:rFonts w:hint="eastAsia"/>
                <w:sz w:val="28"/>
                <w:szCs w:val="28"/>
              </w:rPr>
              <w:t>完成标准</w:t>
            </w:r>
          </w:p>
        </w:tc>
        <w:tc>
          <w:tcPr>
            <w:tcW w:w="3069" w:type="dxa"/>
            <w:tcBorders>
              <w:top w:val="single" w:color="000000" w:sz="6" w:space="0"/>
              <w:left w:val="single" w:color="000000" w:sz="6" w:space="0"/>
              <w:bottom w:val="single" w:color="000000" w:sz="6" w:space="0"/>
              <w:right w:val="single" w:color="000000" w:sz="6" w:space="0"/>
            </w:tcBorders>
            <w:noWrap w:val="0"/>
            <w:vAlign w:val="bottom"/>
          </w:tcPr>
          <w:p>
            <w:pPr>
              <w:rPr>
                <w:rFonts w:ascii="宋体" w:hAnsi="宋体"/>
                <w:b/>
                <w:bCs/>
                <w:color w:val="000000"/>
                <w:sz w:val="24"/>
              </w:rPr>
            </w:pPr>
            <w:r>
              <w:rPr>
                <w:rFonts w:hint="eastAsia"/>
                <w:sz w:val="28"/>
                <w:szCs w:val="28"/>
              </w:rPr>
              <w:t>目标成果</w:t>
            </w:r>
          </w:p>
        </w:tc>
      </w:tr>
      <w:tr>
        <w:trPr>
          <w:cantSplit/>
          <w:trHeight w:val="5475" w:hRule="atLeast"/>
        </w:trPr>
        <w:tc>
          <w:tcPr>
            <w:tcW w:w="5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2745"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865"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114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3069"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r>
    </w:tbl>
    <w:p>
      <w:pPr>
        <w:rPr>
          <w:vanish/>
        </w:rPr>
      </w:pPr>
      <w:r>
        <w:rPr>
          <w:rFonts w:hint="eastAsia"/>
          <w:sz w:val="28"/>
          <w:szCs w:val="28"/>
        </w:rPr>
        <w:t>核准：                 审核：             制表：</w:t>
      </w: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rPr>
          <w:rFonts w:hint="eastAsia" w:ascii="Arial" w:hAnsi="Arial" w:cs="Arial"/>
          <w:color w:val="0000FF"/>
          <w:sz w:val="30"/>
          <w:szCs w:val="30"/>
        </w:rPr>
      </w:pPr>
    </w:p>
    <w:p>
      <w:pPr>
        <w:pStyle w:val="7"/>
        <w:spacing w:after="0"/>
      </w:pPr>
      <w:r>
        <w:rPr>
          <w:rFonts w:ascii="Times New Roman" w:hAnsi="Times New Roman"/>
          <w:sz w:val="21"/>
          <w:szCs w:val="21"/>
        </w:rPr>
        <w:t xml:space="preserve"> </w:t>
      </w:r>
    </w:p>
    <w:p>
      <w:pPr>
        <w:pStyle w:val="7"/>
        <w:spacing w:after="0"/>
      </w:pPr>
      <w:r>
        <w:rPr>
          <w:rFonts w:ascii="Arial" w:hAnsi="Arial" w:cs="Arial"/>
          <w:sz w:val="36"/>
          <w:szCs w:val="36"/>
        </w:rPr>
        <w:t xml:space="preserve">KPI </w:t>
      </w:r>
      <w:r>
        <w:rPr>
          <w:rFonts w:hint="eastAsia" w:ascii="Times New Roman" w:hAnsi="Times New Roman"/>
          <w:sz w:val="36"/>
          <w:szCs w:val="36"/>
        </w:rPr>
        <w:t>指标管理经营应用汇总表</w:t>
      </w:r>
      <w:r>
        <w:rPr>
          <w:rFonts w:ascii="Times New Roman" w:hAnsi="Times New Roman"/>
          <w:sz w:val="36"/>
          <w:szCs w:val="36"/>
        </w:rPr>
        <w:t xml:space="preserve"> </w:t>
      </w:r>
    </w:p>
    <w:tbl>
      <w:tblPr>
        <w:tblStyle w:val="8"/>
        <w:tblW w:w="0" w:type="dxa"/>
        <w:tblInd w:w="0" w:type="dxa"/>
        <w:tblLayout w:type="autofit"/>
        <w:tblCellMar>
          <w:top w:w="45" w:type="dxa"/>
          <w:left w:w="45" w:type="dxa"/>
          <w:bottom w:w="45" w:type="dxa"/>
          <w:right w:w="45" w:type="dxa"/>
        </w:tblCellMar>
      </w:tblPr>
      <w:tblGrid>
        <w:gridCol w:w="1273"/>
        <w:gridCol w:w="1814"/>
        <w:gridCol w:w="613"/>
        <w:gridCol w:w="1676"/>
        <w:gridCol w:w="613"/>
        <w:gridCol w:w="1794"/>
        <w:gridCol w:w="613"/>
      </w:tblGrid>
      <w:tr>
        <w:trPr>
          <w:trHeight w:val="450" w:hRule="atLeast"/>
        </w:trPr>
        <w:tc>
          <w:tcPr>
            <w:tcW w:w="172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sz w:val="32"/>
                <w:szCs w:val="32"/>
              </w:rPr>
              <w:t>管理项目</w:t>
            </w:r>
          </w:p>
        </w:tc>
        <w:tc>
          <w:tcPr>
            <w:tcW w:w="255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234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25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r>
      <w:tr>
        <w:trPr>
          <w:trHeight w:val="1260" w:hRule="atLeast"/>
        </w:trPr>
        <w:tc>
          <w:tcPr>
            <w:tcW w:w="172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经营安全</w:t>
            </w:r>
          </w:p>
        </w:tc>
        <w:tc>
          <w:tcPr>
            <w:tcW w:w="255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资产负债比率</w:t>
            </w:r>
            <w:r>
              <w:rPr>
                <w:rFonts w:ascii="Arial" w:hAnsi="Arial" w:cs="Arial"/>
                <w:sz w:val="32"/>
                <w:szCs w:val="32"/>
              </w:rPr>
              <w:t>2-</w:t>
            </w:r>
            <w:r>
              <w:rPr>
                <w:rFonts w:hint="eastAsia"/>
                <w:sz w:val="32"/>
                <w:szCs w:val="32"/>
              </w:rPr>
              <w:t>速动比率</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财务部</w:t>
            </w:r>
          </w:p>
        </w:tc>
        <w:tc>
          <w:tcPr>
            <w:tcW w:w="234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货款回收率</w:t>
            </w:r>
            <w:r>
              <w:rPr>
                <w:rFonts w:ascii="Arial" w:hAnsi="Arial" w:cs="Arial"/>
                <w:sz w:val="32"/>
                <w:szCs w:val="32"/>
              </w:rPr>
              <w:t>2-</w:t>
            </w:r>
            <w:r>
              <w:rPr>
                <w:rFonts w:hint="eastAsia"/>
                <w:sz w:val="32"/>
                <w:szCs w:val="32"/>
              </w:rPr>
              <w:t>成品周转率</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市场部</w:t>
            </w:r>
          </w:p>
        </w:tc>
        <w:tc>
          <w:tcPr>
            <w:tcW w:w="25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原料周转率</w:t>
            </w:r>
            <w:r>
              <w:rPr>
                <w:rFonts w:ascii="Arial" w:hAnsi="Arial" w:cs="Arial"/>
                <w:sz w:val="32"/>
                <w:szCs w:val="32"/>
              </w:rPr>
              <w:t>2-</w:t>
            </w:r>
            <w:r>
              <w:rPr>
                <w:rFonts w:hint="eastAsia"/>
                <w:sz w:val="32"/>
                <w:szCs w:val="32"/>
              </w:rPr>
              <w:t>备品周转率</w:t>
            </w:r>
            <w:r>
              <w:rPr>
                <w:rFonts w:ascii="Arial" w:hAnsi="Arial" w:cs="Arial"/>
                <w:sz w:val="32"/>
                <w:szCs w:val="32"/>
              </w:rPr>
              <w:t>3-</w:t>
            </w:r>
            <w:r>
              <w:rPr>
                <w:rFonts w:hint="eastAsia"/>
                <w:sz w:val="32"/>
                <w:szCs w:val="32"/>
              </w:rPr>
              <w:t>在制品周转率</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生产部</w:t>
            </w:r>
          </w:p>
        </w:tc>
      </w:tr>
      <w:tr>
        <w:trPr>
          <w:trHeight w:val="1260" w:hRule="atLeast"/>
        </w:trPr>
        <w:tc>
          <w:tcPr>
            <w:tcW w:w="172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成本管理</w:t>
            </w:r>
          </w:p>
        </w:tc>
        <w:tc>
          <w:tcPr>
            <w:tcW w:w="255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采购价格指数</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采购</w:t>
            </w:r>
          </w:p>
        </w:tc>
        <w:tc>
          <w:tcPr>
            <w:tcW w:w="234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生产效率</w:t>
            </w:r>
            <w:r>
              <w:rPr>
                <w:rFonts w:ascii="Arial" w:hAnsi="Arial" w:cs="Arial"/>
                <w:sz w:val="32"/>
                <w:szCs w:val="32"/>
              </w:rPr>
              <w:t>2-</w:t>
            </w:r>
            <w:r>
              <w:rPr>
                <w:rFonts w:hint="eastAsia"/>
                <w:sz w:val="32"/>
                <w:szCs w:val="32"/>
              </w:rPr>
              <w:t>原料耗损率</w:t>
            </w:r>
            <w:r>
              <w:rPr>
                <w:rFonts w:ascii="Arial" w:hAnsi="Arial" w:cs="Arial"/>
                <w:sz w:val="32"/>
                <w:szCs w:val="32"/>
              </w:rPr>
              <w:t>3-</w:t>
            </w:r>
            <w:r>
              <w:rPr>
                <w:rFonts w:hint="eastAsia"/>
                <w:sz w:val="32"/>
                <w:szCs w:val="32"/>
              </w:rPr>
              <w:t>设备利用率</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生产部</w:t>
            </w:r>
          </w:p>
        </w:tc>
        <w:tc>
          <w:tcPr>
            <w:tcW w:w="25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设计损失率</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技术部</w:t>
            </w:r>
          </w:p>
        </w:tc>
      </w:tr>
      <w:tr>
        <w:trPr>
          <w:trHeight w:val="1260" w:hRule="atLeast"/>
        </w:trPr>
        <w:tc>
          <w:tcPr>
            <w:tcW w:w="172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质量管理</w:t>
            </w:r>
          </w:p>
        </w:tc>
        <w:tc>
          <w:tcPr>
            <w:tcW w:w="255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交货一次合格率</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采购</w:t>
            </w:r>
          </w:p>
        </w:tc>
        <w:tc>
          <w:tcPr>
            <w:tcW w:w="234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成品一次合格率</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生产部</w:t>
            </w:r>
          </w:p>
        </w:tc>
        <w:tc>
          <w:tcPr>
            <w:tcW w:w="25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设计错误再发生率</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技术部</w:t>
            </w:r>
          </w:p>
        </w:tc>
      </w:tr>
      <w:tr>
        <w:trPr>
          <w:trHeight w:val="1260" w:hRule="atLeast"/>
        </w:trPr>
        <w:tc>
          <w:tcPr>
            <w:tcW w:w="172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市场开发</w:t>
            </w:r>
          </w:p>
        </w:tc>
        <w:tc>
          <w:tcPr>
            <w:tcW w:w="255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销售增长率</w:t>
            </w:r>
            <w:r>
              <w:rPr>
                <w:rFonts w:ascii="Arial" w:hAnsi="Arial" w:cs="Arial"/>
                <w:sz w:val="32"/>
                <w:szCs w:val="32"/>
              </w:rPr>
              <w:t>2-</w:t>
            </w:r>
            <w:r>
              <w:rPr>
                <w:rFonts w:hint="eastAsia"/>
                <w:sz w:val="32"/>
                <w:szCs w:val="32"/>
              </w:rPr>
              <w:t>市场占有率</w:t>
            </w:r>
            <w:r>
              <w:rPr>
                <w:rFonts w:ascii="Arial" w:hAnsi="Arial" w:cs="Arial"/>
                <w:sz w:val="32"/>
                <w:szCs w:val="32"/>
              </w:rPr>
              <w:t>3-</w:t>
            </w:r>
            <w:r>
              <w:rPr>
                <w:rFonts w:hint="eastAsia"/>
                <w:sz w:val="32"/>
                <w:szCs w:val="32"/>
              </w:rPr>
              <w:t>品牌认识度</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市场部</w:t>
            </w:r>
          </w:p>
        </w:tc>
        <w:tc>
          <w:tcPr>
            <w:tcW w:w="234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25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r>
      <w:tr>
        <w:trPr>
          <w:trHeight w:val="1680" w:hRule="atLeast"/>
        </w:trPr>
        <w:tc>
          <w:tcPr>
            <w:tcW w:w="1725"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客户服务</w:t>
            </w:r>
          </w:p>
        </w:tc>
        <w:tc>
          <w:tcPr>
            <w:tcW w:w="255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投诉处理率</w:t>
            </w:r>
            <w:r>
              <w:rPr>
                <w:rFonts w:ascii="Arial" w:hAnsi="Arial" w:cs="Arial"/>
                <w:sz w:val="32"/>
                <w:szCs w:val="32"/>
              </w:rPr>
              <w:t>2-</w:t>
            </w:r>
            <w:r>
              <w:rPr>
                <w:rFonts w:hint="eastAsia"/>
                <w:sz w:val="32"/>
                <w:szCs w:val="32"/>
              </w:rPr>
              <w:t>客户回访率</w:t>
            </w:r>
            <w:r>
              <w:rPr>
                <w:rFonts w:ascii="Arial" w:hAnsi="Arial" w:cs="Arial"/>
                <w:sz w:val="32"/>
                <w:szCs w:val="32"/>
              </w:rPr>
              <w:t>3-</w:t>
            </w:r>
            <w:r>
              <w:rPr>
                <w:rFonts w:hint="eastAsia"/>
                <w:sz w:val="32"/>
                <w:szCs w:val="32"/>
              </w:rPr>
              <w:t>客户档案完整率</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市场部</w:t>
            </w:r>
          </w:p>
        </w:tc>
        <w:tc>
          <w:tcPr>
            <w:tcW w:w="234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ascii="Arial" w:hAnsi="Arial" w:cs="Arial"/>
                <w:sz w:val="32"/>
                <w:szCs w:val="32"/>
              </w:rPr>
              <w:t>1-</w:t>
            </w:r>
            <w:r>
              <w:rPr>
                <w:rFonts w:hint="eastAsia"/>
                <w:sz w:val="32"/>
                <w:szCs w:val="32"/>
              </w:rPr>
              <w:t>内部服务满意度</w:t>
            </w: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hAnsi="宋体"/>
                <w:color w:val="000000"/>
                <w:sz w:val="24"/>
              </w:rPr>
            </w:pPr>
            <w:r>
              <w:rPr>
                <w:rFonts w:hint="eastAsia"/>
                <w:sz w:val="32"/>
                <w:szCs w:val="32"/>
              </w:rPr>
              <w:t>各部门</w:t>
            </w:r>
          </w:p>
        </w:tc>
        <w:tc>
          <w:tcPr>
            <w:tcW w:w="25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r>
    </w:tbl>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rPr>
          <w:rFonts w:hint="eastAsia" w:ascii="Times New Roman" w:hAnsi="Times New Roman"/>
          <w:sz w:val="21"/>
          <w:szCs w:val="21"/>
        </w:rPr>
      </w:pPr>
    </w:p>
    <w:p>
      <w:pPr>
        <w:pStyle w:val="7"/>
        <w:spacing w:after="0"/>
      </w:pPr>
      <w:r>
        <w:rPr>
          <w:rFonts w:ascii="Times New Roman" w:hAnsi="Times New Roman"/>
          <w:sz w:val="21"/>
          <w:szCs w:val="21"/>
        </w:rPr>
        <w:t xml:space="preserve"> </w:t>
      </w:r>
    </w:p>
    <w:p>
      <w:pPr>
        <w:pStyle w:val="7"/>
        <w:spacing w:after="0"/>
      </w:pPr>
      <w:r>
        <w:rPr>
          <w:rFonts w:ascii="Arial" w:hAnsi="Arial" w:cs="Arial"/>
          <w:sz w:val="36"/>
          <w:szCs w:val="36"/>
        </w:rPr>
        <w:t xml:space="preserve">KPI </w:t>
      </w:r>
      <w:r>
        <w:rPr>
          <w:rFonts w:hint="eastAsia" w:ascii="Times New Roman" w:hAnsi="Times New Roman"/>
          <w:sz w:val="36"/>
          <w:szCs w:val="36"/>
        </w:rPr>
        <w:t>指标管理经营应用汇总表</w:t>
      </w:r>
      <w:r>
        <w:rPr>
          <w:rFonts w:ascii="Times New Roman" w:hAnsi="Times New Roman"/>
          <w:sz w:val="36"/>
          <w:szCs w:val="36"/>
        </w:rPr>
        <w:t xml:space="preserve"> </w:t>
      </w:r>
    </w:p>
    <w:tbl>
      <w:tblPr>
        <w:tblStyle w:val="8"/>
        <w:tblW w:w="0" w:type="dxa"/>
        <w:tblInd w:w="0" w:type="dxa"/>
        <w:tblLayout w:type="autofit"/>
        <w:tblCellMar>
          <w:top w:w="45" w:type="dxa"/>
          <w:left w:w="45" w:type="dxa"/>
          <w:bottom w:w="45" w:type="dxa"/>
          <w:right w:w="45" w:type="dxa"/>
        </w:tblCellMar>
      </w:tblPr>
      <w:tblGrid>
        <w:gridCol w:w="1273"/>
        <w:gridCol w:w="1814"/>
        <w:gridCol w:w="613"/>
        <w:gridCol w:w="1676"/>
        <w:gridCol w:w="613"/>
        <w:gridCol w:w="1794"/>
        <w:gridCol w:w="613"/>
      </w:tblGrid>
      <w:tr>
        <w:trPr>
          <w:trHeight w:val="450" w:hRule="atLeast"/>
        </w:trPr>
        <w:tc>
          <w:tcPr>
            <w:tcW w:w="1725"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sz w:val="32"/>
                <w:szCs w:val="32"/>
              </w:rPr>
              <w:t>管理项目</w:t>
            </w:r>
          </w:p>
        </w:tc>
        <w:tc>
          <w:tcPr>
            <w:tcW w:w="255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234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25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r>
      <w:tr>
        <w:trPr>
          <w:trHeight w:val="420" w:hRule="atLeast"/>
        </w:trPr>
        <w:tc>
          <w:tcPr>
            <w:tcW w:w="172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sz w:val="32"/>
                <w:szCs w:val="32"/>
              </w:rPr>
              <w:t>竞争力管</w:t>
            </w:r>
          </w:p>
        </w:tc>
        <w:tc>
          <w:tcPr>
            <w:tcW w:w="255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ascii="Arial" w:hAnsi="Arial" w:cs="Arial"/>
                <w:sz w:val="32"/>
                <w:szCs w:val="32"/>
              </w:rPr>
              <w:t>1-</w:t>
            </w:r>
            <w:r>
              <w:rPr>
                <w:rFonts w:hint="eastAsia"/>
                <w:sz w:val="32"/>
                <w:szCs w:val="32"/>
              </w:rPr>
              <w:t>研发立项数量</w:t>
            </w:r>
          </w:p>
        </w:tc>
        <w:tc>
          <w:tcPr>
            <w:tcW w:w="720" w:type="dxa"/>
            <w:tcBorders>
              <w:top w:val="single" w:color="000000" w:sz="6" w:space="0"/>
              <w:left w:val="single" w:color="000000" w:sz="6" w:space="0"/>
              <w:bottom w:val="nil"/>
              <w:right w:val="single" w:color="000000" w:sz="6" w:space="0"/>
            </w:tcBorders>
            <w:noWrap w:val="0"/>
            <w:vAlign w:val="center"/>
          </w:tcPr>
          <w:p>
            <w:pPr>
              <w:jc w:val="center"/>
              <w:rPr>
                <w:rFonts w:ascii="宋体" w:hAnsi="宋体"/>
                <w:color w:val="000000"/>
                <w:sz w:val="24"/>
              </w:rPr>
            </w:pPr>
            <w:r>
              <w:rPr>
                <w:rFonts w:hint="eastAsia"/>
                <w:sz w:val="32"/>
                <w:szCs w:val="32"/>
              </w:rPr>
              <w:t>开</w:t>
            </w:r>
          </w:p>
        </w:tc>
        <w:tc>
          <w:tcPr>
            <w:tcW w:w="234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ascii="Arial" w:hAnsi="Arial" w:cs="Arial"/>
                <w:sz w:val="32"/>
                <w:szCs w:val="32"/>
              </w:rPr>
              <w:t>1-</w:t>
            </w:r>
            <w:r>
              <w:rPr>
                <w:rFonts w:hint="eastAsia"/>
                <w:sz w:val="32"/>
                <w:szCs w:val="32"/>
              </w:rPr>
              <w:t>新产品销售</w:t>
            </w:r>
          </w:p>
        </w:tc>
        <w:tc>
          <w:tcPr>
            <w:tcW w:w="720" w:type="dxa"/>
            <w:tcBorders>
              <w:top w:val="single" w:color="000000" w:sz="6" w:space="0"/>
              <w:left w:val="single" w:color="000000" w:sz="6" w:space="0"/>
              <w:bottom w:val="nil"/>
              <w:right w:val="single" w:color="000000" w:sz="6" w:space="0"/>
            </w:tcBorders>
            <w:noWrap w:val="0"/>
            <w:vAlign w:val="center"/>
          </w:tcPr>
          <w:p>
            <w:pPr>
              <w:jc w:val="center"/>
              <w:rPr>
                <w:rFonts w:ascii="宋体" w:hAnsi="宋体"/>
                <w:color w:val="000000"/>
                <w:sz w:val="24"/>
              </w:rPr>
            </w:pPr>
            <w:r>
              <w:rPr>
                <w:rFonts w:hint="eastAsia"/>
                <w:sz w:val="32"/>
                <w:szCs w:val="32"/>
              </w:rPr>
              <w:t>市</w:t>
            </w:r>
          </w:p>
        </w:tc>
        <w:tc>
          <w:tcPr>
            <w:tcW w:w="2520" w:type="dxa"/>
            <w:tcBorders>
              <w:top w:val="single" w:color="000000" w:sz="6" w:space="0"/>
              <w:left w:val="single" w:color="000000" w:sz="6" w:space="0"/>
              <w:bottom w:val="nil"/>
              <w:right w:val="single" w:color="000000" w:sz="6" w:space="0"/>
            </w:tcBorders>
            <w:noWrap w:val="0"/>
            <w:vAlign w:val="top"/>
          </w:tcPr>
          <w:p>
            <w:pPr>
              <w:jc w:val="center"/>
              <w:rPr>
                <w:rFonts w:ascii="宋体" w:hAnsi="宋体"/>
                <w:color w:val="000000"/>
                <w:sz w:val="24"/>
              </w:rPr>
            </w:pPr>
          </w:p>
        </w:tc>
        <w:tc>
          <w:tcPr>
            <w:tcW w:w="720" w:type="dxa"/>
            <w:tcBorders>
              <w:top w:val="single" w:color="000000" w:sz="6" w:space="0"/>
              <w:left w:val="single" w:color="000000" w:sz="6" w:space="0"/>
              <w:bottom w:val="nil"/>
              <w:right w:val="single" w:color="000000" w:sz="6" w:space="0"/>
            </w:tcBorders>
            <w:noWrap w:val="0"/>
            <w:vAlign w:val="top"/>
          </w:tcPr>
          <w:p>
            <w:pPr>
              <w:jc w:val="center"/>
              <w:rPr>
                <w:rFonts w:ascii="宋体" w:hAnsi="宋体"/>
                <w:color w:val="000000"/>
                <w:sz w:val="24"/>
              </w:rPr>
            </w:pPr>
          </w:p>
        </w:tc>
      </w:tr>
      <w:tr>
        <w:trPr>
          <w:trHeight w:val="420" w:hRule="atLeast"/>
        </w:trPr>
        <w:tc>
          <w:tcPr>
            <w:tcW w:w="1725"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sz w:val="32"/>
                <w:szCs w:val="32"/>
              </w:rPr>
              <w:t>理</w:t>
            </w:r>
          </w:p>
        </w:tc>
        <w:tc>
          <w:tcPr>
            <w:tcW w:w="255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ascii="Arial" w:hAnsi="Arial" w:cs="Arial"/>
                <w:sz w:val="32"/>
                <w:szCs w:val="32"/>
              </w:rPr>
              <w:t>2-</w:t>
            </w:r>
            <w:r>
              <w:rPr>
                <w:rFonts w:hint="eastAsia"/>
                <w:sz w:val="32"/>
                <w:szCs w:val="32"/>
              </w:rPr>
              <w:t>研发立项通过</w:t>
            </w:r>
          </w:p>
        </w:tc>
        <w:tc>
          <w:tcPr>
            <w:tcW w:w="720" w:type="dxa"/>
            <w:tcBorders>
              <w:top w:val="nil"/>
              <w:left w:val="single" w:color="000000" w:sz="6" w:space="0"/>
              <w:bottom w:val="nil"/>
              <w:right w:val="single" w:color="000000" w:sz="6" w:space="0"/>
            </w:tcBorders>
            <w:noWrap w:val="0"/>
            <w:vAlign w:val="center"/>
          </w:tcPr>
          <w:p>
            <w:pPr>
              <w:jc w:val="center"/>
              <w:rPr>
                <w:rFonts w:ascii="宋体" w:hAnsi="宋体"/>
                <w:color w:val="000000"/>
                <w:sz w:val="24"/>
              </w:rPr>
            </w:pPr>
            <w:r>
              <w:rPr>
                <w:rFonts w:hint="eastAsia"/>
                <w:sz w:val="32"/>
                <w:szCs w:val="32"/>
              </w:rPr>
              <w:t>发</w:t>
            </w:r>
          </w:p>
        </w:tc>
        <w:tc>
          <w:tcPr>
            <w:tcW w:w="234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ascii="Arial" w:hAnsi="Arial" w:cs="Arial"/>
                <w:sz w:val="32"/>
                <w:szCs w:val="32"/>
              </w:rPr>
              <w:t>2-</w:t>
            </w:r>
            <w:r>
              <w:rPr>
                <w:rFonts w:hint="eastAsia"/>
                <w:sz w:val="32"/>
                <w:szCs w:val="32"/>
              </w:rPr>
              <w:t>额率占比</w:t>
            </w:r>
          </w:p>
        </w:tc>
        <w:tc>
          <w:tcPr>
            <w:tcW w:w="720" w:type="dxa"/>
            <w:tcBorders>
              <w:top w:val="nil"/>
              <w:left w:val="single" w:color="000000" w:sz="6" w:space="0"/>
              <w:bottom w:val="nil"/>
              <w:right w:val="single" w:color="000000" w:sz="6" w:space="0"/>
            </w:tcBorders>
            <w:noWrap w:val="0"/>
            <w:vAlign w:val="center"/>
          </w:tcPr>
          <w:p>
            <w:pPr>
              <w:jc w:val="center"/>
              <w:rPr>
                <w:rFonts w:ascii="宋体" w:hAnsi="宋体"/>
                <w:color w:val="000000"/>
                <w:sz w:val="24"/>
              </w:rPr>
            </w:pPr>
            <w:r>
              <w:rPr>
                <w:rFonts w:hint="eastAsia"/>
                <w:sz w:val="32"/>
                <w:szCs w:val="32"/>
              </w:rPr>
              <w:t>场</w:t>
            </w:r>
          </w:p>
        </w:tc>
        <w:tc>
          <w:tcPr>
            <w:tcW w:w="2520"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720"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r>
      <w:tr>
        <w:trPr>
          <w:trHeight w:val="420" w:hRule="atLeast"/>
        </w:trPr>
        <w:tc>
          <w:tcPr>
            <w:tcW w:w="172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2550" w:type="dxa"/>
            <w:tcBorders>
              <w:top w:val="nil"/>
              <w:left w:val="single" w:color="000000" w:sz="6" w:space="0"/>
              <w:bottom w:val="single" w:color="000000" w:sz="6" w:space="0"/>
              <w:right w:val="single" w:color="000000" w:sz="6" w:space="0"/>
            </w:tcBorders>
            <w:noWrap w:val="0"/>
            <w:vAlign w:val="center"/>
          </w:tcPr>
          <w:p>
            <w:pPr>
              <w:jc w:val="left"/>
              <w:rPr>
                <w:rFonts w:ascii="宋体" w:hAnsi="宋体"/>
                <w:color w:val="000000"/>
                <w:sz w:val="24"/>
              </w:rPr>
            </w:pPr>
            <w:r>
              <w:rPr>
                <w:rFonts w:hint="eastAsia"/>
                <w:sz w:val="32"/>
                <w:szCs w:val="32"/>
              </w:rPr>
              <w:t>率</w:t>
            </w:r>
          </w:p>
        </w:tc>
        <w:tc>
          <w:tcPr>
            <w:tcW w:w="720" w:type="dxa"/>
            <w:tcBorders>
              <w:top w:val="nil"/>
              <w:left w:val="single" w:color="000000" w:sz="6" w:space="0"/>
              <w:bottom w:val="single" w:color="000000" w:sz="6" w:space="0"/>
              <w:right w:val="single" w:color="000000" w:sz="6" w:space="0"/>
            </w:tcBorders>
            <w:noWrap w:val="0"/>
            <w:vAlign w:val="center"/>
          </w:tcPr>
          <w:p>
            <w:pPr>
              <w:jc w:val="center"/>
              <w:rPr>
                <w:rFonts w:ascii="宋体" w:hAnsi="宋体"/>
                <w:color w:val="000000"/>
                <w:sz w:val="24"/>
              </w:rPr>
            </w:pPr>
            <w:r>
              <w:rPr>
                <w:rFonts w:hint="eastAsia"/>
                <w:sz w:val="32"/>
                <w:szCs w:val="32"/>
              </w:rPr>
              <w:t>部</w:t>
            </w:r>
          </w:p>
        </w:tc>
        <w:tc>
          <w:tcPr>
            <w:tcW w:w="234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nil"/>
              <w:left w:val="single" w:color="000000" w:sz="6" w:space="0"/>
              <w:bottom w:val="single" w:color="000000" w:sz="6" w:space="0"/>
              <w:right w:val="single" w:color="000000" w:sz="6" w:space="0"/>
            </w:tcBorders>
            <w:noWrap w:val="0"/>
            <w:vAlign w:val="center"/>
          </w:tcPr>
          <w:p>
            <w:pPr>
              <w:jc w:val="center"/>
              <w:rPr>
                <w:rFonts w:ascii="宋体" w:hAnsi="宋体"/>
                <w:color w:val="000000"/>
                <w:sz w:val="24"/>
              </w:rPr>
            </w:pPr>
            <w:r>
              <w:rPr>
                <w:rFonts w:hint="eastAsia"/>
                <w:sz w:val="32"/>
                <w:szCs w:val="32"/>
              </w:rPr>
              <w:t>部</w:t>
            </w:r>
          </w:p>
        </w:tc>
        <w:tc>
          <w:tcPr>
            <w:tcW w:w="252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r>
      <w:tr>
        <w:trPr>
          <w:trHeight w:val="420" w:hRule="atLeast"/>
        </w:trPr>
        <w:tc>
          <w:tcPr>
            <w:tcW w:w="1725"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sz w:val="32"/>
                <w:szCs w:val="32"/>
              </w:rPr>
              <w:t>费用管理</w:t>
            </w:r>
          </w:p>
        </w:tc>
        <w:tc>
          <w:tcPr>
            <w:tcW w:w="255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ascii="Arial" w:hAnsi="Arial" w:cs="Arial"/>
                <w:sz w:val="32"/>
                <w:szCs w:val="32"/>
              </w:rPr>
              <w:t>1-</w:t>
            </w:r>
            <w:r>
              <w:rPr>
                <w:rFonts w:hint="eastAsia"/>
                <w:sz w:val="32"/>
                <w:szCs w:val="32"/>
              </w:rPr>
              <w:t>市场拓展投入</w:t>
            </w:r>
          </w:p>
        </w:tc>
        <w:tc>
          <w:tcPr>
            <w:tcW w:w="720" w:type="dxa"/>
            <w:tcBorders>
              <w:top w:val="single" w:color="000000" w:sz="6" w:space="0"/>
              <w:left w:val="single" w:color="000000" w:sz="6" w:space="0"/>
              <w:bottom w:val="nil"/>
              <w:right w:val="single" w:color="000000" w:sz="6" w:space="0"/>
            </w:tcBorders>
            <w:noWrap w:val="0"/>
            <w:vAlign w:val="center"/>
          </w:tcPr>
          <w:p>
            <w:pPr>
              <w:jc w:val="center"/>
              <w:rPr>
                <w:rFonts w:ascii="宋体" w:hAnsi="宋体"/>
                <w:color w:val="000000"/>
                <w:sz w:val="24"/>
              </w:rPr>
            </w:pPr>
            <w:r>
              <w:rPr>
                <w:rFonts w:hint="eastAsia"/>
                <w:sz w:val="32"/>
                <w:szCs w:val="32"/>
              </w:rPr>
              <w:t>市</w:t>
            </w:r>
          </w:p>
        </w:tc>
        <w:tc>
          <w:tcPr>
            <w:tcW w:w="234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ascii="Arial" w:hAnsi="Arial" w:cs="Arial"/>
                <w:sz w:val="32"/>
                <w:szCs w:val="32"/>
              </w:rPr>
              <w:t>1-</w:t>
            </w:r>
            <w:r>
              <w:rPr>
                <w:rFonts w:hint="eastAsia"/>
                <w:sz w:val="32"/>
                <w:szCs w:val="32"/>
              </w:rPr>
              <w:t>工资毛利润</w:t>
            </w:r>
          </w:p>
        </w:tc>
        <w:tc>
          <w:tcPr>
            <w:tcW w:w="720" w:type="dxa"/>
            <w:tcBorders>
              <w:top w:val="single" w:color="000000" w:sz="6" w:space="0"/>
              <w:left w:val="single" w:color="000000" w:sz="6" w:space="0"/>
              <w:bottom w:val="nil"/>
              <w:right w:val="single" w:color="000000" w:sz="6" w:space="0"/>
            </w:tcBorders>
            <w:noWrap w:val="0"/>
            <w:vAlign w:val="center"/>
          </w:tcPr>
          <w:p>
            <w:pPr>
              <w:jc w:val="center"/>
              <w:rPr>
                <w:rFonts w:ascii="宋体" w:hAnsi="宋体"/>
                <w:color w:val="000000"/>
                <w:sz w:val="24"/>
              </w:rPr>
            </w:pPr>
            <w:r>
              <w:rPr>
                <w:rFonts w:hint="eastAsia"/>
                <w:sz w:val="32"/>
                <w:szCs w:val="32"/>
              </w:rPr>
              <w:t>生</w:t>
            </w:r>
          </w:p>
        </w:tc>
        <w:tc>
          <w:tcPr>
            <w:tcW w:w="2520" w:type="dxa"/>
            <w:tcBorders>
              <w:top w:val="single" w:color="000000" w:sz="6" w:space="0"/>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sz w:val="32"/>
                <w:szCs w:val="32"/>
              </w:rPr>
              <w:t>技术人均产量</w:t>
            </w:r>
          </w:p>
        </w:tc>
        <w:tc>
          <w:tcPr>
            <w:tcW w:w="720" w:type="dxa"/>
            <w:tcBorders>
              <w:top w:val="single" w:color="000000" w:sz="6" w:space="0"/>
              <w:left w:val="single" w:color="000000" w:sz="6" w:space="0"/>
              <w:bottom w:val="nil"/>
              <w:right w:val="single" w:color="000000" w:sz="6" w:space="0"/>
            </w:tcBorders>
            <w:noWrap w:val="0"/>
            <w:vAlign w:val="center"/>
          </w:tcPr>
          <w:p>
            <w:pPr>
              <w:jc w:val="center"/>
              <w:rPr>
                <w:rFonts w:ascii="宋体" w:hAnsi="宋体"/>
                <w:color w:val="000000"/>
                <w:sz w:val="24"/>
              </w:rPr>
            </w:pPr>
            <w:r>
              <w:rPr>
                <w:rFonts w:hint="eastAsia"/>
                <w:sz w:val="32"/>
                <w:szCs w:val="32"/>
              </w:rPr>
              <w:t>技</w:t>
            </w:r>
          </w:p>
        </w:tc>
      </w:tr>
      <w:tr>
        <w:trPr>
          <w:trHeight w:val="420" w:hRule="atLeast"/>
        </w:trPr>
        <w:tc>
          <w:tcPr>
            <w:tcW w:w="1725"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255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sz w:val="32"/>
                <w:szCs w:val="32"/>
              </w:rPr>
              <w:t>产出比</w:t>
            </w:r>
          </w:p>
        </w:tc>
        <w:tc>
          <w:tcPr>
            <w:tcW w:w="720" w:type="dxa"/>
            <w:tcBorders>
              <w:top w:val="nil"/>
              <w:left w:val="single" w:color="000000" w:sz="6" w:space="0"/>
              <w:bottom w:val="nil"/>
              <w:right w:val="single" w:color="000000" w:sz="6" w:space="0"/>
            </w:tcBorders>
            <w:noWrap w:val="0"/>
            <w:vAlign w:val="center"/>
          </w:tcPr>
          <w:p>
            <w:pPr>
              <w:jc w:val="center"/>
              <w:rPr>
                <w:rFonts w:ascii="宋体" w:hAnsi="宋体"/>
                <w:color w:val="000000"/>
                <w:sz w:val="24"/>
              </w:rPr>
            </w:pPr>
            <w:r>
              <w:rPr>
                <w:rFonts w:hint="eastAsia"/>
                <w:sz w:val="32"/>
                <w:szCs w:val="32"/>
              </w:rPr>
              <w:t>场</w:t>
            </w:r>
          </w:p>
        </w:tc>
        <w:tc>
          <w:tcPr>
            <w:tcW w:w="2340" w:type="dxa"/>
            <w:tcBorders>
              <w:top w:val="nil"/>
              <w:left w:val="single" w:color="000000" w:sz="6" w:space="0"/>
              <w:bottom w:val="nil"/>
              <w:right w:val="single" w:color="000000" w:sz="6" w:space="0"/>
            </w:tcBorders>
            <w:noWrap w:val="0"/>
            <w:vAlign w:val="center"/>
          </w:tcPr>
          <w:p>
            <w:pPr>
              <w:jc w:val="left"/>
              <w:rPr>
                <w:rFonts w:ascii="宋体" w:hAnsi="宋体"/>
                <w:color w:val="000000"/>
                <w:sz w:val="24"/>
              </w:rPr>
            </w:pPr>
            <w:r>
              <w:rPr>
                <w:rFonts w:hint="eastAsia"/>
                <w:sz w:val="32"/>
                <w:szCs w:val="32"/>
              </w:rPr>
              <w:t>贡献率</w:t>
            </w:r>
          </w:p>
        </w:tc>
        <w:tc>
          <w:tcPr>
            <w:tcW w:w="720" w:type="dxa"/>
            <w:tcBorders>
              <w:top w:val="nil"/>
              <w:left w:val="single" w:color="000000" w:sz="6" w:space="0"/>
              <w:bottom w:val="nil"/>
              <w:right w:val="single" w:color="000000" w:sz="6" w:space="0"/>
            </w:tcBorders>
            <w:noWrap w:val="0"/>
            <w:vAlign w:val="center"/>
          </w:tcPr>
          <w:p>
            <w:pPr>
              <w:jc w:val="center"/>
              <w:rPr>
                <w:rFonts w:ascii="宋体" w:hAnsi="宋体"/>
                <w:color w:val="000000"/>
                <w:sz w:val="24"/>
              </w:rPr>
            </w:pPr>
            <w:r>
              <w:rPr>
                <w:rFonts w:hint="eastAsia"/>
                <w:sz w:val="32"/>
                <w:szCs w:val="32"/>
              </w:rPr>
              <w:t>产</w:t>
            </w:r>
          </w:p>
        </w:tc>
        <w:tc>
          <w:tcPr>
            <w:tcW w:w="2520" w:type="dxa"/>
            <w:tcBorders>
              <w:top w:val="nil"/>
              <w:left w:val="single" w:color="000000" w:sz="6" w:space="0"/>
              <w:bottom w:val="nil"/>
              <w:right w:val="single" w:color="000000" w:sz="6" w:space="0"/>
            </w:tcBorders>
            <w:noWrap w:val="0"/>
            <w:vAlign w:val="top"/>
          </w:tcPr>
          <w:p>
            <w:pPr>
              <w:jc w:val="center"/>
              <w:rPr>
                <w:rFonts w:ascii="宋体" w:hAnsi="宋体"/>
                <w:color w:val="000000"/>
                <w:sz w:val="24"/>
              </w:rPr>
            </w:pPr>
          </w:p>
        </w:tc>
        <w:tc>
          <w:tcPr>
            <w:tcW w:w="720" w:type="dxa"/>
            <w:tcBorders>
              <w:top w:val="nil"/>
              <w:left w:val="single" w:color="000000" w:sz="6" w:space="0"/>
              <w:bottom w:val="nil"/>
              <w:right w:val="single" w:color="000000" w:sz="6" w:space="0"/>
            </w:tcBorders>
            <w:noWrap w:val="0"/>
            <w:vAlign w:val="center"/>
          </w:tcPr>
          <w:p>
            <w:pPr>
              <w:jc w:val="center"/>
              <w:rPr>
                <w:rFonts w:ascii="宋体" w:hAnsi="宋体"/>
                <w:color w:val="000000"/>
                <w:sz w:val="24"/>
              </w:rPr>
            </w:pPr>
            <w:r>
              <w:rPr>
                <w:rFonts w:hint="eastAsia"/>
                <w:sz w:val="32"/>
                <w:szCs w:val="32"/>
              </w:rPr>
              <w:t>术</w:t>
            </w:r>
          </w:p>
        </w:tc>
      </w:tr>
      <w:tr>
        <w:trPr>
          <w:trHeight w:val="420" w:hRule="atLeast"/>
        </w:trPr>
        <w:tc>
          <w:tcPr>
            <w:tcW w:w="1725"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255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nil"/>
              <w:left w:val="single" w:color="000000" w:sz="6" w:space="0"/>
              <w:bottom w:val="single" w:color="000000" w:sz="6" w:space="0"/>
              <w:right w:val="single" w:color="000000" w:sz="6" w:space="0"/>
            </w:tcBorders>
            <w:noWrap w:val="0"/>
            <w:vAlign w:val="center"/>
          </w:tcPr>
          <w:p>
            <w:pPr>
              <w:jc w:val="center"/>
              <w:rPr>
                <w:rFonts w:ascii="宋体" w:hAnsi="宋体"/>
                <w:color w:val="000000"/>
                <w:sz w:val="24"/>
              </w:rPr>
            </w:pPr>
            <w:r>
              <w:rPr>
                <w:rFonts w:hint="eastAsia"/>
                <w:sz w:val="32"/>
                <w:szCs w:val="32"/>
              </w:rPr>
              <w:t>部</w:t>
            </w:r>
          </w:p>
        </w:tc>
        <w:tc>
          <w:tcPr>
            <w:tcW w:w="234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nil"/>
              <w:left w:val="single" w:color="000000" w:sz="6" w:space="0"/>
              <w:bottom w:val="single" w:color="000000" w:sz="6" w:space="0"/>
              <w:right w:val="single" w:color="000000" w:sz="6" w:space="0"/>
            </w:tcBorders>
            <w:noWrap w:val="0"/>
            <w:vAlign w:val="center"/>
          </w:tcPr>
          <w:p>
            <w:pPr>
              <w:jc w:val="center"/>
              <w:rPr>
                <w:rFonts w:ascii="宋体" w:hAnsi="宋体"/>
                <w:color w:val="000000"/>
                <w:sz w:val="24"/>
              </w:rPr>
            </w:pPr>
            <w:r>
              <w:rPr>
                <w:rFonts w:hint="eastAsia"/>
                <w:sz w:val="32"/>
                <w:szCs w:val="32"/>
              </w:rPr>
              <w:t>部</w:t>
            </w:r>
          </w:p>
        </w:tc>
        <w:tc>
          <w:tcPr>
            <w:tcW w:w="2520" w:type="dxa"/>
            <w:tcBorders>
              <w:top w:val="nil"/>
              <w:left w:val="single" w:color="000000" w:sz="6" w:space="0"/>
              <w:bottom w:val="single" w:color="000000" w:sz="6" w:space="0"/>
              <w:right w:val="single" w:color="000000" w:sz="6" w:space="0"/>
            </w:tcBorders>
            <w:noWrap w:val="0"/>
            <w:vAlign w:val="top"/>
          </w:tcPr>
          <w:p>
            <w:pPr>
              <w:jc w:val="center"/>
              <w:rPr>
                <w:rFonts w:ascii="宋体" w:hAnsi="宋体"/>
                <w:color w:val="000000"/>
                <w:sz w:val="24"/>
              </w:rPr>
            </w:pPr>
          </w:p>
        </w:tc>
        <w:tc>
          <w:tcPr>
            <w:tcW w:w="720" w:type="dxa"/>
            <w:tcBorders>
              <w:top w:val="nil"/>
              <w:left w:val="single" w:color="000000" w:sz="6" w:space="0"/>
              <w:bottom w:val="single" w:color="000000" w:sz="6" w:space="0"/>
              <w:right w:val="single" w:color="000000" w:sz="6" w:space="0"/>
            </w:tcBorders>
            <w:noWrap w:val="0"/>
            <w:vAlign w:val="center"/>
          </w:tcPr>
          <w:p>
            <w:pPr>
              <w:jc w:val="center"/>
              <w:rPr>
                <w:rFonts w:ascii="宋体" w:hAnsi="宋体"/>
                <w:color w:val="000000"/>
                <w:sz w:val="24"/>
              </w:rPr>
            </w:pPr>
            <w:r>
              <w:rPr>
                <w:rFonts w:hint="eastAsia"/>
                <w:sz w:val="32"/>
                <w:szCs w:val="32"/>
              </w:rPr>
              <w:t>部</w:t>
            </w:r>
          </w:p>
        </w:tc>
      </w:tr>
    </w:tbl>
    <w:p>
      <w:pPr>
        <w:pStyle w:val="7"/>
        <w:spacing w:after="0"/>
      </w:pPr>
    </w:p>
    <w:p>
      <w:pPr>
        <w:widowControl/>
        <w:tabs>
          <w:tab w:val="right" w:pos="13464"/>
        </w:tabs>
        <w:jc w:val="left"/>
        <w:rPr>
          <w:rFonts w:ascii="宋体" w:hAnsi="宋体"/>
          <w:vanish/>
          <w:color w:val="000000"/>
          <w:kern w:val="0"/>
          <w:sz w:val="24"/>
        </w:rPr>
      </w:pPr>
    </w:p>
    <w:p/>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2000019F" w:csb1="00000000"/>
  </w:font>
  <w:font w:name="苹方-简">
    <w:panose1 w:val="020B0400000000000000"/>
    <w:charset w:val="86"/>
    <w:family w:val="auto"/>
    <w:pitch w:val="default"/>
    <w:sig w:usb0="00000000" w:usb1="00000000" w:usb2="00000000" w:usb3="00000000" w:csb0="0016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3BC4D4"/>
    <w:rsid w:val="0009594B"/>
    <w:rsid w:val="000F5C1F"/>
    <w:rsid w:val="0012011D"/>
    <w:rsid w:val="00191C21"/>
    <w:rsid w:val="001B66FF"/>
    <w:rsid w:val="00227487"/>
    <w:rsid w:val="002543EE"/>
    <w:rsid w:val="00276351"/>
    <w:rsid w:val="002A23C4"/>
    <w:rsid w:val="002A654C"/>
    <w:rsid w:val="002A67C2"/>
    <w:rsid w:val="002D2085"/>
    <w:rsid w:val="00314E67"/>
    <w:rsid w:val="0035294F"/>
    <w:rsid w:val="00366975"/>
    <w:rsid w:val="004B6BB5"/>
    <w:rsid w:val="004F03F1"/>
    <w:rsid w:val="00536B51"/>
    <w:rsid w:val="005836E5"/>
    <w:rsid w:val="00590968"/>
    <w:rsid w:val="00604B45"/>
    <w:rsid w:val="006F1D03"/>
    <w:rsid w:val="00791188"/>
    <w:rsid w:val="007A5A88"/>
    <w:rsid w:val="007D6CEC"/>
    <w:rsid w:val="00816E58"/>
    <w:rsid w:val="008B32F5"/>
    <w:rsid w:val="008E79BB"/>
    <w:rsid w:val="008F5357"/>
    <w:rsid w:val="0092520C"/>
    <w:rsid w:val="009457C9"/>
    <w:rsid w:val="00A41A5D"/>
    <w:rsid w:val="00A42250"/>
    <w:rsid w:val="00AA2A6E"/>
    <w:rsid w:val="00AB11D5"/>
    <w:rsid w:val="00B44C77"/>
    <w:rsid w:val="00B625D4"/>
    <w:rsid w:val="00BD5312"/>
    <w:rsid w:val="00C514DC"/>
    <w:rsid w:val="00C71DF6"/>
    <w:rsid w:val="00C72541"/>
    <w:rsid w:val="00CC291E"/>
    <w:rsid w:val="00CF07CE"/>
    <w:rsid w:val="00CF16EF"/>
    <w:rsid w:val="00D71F9E"/>
    <w:rsid w:val="00DD36F0"/>
    <w:rsid w:val="00E75009"/>
    <w:rsid w:val="00F06AD5"/>
    <w:rsid w:val="00F63A12"/>
    <w:rsid w:val="00F71E02"/>
    <w:rsid w:val="00F85786"/>
    <w:rsid w:val="00F90B6A"/>
    <w:rsid w:val="00F95CE6"/>
    <w:rsid w:val="00FC51CB"/>
    <w:rsid w:val="00FF3DC0"/>
    <w:rsid w:val="43617948"/>
    <w:rsid w:val="5E3BC4D4"/>
    <w:rsid w:val="EDE906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after="1755"/>
      <w:jc w:val="center"/>
      <w:outlineLvl w:val="0"/>
    </w:pPr>
    <w:rPr>
      <w:rFonts w:ascii="宋体" w:hAnsi="宋体"/>
      <w:b/>
      <w:bCs/>
      <w:color w:val="000000"/>
      <w:kern w:val="36"/>
      <w:sz w:val="48"/>
      <w:szCs w:val="48"/>
    </w:rPr>
  </w:style>
  <w:style w:type="paragraph" w:styleId="3">
    <w:name w:val="heading 2"/>
    <w:basedOn w:val="1"/>
    <w:next w:val="1"/>
    <w:link w:val="13"/>
    <w:qFormat/>
    <w:uiPriority w:val="9"/>
    <w:pPr>
      <w:widowControl/>
      <w:spacing w:after="2010"/>
      <w:jc w:val="center"/>
      <w:outlineLvl w:val="1"/>
    </w:pPr>
    <w:rPr>
      <w:rFonts w:ascii="宋体" w:hAnsi="宋体"/>
      <w:b/>
      <w:bCs/>
      <w:color w:val="000000"/>
      <w:kern w:val="0"/>
      <w:sz w:val="36"/>
      <w:szCs w:val="36"/>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4"/>
    <w:qFormat/>
    <w:uiPriority w:val="0"/>
    <w:pPr>
      <w:spacing w:before="240" w:after="60" w:line="312" w:lineRule="auto"/>
      <w:jc w:val="center"/>
      <w:outlineLvl w:val="1"/>
    </w:pPr>
    <w:rPr>
      <w:rFonts w:ascii="Cambria" w:hAnsi="Cambria" w:cs="Times New Roman"/>
      <w:b/>
      <w:bCs/>
      <w:kern w:val="28"/>
      <w:sz w:val="32"/>
      <w:szCs w:val="32"/>
    </w:rPr>
  </w:style>
  <w:style w:type="paragraph" w:styleId="7">
    <w:name w:val="Normal (Web)"/>
    <w:basedOn w:val="1"/>
    <w:qFormat/>
    <w:uiPriority w:val="99"/>
    <w:pPr>
      <w:widowControl/>
      <w:spacing w:after="1275"/>
      <w:jc w:val="center"/>
    </w:pPr>
    <w:rPr>
      <w:rFonts w:ascii="宋体" w:hAnsi="宋体"/>
      <w:color w:val="000000"/>
      <w:kern w:val="0"/>
      <w:sz w:val="24"/>
    </w:rPr>
  </w:style>
  <w:style w:type="character" w:styleId="10">
    <w:name w:val="page number"/>
    <w:basedOn w:val="9"/>
    <w:qFormat/>
    <w:uiPriority w:val="0"/>
  </w:style>
  <w:style w:type="character" w:customStyle="1" w:styleId="11">
    <w:name w:val="页眉 Char"/>
    <w:link w:val="5"/>
    <w:qFormat/>
    <w:uiPriority w:val="0"/>
    <w:rPr>
      <w:kern w:val="2"/>
      <w:sz w:val="18"/>
      <w:szCs w:val="18"/>
    </w:rPr>
  </w:style>
  <w:style w:type="character" w:customStyle="1" w:styleId="12">
    <w:name w:val="页脚 Char"/>
    <w:link w:val="4"/>
    <w:qFormat/>
    <w:uiPriority w:val="0"/>
    <w:rPr>
      <w:kern w:val="2"/>
      <w:sz w:val="18"/>
      <w:szCs w:val="18"/>
    </w:rPr>
  </w:style>
  <w:style w:type="character" w:customStyle="1" w:styleId="13">
    <w:name w:val="标题 2 Char"/>
    <w:link w:val="3"/>
    <w:qFormat/>
    <w:uiPriority w:val="9"/>
    <w:rPr>
      <w:rFonts w:ascii="宋体" w:hAnsi="宋体"/>
      <w:b/>
      <w:bCs/>
      <w:color w:val="000000"/>
      <w:sz w:val="36"/>
      <w:szCs w:val="36"/>
    </w:rPr>
  </w:style>
  <w:style w:type="character" w:customStyle="1" w:styleId="14">
    <w:name w:val="副标题 Char"/>
    <w:link w:val="6"/>
    <w:qFormat/>
    <w:uiPriority w:val="0"/>
    <w:rPr>
      <w:rFonts w:ascii="Cambria" w:hAnsi="Cambria" w:cs="Times New Roman"/>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ingling/Library/Containers/com.kingsoft.wpsoffice.mac/Data/.kingsoft/office6/templates/download/a6894f3e-e015-47b7-a3e5-21ef6502829a/&#32489;&#25928;&#31649;&#29702;-XX&#32929;&#20221;&#20844;&#21496;&#21508;&#37096;&#38376;%20KPI%20&#25351;&#26631;&#20307;&#31995;.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绩效管理-XX股份公司各部门 KPI 指标体系.docx</Template>
  <Manager>  </Manager>
  <Pages>27</Pages>
  <Words>9483</Words>
  <Characters>9790</Characters>
  <Lines>84</Lines>
  <Paragraphs>23</Paragraphs>
  <TotalTime>0</TotalTime>
  <ScaleCrop>false</ScaleCrop>
  <LinksUpToDate>false</LinksUpToDate>
  <CharactersWithSpaces>10071</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2023-03-20T21:12:00Z</dcterms:created>
  <dc:creator>ZingLing</dc:creator>
  <dc:description>  </dc:description>
  <cp:keywords>  </cp:keywords>
  <cp:lastModifiedBy>ZingLing</cp:lastModifiedBy>
  <dcterms:modified xsi:type="dcterms:W3CDTF">2023-03-20T13:24:30Z</dcterms:modified>
  <dc:subject>  </dc:subject>
  <dc:title>  </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KSOTemplateUUID">
    <vt:lpwstr>v1.0_mb_2A6FMPuAIBrIoM7wuzs7yg==</vt:lpwstr>
  </property>
  <property fmtid="{D5CDD505-2E9C-101B-9397-08002B2CF9AE}" pid="4" name="ICV">
    <vt:lpwstr>B95F7445839A920E52EB17646FD15545</vt:lpwstr>
  </property>
</Properties>
</file>