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Calibri" w:hAnsi="Calibri" w:eastAsia="Microsoft YaHei"/>
          <w:b/>
          <w:color w:val="5A626C"/>
          <w:sz w:val="26"/>
        </w:rPr>
        <w:t>众肯科技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0"/>
        </w:rPr>
        <w:t>项目全过程管理系统需求说明书</w:t>
      </w:r>
    </w:p>
    <w:p>
      <w:pPr>
        <w:spacing w:after="680"/>
        <w:jc w:val="center"/>
      </w:pPr>
      <w:r>
        <w:rPr>
          <w:rFonts w:ascii="Calibri" w:hAnsi="Calibri" w:eastAsia="Microsoft YaHei"/>
          <w:b/>
          <w:color w:val="2E74B5"/>
          <w:sz w:val="28"/>
        </w:rPr>
        <w:t>V2.2 · CloudBase 部署版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正式开发与验收基线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形成日期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2026年7月12日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替代版本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V2.1（仅供历史追溯，不再作为开发与验收依据）</w:t>
            </w:r>
          </w:p>
        </w:tc>
      </w:tr>
      <w:tr>
        <w:trPr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适用范围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数据库设计、原型、接口、权限、测试、部署与正式编码</w:t>
            </w:r>
          </w:p>
        </w:tc>
      </w:tr>
    </w:tbl>
    <w:p>
      <w:r>
        <w:br w:type="page"/>
      </w:r>
    </w:p>
    <w:p>
      <w:pPr>
        <w:pStyle w:val="Heading1"/>
      </w:pPr>
      <w:r>
        <w:t>版本修订记录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1200"/>
        <w:gridCol w:w="5360"/>
      </w:tblGrid>
      <w:tr>
        <w:trPr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版本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日期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状态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</w:rPr>
              <w:t>修订说明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V2.1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2026年7月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已替代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CloudBase 部署版需求基线；自 V2.2 生效后仅供历史追溯。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V2.2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2026年7月12日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现行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</w:rPr>
              <w:t>落实评审 P0 问题，统一成本利润口径、状态机、审批、权限、安全、非功能指标及结果型验收标准。</w:t>
            </w:r>
          </w:p>
        </w:tc>
      </w:tr>
    </w:tbl>
    <w:p>
      <w:pPr>
        <w:pStyle w:val="Heading1"/>
      </w:pPr>
      <w:r>
        <w:t>基线使用声明</w:t>
      </w:r>
    </w:p>
    <w:p>
      <w:r>
        <w:rPr>
          <w:rFonts w:ascii="Calibri" w:hAnsi="Calibri" w:eastAsia="Microsoft YaHei"/>
        </w:rPr>
        <w:t>本 V2.2 文档是当前唯一有效的正式开发与验收需求基线。V2.1 与《众肯管理系统需求模块》保留为需求溯源材料；若其内容与本文件不一致，以本文件为准。后续新增或调整范围必须进入变更清单，并评估数据库、接口、权限、测试和交付影响。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r>
        <w:br w:type="page"/>
      </w:r>
    </w:p>
    <w:p>
      <w:pPr>
        <w:pStyle w:val="Heading1"/>
      </w:pPr>
      <w:r>
        <w:t>0. V2.2 修订结论</w:t>
      </w:r>
    </w:p>
    <w:p>
      <w:r>
        <w:rPr>
          <w:rFonts w:ascii="Calibri" w:hAnsi="Calibri" w:eastAsia="Microsoft YaHei"/>
        </w:rPr>
        <w:t>本次不扩张 ERP 范围，重点完成可编码性修订：</w:t>
      </w:r>
    </w:p>
    <w:p>
      <w:pPr>
        <w:pStyle w:val="ListNumber"/>
      </w:pPr>
      <w:r>
        <w:rPr>
          <w:rFonts w:ascii="Calibri" w:hAnsi="Calibri" w:eastAsia="Microsoft YaHei"/>
        </w:rPr>
        <w:t>区分预计成本、已确认成本、已支付金额和现金流出，消除重复计成本风险。</w:t>
      </w:r>
    </w:p>
    <w:p>
      <w:pPr>
        <w:pStyle w:val="ListNumber"/>
      </w:pPr>
      <w:r>
        <w:rPr>
          <w:rFonts w:ascii="Calibri" w:hAnsi="Calibri" w:eastAsia="Microsoft YaHei"/>
        </w:rPr>
        <w:t>固定预计利润、合同经营利润、现金贡献三套口径。</w:t>
      </w:r>
    </w:p>
    <w:p>
      <w:pPr>
        <w:pStyle w:val="ListNumber"/>
      </w:pPr>
      <w:r>
        <w:rPr>
          <w:rFonts w:ascii="Calibri" w:hAnsi="Calibri" w:eastAsia="Microsoft YaHei"/>
        </w:rPr>
        <w:t>立项申请编号与正式项目编号分离。</w:t>
      </w:r>
    </w:p>
    <w:p>
      <w:pPr>
        <w:pStyle w:val="ListNumber"/>
      </w:pPr>
      <w:r>
        <w:rPr>
          <w:rFonts w:ascii="Calibri" w:hAnsi="Calibri" w:eastAsia="Microsoft YaHei"/>
        </w:rPr>
        <w:t>项目主状态仅表达整体生命周期，投标、合同、开票和收款使用子业务状态。</w:t>
      </w:r>
    </w:p>
    <w:p>
      <w:pPr>
        <w:pStyle w:val="ListNumber"/>
      </w:pPr>
      <w:r>
        <w:rPr>
          <w:rFonts w:ascii="Calibri" w:hAnsi="Calibri" w:eastAsia="Microsoft YaHei"/>
        </w:rPr>
        <w:t>项目启动支持“正常启动”和“提前启动”两种类型。</w:t>
      </w:r>
    </w:p>
    <w:p>
      <w:pPr>
        <w:pStyle w:val="ListNumber"/>
      </w:pPr>
      <w:r>
        <w:rPr>
          <w:rFonts w:ascii="Calibri" w:hAnsi="Calibri" w:eastAsia="Microsoft YaHei"/>
        </w:rPr>
        <w:t>增加收款—发票核销明细；报销改为主表＋明细表。</w:t>
      </w:r>
    </w:p>
    <w:p>
      <w:pPr>
        <w:pStyle w:val="ListNumber"/>
      </w:pPr>
      <w:r>
        <w:rPr>
          <w:rFonts w:ascii="Calibri" w:hAnsi="Calibri" w:eastAsia="Microsoft YaHei"/>
        </w:rPr>
        <w:t>合作分配方案版本化，结算单生成时冻结计算快照。</w:t>
      </w:r>
    </w:p>
    <w:p>
      <w:pPr>
        <w:pStyle w:val="ListNumber"/>
      </w:pPr>
      <w:r>
        <w:rPr>
          <w:rFonts w:ascii="Calibri" w:hAnsi="Calibri" w:eastAsia="Microsoft YaHei"/>
        </w:rPr>
        <w:t>审批能力收敛为预设模板、顺序审批、金额阈值和抄送。</w:t>
      </w:r>
    </w:p>
    <w:p>
      <w:pPr>
        <w:pStyle w:val="ListNumber"/>
      </w:pPr>
      <w:r>
        <w:rPr>
          <w:rFonts w:ascii="Calibri" w:hAnsi="Calibri" w:eastAsia="Microsoft YaHei"/>
        </w:rPr>
        <w:t>明确用户名密码登录、CloudBase UID 映射、私有文件访问和生产资源门槛。</w:t>
      </w:r>
    </w:p>
    <w:p>
      <w:pPr>
        <w:pStyle w:val="ListNumber"/>
      </w:pPr>
      <w:r>
        <w:rPr>
          <w:rFonts w:ascii="Calibri" w:hAnsi="Calibri" w:eastAsia="Microsoft YaHei"/>
        </w:rPr>
        <w:t>增加定量非功能指标、数据权限算法与结果型验收用例。</w:t>
      </w:r>
    </w:p>
    <w:p>
      <w:pPr>
        <w:pStyle w:val="ListNumber"/>
      </w:pPr>
      <w:r>
        <w:rPr>
          <w:rFonts w:ascii="Calibri" w:hAnsi="Calibri" w:eastAsia="Microsoft YaHei"/>
        </w:rPr>
        <w:t>组织默认采用“公司—部门—人员”单层部门结构，部门、人员、角色及初始账号均可配置。</w:t>
      </w:r>
    </w:p>
    <w:p>
      <w:pPr>
        <w:pStyle w:val="ListNumber"/>
      </w:pPr>
      <w:r>
        <w:rPr>
          <w:rFonts w:ascii="Calibri" w:hAnsi="Calibri" w:eastAsia="Microsoft YaHei"/>
        </w:rPr>
        <w:t>审批只预设岗位，不绑定具体人员；岗位人员和金额阈值均由后台配置。</w:t>
      </w:r>
    </w:p>
    <w:p>
      <w:pPr>
        <w:pStyle w:val="ListNumber"/>
      </w:pPr>
      <w:r>
        <w:rPr>
          <w:rFonts w:ascii="Calibri" w:hAnsi="Calibri" w:eastAsia="Microsoft YaHei"/>
        </w:rPr>
        <w:t>允许对未收款、未退保证金或未关闭问题发起带遗留事项结项，仅公司负责人可特批。</w:t>
      </w:r>
    </w:p>
    <w:p>
      <w:pPr>
        <w:pStyle w:val="ListNumber"/>
      </w:pPr>
      <w:r>
        <w:rPr>
          <w:rFonts w:ascii="Calibri" w:hAnsi="Calibri" w:eastAsia="Microsoft YaHei"/>
        </w:rPr>
        <w:t xml:space="preserve">开发环境确认为广州南沙地域的 CloudBase 环境 </w:t>
      </w:r>
      <w:r>
        <w:rPr>
          <w:rFonts w:ascii="Calibri" w:hAnsi="Calibri" w:eastAsia="Consolas"/>
          <w:color w:val="1F4D78"/>
          <w:sz w:val="19"/>
        </w:rPr>
        <w:t>cloudbase-d7gc2b32cd4196059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无历史数据迁移；基础字典和编号按一般规范初始化。</w:t>
      </w:r>
    </w:p>
    <w:p>
      <w:pPr>
        <w:pStyle w:val="Heading1"/>
      </w:pPr>
      <w:r>
        <w:t>1. 总体功能结构图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flowchart TB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W[工作台 / 待办 / 消息] --&gt; CRM[客户与往来单位]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W --&gt; MKT[拜访 / 线索 / 跟进 / 报备]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W --&gt; PRJ[项目主档案]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PRJ --&gt; BID[投标与友商配合]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PRJ --&gt; CON[收入/支出合同]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PRJ --&gt; DEL[启动 / 阶段 / 进展 / 风险 / 成果 / 验收]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PRJ --&gt; REV[开票 / 销项发票 / 收款]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PRJ --&gt; COST[报销 / 付款 / 合作方结算 / 保证金]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PRJ --&gt; CLOSE[结项与项目档案]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W --&gt; BUY[日常采购]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W --&gt; BI[经营 / 线索 / 投标 / 进度 / 收款 / 利润看板]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SYS[用户 / 角色 / 权限 / 字典 / 编号 / 审批 / 日志] --&gt; W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FILE[CloudBase 云存储与文件版本] --&gt; PRJ</w:t>
      </w:r>
    </w:p>
    <w:p>
      <w:pPr>
        <w:pStyle w:val="Heading1"/>
      </w:pPr>
      <w:r>
        <w:t>2. 项目全过程业务流程图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flowchart LR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A[往来单位/联系人] --&gt; B[拜访记录]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B --&gt; C[项目线索]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C --&gt; D{市场报备审批}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D --&gt;|退回| C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D --&gt;|通过| E[持续跟进]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E --&gt; F{立项审批}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F --&gt;|通过| G[正式项目]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G --&gt; H{投标项目?}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H --&gt;|是| I[投标申请/任务/检查/结果]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H --&gt;|否| J[商务洽谈]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I --&gt; K{中标?}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K --&gt;|否| X[关闭/归档]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K --&gt;|是| L[合同审批与签署]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J --&gt; L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L --&gt; M[项目启动]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M --&gt; N[阶段/进展/问题/变更/成果]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N --&gt; O[验收]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O --&gt; P[开票与收款]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N --&gt; Q[报销/付款/结算/保证金]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 --&gt; R{结项核对}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Q --&gt; R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R --&gt; S[结项审批]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S --&gt; T[已结项项目档案]</w:t>
      </w:r>
    </w:p>
    <w:p>
      <w:pPr>
        <w:pStyle w:val="Heading1"/>
      </w:pPr>
      <w:r>
        <w:t>3. 技术架构及 CloudBase 边界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flowchart TB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U[内部用户浏览器] --&gt; SPA[Vue 3 + TypeScript + Element Plus\nCloudBase 静态网站托管]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SPA --&gt; AUTH[CloudBase 身份认证]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SPA --&gt; API[Node.js + TypeScript 云函数 API]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API --&gt; RBAC[系统 RBAC + 数据范围 + 敏感字段授权]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API --&gt; MYSQL[(CloudBase MySQL)]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API --&gt; STORAGE[(CloudBase 云存储)]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TIMER[CloudBase 定时触发器] --&gt; API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API --&gt; LOG[平台日志 + 业务审计日志]</w:t>
      </w:r>
    </w:p>
    <w:p>
      <w:pPr>
        <w:pStyle w:val="ListBullet"/>
      </w:pPr>
      <w:r>
        <w:rPr>
          <w:rFonts w:ascii="Calibri" w:hAnsi="Calibri" w:eastAsia="Microsoft YaHei"/>
        </w:rPr>
        <w:t>前端绝不接触 MySQL 密码、SecretKey、API Key。</w:t>
      </w:r>
    </w:p>
    <w:p>
      <w:pPr>
        <w:pStyle w:val="ListBullet"/>
      </w:pPr>
      <w:r>
        <w:rPr>
          <w:rFonts w:ascii="Calibri" w:hAnsi="Calibri" w:eastAsia="Microsoft YaHei"/>
        </w:rPr>
        <w:t>金额、审批、状态、导出、敏感附件操作全部经后端校验。</w:t>
      </w:r>
    </w:p>
    <w:p>
      <w:pPr>
        <w:pStyle w:val="ListBullet"/>
      </w:pPr>
      <w:r>
        <w:rPr>
          <w:rFonts w:ascii="Calibri" w:hAnsi="Calibri" w:eastAsia="Microsoft YaHei"/>
        </w:rPr>
        <w:t>单体模块化架构，不引入微服务、Redis、消息中间件、Kubernetes、独立 Nginx。</w:t>
      </w:r>
    </w:p>
    <w:p>
      <w:pPr>
        <w:pStyle w:val="ListBullet"/>
      </w:pPr>
      <w:r>
        <w:rPr>
          <w:rFonts w:ascii="Calibri" w:hAnsi="Calibri" w:eastAsia="Microsoft YaHei"/>
        </w:rPr>
        <w:t xml:space="preserve">金额统一 </w:t>
      </w:r>
      <w:r>
        <w:rPr>
          <w:rFonts w:ascii="Calibri" w:hAnsi="Calibri" w:eastAsia="Consolas"/>
          <w:color w:val="1F4D78"/>
          <w:sz w:val="19"/>
        </w:rPr>
        <w:t>DECIMAL(18,2)</w:t>
      </w:r>
      <w:r>
        <w:rPr>
          <w:rFonts w:ascii="Calibri" w:hAnsi="Calibri" w:eastAsia="Microsoft YaHei"/>
        </w:rPr>
        <w:t xml:space="preserve">；ID 推荐 </w:t>
      </w:r>
      <w:r>
        <w:rPr>
          <w:rFonts w:ascii="Calibri" w:hAnsi="Calibri" w:eastAsia="Consolas"/>
          <w:color w:val="1F4D78"/>
          <w:sz w:val="19"/>
        </w:rPr>
        <w:t>BIGINT UNSIGNED</w:t>
      </w:r>
      <w:r>
        <w:rPr>
          <w:rFonts w:ascii="Calibri" w:hAnsi="Calibri" w:eastAsia="Microsoft YaHei"/>
        </w:rPr>
        <w:t>，业务编号单独唯一索引。</w:t>
      </w:r>
    </w:p>
    <w:p>
      <w:pPr>
        <w:pStyle w:val="ListBullet"/>
      </w:pPr>
      <w:r>
        <w:rPr>
          <w:rFonts w:ascii="Calibri" w:hAnsi="Calibri" w:eastAsia="Microsoft YaHei"/>
        </w:rPr>
        <w:t xml:space="preserve">所有核心表统一包含 </w:t>
      </w:r>
      <w:r>
        <w:rPr>
          <w:rFonts w:ascii="Calibri" w:hAnsi="Calibri" w:eastAsia="Consolas"/>
          <w:color w:val="1F4D78"/>
          <w:sz w:val="19"/>
        </w:rPr>
        <w:t>status/project_id/created_by/created_at/updated_by/updated_at/is_deleted/version</w:t>
      </w:r>
      <w:r>
        <w:rPr>
          <w:rFonts w:ascii="Calibri" w:hAnsi="Calibri" w:eastAsia="Microsoft YaHei"/>
        </w:rPr>
        <w:t xml:space="preserve">；无项目归属的基础表允许 </w:t>
      </w:r>
      <w:r>
        <w:rPr>
          <w:rFonts w:ascii="Calibri" w:hAnsi="Calibri" w:eastAsia="Consolas"/>
          <w:color w:val="1F4D78"/>
          <w:sz w:val="19"/>
        </w:rPr>
        <w:t>project_id</w:t>
      </w:r>
      <w:r>
        <w:rPr>
          <w:rFonts w:ascii="Calibri" w:hAnsi="Calibri" w:eastAsia="Microsoft YaHei"/>
        </w:rPr>
        <w:t xml:space="preserve"> 为空。</w:t>
      </w:r>
    </w:p>
    <w:p>
      <w:pPr>
        <w:pStyle w:val="Heading1"/>
      </w:pPr>
      <w:r>
        <w:t>4. 菜单和页面清单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13"/>
        <w:gridCol w:w="7947"/>
      </w:tblGrid>
      <w:tr>
        <w:trPr>
          <w:cantSplit/>
        </w:trPr>
        <w:tc>
          <w:tcPr>
            <w:tcW w:type="dxa" w:w="141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一级菜单</w:t>
            </w:r>
          </w:p>
        </w:tc>
        <w:tc>
          <w:tcPr>
            <w:tcW w:type="dxa" w:w="794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页面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工作台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经营摘要、我的待办、我的项目、消息中心、临期与异常提醒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客户管理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往来单位列表/详情/编辑，联系人列表/详情/编辑，拜访记录列表/详情/编辑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市场线索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线索列表/详情/编辑，跟进记录，市场报备审批，重复线索校验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项目管理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项目列表、立项申请、项目详情全景页（含成员和启动信息）、项目时间轴、结项申请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投标管理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投标申请、任务分工、文件检查、投标结果、友商配合投标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合同管理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收入合同、支出合同、合同审批、合同变更、履约与到期提醒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项目实施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阶段计划、进展记录、问题风险、项目变更、成果、验收；启动作为项目详情操作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发票与收款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开票申请（含完成开票）、收款登记、发票核销、应收与逾期列表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费用与付款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费用报销、项目付款（含多次付款明细）、付款凭证、项目成本汇总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合作方结算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分配方案、结算单、结算审批、付款状态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保证金管理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保证金台账、缴纳付款、退回明细、逾期；缴纳复用付款流程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日常费用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日常采购/非项目费用申请、审批、完成、附件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统计报表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公司经营、市场线索、投标、项目进度、项目收款、项目利润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系统管理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用户、人员、角色、菜单权限、操作权限、数据范围、敏感字段、字典、编号规则、审批配置、参数、日志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所有业务对象统一提供：列表、详情、创建/编辑、审批记录、附件、操作日志；项目详情采用页签聚合全过程数据。用户直接填写的主表单控制在 24 种以内，审批过程、付款明细、退回明细、项目成员、合同节点和成果版本均作为主对象子表或操作，不额外制造一级表单。</w:t>
      </w:r>
    </w:p>
    <w:p>
      <w:pPr>
        <w:pStyle w:val="Heading1"/>
      </w:pPr>
      <w:r>
        <w:t>5. 核心表单字段清单</w:t>
      </w:r>
    </w:p>
    <w:p>
      <w:r>
        <w:rPr>
          <w:rFonts w:ascii="Calibri" w:hAnsi="Calibri" w:eastAsia="Microsoft YaHei"/>
        </w:rPr>
        <w:t>以下字段为可落库的最小完整集；所有表单另含统一审计字段、状态字段、附件关联和审批实例 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7800"/>
      </w:tblGrid>
      <w:tr>
        <w:trPr>
          <w:cantSplit/>
        </w:trPr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表单</w:t>
            </w:r>
          </w:p>
        </w:tc>
        <w:tc>
          <w:tcPr>
            <w:tcW w:type="dxa" w:w="7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核心字段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往来单位档案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单位编号、名称、简称、统一社会信用代码、单位类型、行业、规模、地区、地址、电话、网站、开户行、银行账号、税号、开票信息、负责人、来源、合作状态、备注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联系人档案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所属单位、姓名、性别、部门、职务、手机、电话、邮箱、微信、是否关键联系人、关系程度、决策角色、负责人、备注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人员档案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人员编号、姓名、人员类型、部门、岗位、手机、邮箱、入职/合作日期、离职日期、直属负责人、关联登录用户、账号状态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客户拜访记录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单号、客户、联系人、拜访日期/方式/地点、参与人员、拜访目的、沟通内容、客户需求、机会判断、下一步计划、下次跟进时间、负责人、是否生成线索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项目线索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线索编号、项目名称、客户、来源、来源说明、发现日期、预计金额、预计时间、项目类型、项目背景、需求概述、竞争情况、成功概率、负责人、协同人、报备状态、线索状态、下次跟进时间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跟进记录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线索、跟进日期、方式、参与人员、沟通内容、客户反馈、机会变化、成功概率、下一步计划、下次跟进时间、记录人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项目立项申请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立项申请编号、项目名称、客户、来源线索、项目类型、背景、服务范围、预计收入、预计成本、预计利润（自动计算）、预计起止日期、项目经理、成员建议、投标方式、风险、必要性、申请人；审批通过后才生成不可修改的正式项目编号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投标申请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项目、招标人/代理机构、招标编号、项目预算、投标限价、报名/购买/答疑/截止/开标时间、投标地点、投标方式、保证金、标书费、商务负责人、技术负责人、报价负责人、申请说明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投标任务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投标申请、任务类型、任务名称、责任人、协作人、开始/截止时间、交付要求、完成说明、检查人、状态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投标检查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投标申请、检查项、检查标准、责任人、检查结果、问题说明、整改人、整改期限、复查结果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投标结果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投标申请、开标日期、报价、排名、中标状态、中标金额、中标通知日期、未中标原因、竞争对手、复盘结论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友商配合投标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项目/线索、友商、最终客户、配合类型、报名/报价/投标时间、我方报价、责任人、结果、说明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合同登记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合同编号、名称、类型、项目、甲方、乙方、签约主体、金额、税率、含税标识、签订/生效/到期日期、服务内容、付款条件、开票条件、负责人、原合同/变更版本、履约状态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合同变更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合同、变更编号、变更类型、原金额、新金额、原工期、新工期、变更内容、原因、生效日期、申请人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项目启动信息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启动类型（正常/提前）、启动日期、项目经理、成员与角色、目标、范围、阶段计划、沟通机制、交付物、风险；提前启动另含当前合同状态、提前原因、启动依据、预计合同金额、预计签订日期和待补签提醒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阶段计划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项目、阶段名称、顺序、计划起止、实际起止、负责人、阶段目标、交付物、完成比例、状态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项目进展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项目、阶段、记录日期、完成工作、当前进度、下步计划、偏差说明、需协调事项、记录人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问题风险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项目、类型、标题、描述、等级、影响、责任人、发现日期、计划解决日期、措施、实际解决日期、状态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项目变更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项目、变更类型、原内容、新内容、原因、影响范围、工期影响、金额影响、申请人、生效日期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成果提交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项目、阶段、成果名称、成果类型、版本、提交日期、提交人、接收人、成果说明、确认结果、状态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验收申请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项目、合同、验收类型、申请日期、验收范围、验收依据、验收日期、验收单位、验收结果、遗留问题、整改期限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开票申请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项目、收入合同、申请金额、发票类型、税率、开票内容、购买方信息、计划开票日、收款条件、申请人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销项发票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开票申请、项目、合同、发票号码、发票代码、开票日期、含税金额、不含税金额、税额、购买方、红冲标识、附件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收款登记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项目、收入合同、客户、收款日期、金额、收款账户、付款单位、付款账号、收款类型（预收/正常/其他）、凭证号、经办人；不保存单一发票 ID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收款—发票核销明细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收款、发票、本次对应金额、核销日期、操作人；支持一收多票、一票多收、预收款暂不核销，分配总额不得超过收款余额或发票未核销额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报销单主表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单号、报销人、部门、关联项目（可空）、报销事由、明细汇总总额、支付对象、收款账户、审批状态、付款状态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报销明细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报销单、费用类型、发生日期、金额、说明、是否有票、发票号码/开票方、附件；主表总额由有效明细自动汇总，禁止手工覆盖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项目付款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项目、支出合同/报销/结算/保证金等来源对象、收款单位/个人、付款类型、申请金额、计划日期、付款依据、收款账户、是否需票、经办人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付款明细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付款申请、项目、付款日期、金额、付款账户、收款账户、流水号、凭证附件、登记人；一张申请可多次付款，不单列一级页面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合作分配方案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项目、合作方、方案版本、结算方式、固定金额/比例、计算基数、可扣减成本范围、上限、下限、生效起止日期、条件、负责人、启用状态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合作方结算单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项目、方案及版本、合作方、结算期间、基数快照、比例快照、规则快照、应结金额、已结金额、扣减、实结金额、舍入差额、开票要求、付款状态；生成后历史计算条件冻结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保证金登记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项目、投标/合同、类型、收付方向、对象、金额、应缴日期、实缴日期、应退日期、实退日期、账户、状态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日常采购申请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申请人、部门、采购类型、供应商、物品/服务、数量、预算金额、用途、期望日期、付款方式、是否关联合同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项目结项申请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项目、申请日期、完成情况、验收结论、合同金额、开票/收款/成本/结算汇总、未了事项、文件归档检查、利润口径、结项说明；带遗留事项结项另含遗留类型、事项说明、责任人、完成期限、特批意见</w:t>
            </w:r>
          </w:p>
        </w:tc>
      </w:tr>
    </w:tbl>
    <w:p>
      <w:pPr>
        <w:spacing w:after="20"/>
      </w:pPr>
    </w:p>
    <w:p>
      <w:pPr>
        <w:pStyle w:val="Heading1"/>
      </w:pPr>
      <w:r>
        <w:t>6. 表单关联关系与 ER 图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erDiagram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PARTY ||--o{ CONTACT : has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PARTY ||--o{ VISIT : receives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VISIT ||--o| LEAD : generates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PARTY ||--o{ LEAD : owns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LEAD ||--o{ LEAD_FOLLOWUP : has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LEAD ||--o| PROJECT : converts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PROJECT_MEMBER : has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BID : has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BID ||--o{ BID_TASK : contains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BID ||--o{ BID_CHECK : checks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BID ||--o| BID_RESULT : concludes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CONTRACT : has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CONTRACT ||--o{ CONTRACT_CHANGE : versions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PROJECT_STAGE : plans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PROGRESS : records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ISSUE : tracks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DELIVERABLE : produces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ACCEPTANCE : accepts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CONTRACT ||--o{ INVOICE_REQUEST : requests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INVOICE_REQUEST ||--o{ SALES_INVOICE : issues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CONTRACT ||--o{ RECEIPT : receives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RECEIPT ||--o{ RECEIPT_INVOICE_ALLOCATION : allocates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SALES_INVOICE ||--o{ RECEIPT_INVOICE_ALLOCATION : cleared_by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EXPENSE_CLAIM : costs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EXPENSE_CLAIM ||--|{ EXPENSE_ITEM : contains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CONTRACT ||--o{ PAYMENT_REQUEST : pays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PAYMENT_REQUEST ||--o{ PAYMENT_DETAIL : executes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PARTNER_PLAN : allocates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PARTNER_PLAN ||--|{ PARTNER_PLAN_VERSION : versions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PARTNER_PLAN_VERSION ||--o{ PARTNER_SETTLEMENT : freezes_into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||--o{ DEPOSIT : guarantees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PROJECT ||--o| PROJECT_CLOSURE : closes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APPROVAL_INSTANCE ||--o{ APPROVAL_TASK : routes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ATTACHMENT }o--|| BUSINESS_OBJECT : links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AUDIT_LOG }o--|| BUSINESS_OBJECT : records</w:t>
      </w:r>
    </w:p>
    <w:p>
      <w:r>
        <w:rPr>
          <w:rFonts w:ascii="Calibri" w:hAnsi="Calibri" w:eastAsia="Microsoft YaHei"/>
        </w:rPr>
        <w:t xml:space="preserve">统一关联原则：业务表优先保存 </w:t>
      </w:r>
      <w:r>
        <w:rPr>
          <w:rFonts w:ascii="Calibri" w:hAnsi="Calibri" w:eastAsia="Consolas"/>
          <w:color w:val="1F4D78"/>
          <w:sz w:val="19"/>
        </w:rPr>
        <w:t>project_id</w:t>
      </w:r>
      <w:r>
        <w:rPr>
          <w:rFonts w:ascii="Calibri" w:hAnsi="Calibri" w:eastAsia="Microsoft YaHei"/>
        </w:rPr>
        <w:t xml:space="preserve">；合同、投标、发票、收付款等再保存各自直接上游 ID；附件通过 </w:t>
      </w:r>
      <w:r>
        <w:rPr>
          <w:rFonts w:ascii="Calibri" w:hAnsi="Calibri" w:eastAsia="Consolas"/>
          <w:color w:val="1F4D78"/>
          <w:sz w:val="19"/>
        </w:rPr>
        <w:t>business_type + business_id + project_id</w:t>
      </w:r>
      <w:r>
        <w:rPr>
          <w:rFonts w:ascii="Calibri" w:hAnsi="Calibri" w:eastAsia="Microsoft YaHei"/>
        </w:rPr>
        <w:t xml:space="preserve"> 关联；审批实例通过 </w:t>
      </w:r>
      <w:r>
        <w:rPr>
          <w:rFonts w:ascii="Calibri" w:hAnsi="Calibri" w:eastAsia="Consolas"/>
          <w:color w:val="1F4D78"/>
          <w:sz w:val="19"/>
        </w:rPr>
        <w:t>business_type + business_id</w:t>
      </w:r>
      <w:r>
        <w:rPr>
          <w:rFonts w:ascii="Calibri" w:hAnsi="Calibri" w:eastAsia="Microsoft YaHei"/>
        </w:rPr>
        <w:t xml:space="preserve"> 关联。收款与发票通过核销明细形成多对多关系；报销、付款和合作方方案采用主从或主版本结构，所有主表汇总金额均由有效明细计算。</w:t>
      </w:r>
    </w:p>
    <w:p>
      <w:pPr>
        <w:pStyle w:val="Heading1"/>
      </w:pPr>
      <w:r>
        <w:t>7. 核心状态机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13"/>
        <w:gridCol w:w="7947"/>
      </w:tblGrid>
      <w:tr>
        <w:trPr>
          <w:cantSplit/>
        </w:trPr>
        <w:tc>
          <w:tcPr>
            <w:tcW w:type="dxa" w:w="141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对象</w:t>
            </w:r>
          </w:p>
        </w:tc>
        <w:tc>
          <w:tcPr>
            <w:tcW w:type="dxa" w:w="794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状态流转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线索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待报备 → 已退回/已驳回/跟进中 → 已转项目；任一有效阶段可按权限关闭为已失效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立项申请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审批中 → 已退回/已驳回/已撤回/已通过；仅已通过生成正式项目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已立项 → 前期准备 → 待启动 → 实施中 → 待验收 → 已验收 → 待结项 → 已结项；旁路：暂停、恢复到原状态、已终止、已取消。投标、商务、合同、开票和收款状态不写入项目主状态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审批中 → 准备中 → 已提交 → 已开标 → 中标/未中标/流标/放弃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投标任务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待分配 → 待处理 → 处理中 → 待检查 → 已完成；旁路：逾期/取消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审批中 → 待签署 → 履行中 → 已完成；旁路：已退回/已驳回/已变更/已终止/已作废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阶段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未开始 → 进行中 → 待确认 → 已完成；旁路：延期/暂停/取消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问题风险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待处理 → 处理中 → 待验证 → 已关闭；旁路：重新打开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成果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已提交 → 待确认 → 已确认；旁路：退回修改/已废止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验收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审批中 → 待验收 → 已通过/有条件通过/未通过 → 已完成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开票申请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审批中 → 待开票 → 部分开票 → 已开票；旁路：退回/驳回/撤回/作废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费用/付款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审批中 → 待支付 → 部分支付 → 已支付；旁路：退回/驳回/撤回/作废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合作方结算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核算中 → 审批中 → 待开票/待付款 → 部分付款 → 已结清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保证金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待缴纳 → 已缴纳 → 待退回 → 已退回；旁路：逾期/没收/作废</w:t>
            </w:r>
          </w:p>
        </w:tc>
      </w:tr>
      <w:tr>
        <w:trPr>
          <w:cantSplit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结项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草稿 → 审批中 → 财务核对 → 经营审核 → 负责人审批 → 已结项；旁路：退回/驳回/撤回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所有状态变化由后端状态机执行并新增状态历史，禁止客户端直接写状态文本。</w:t>
      </w:r>
    </w:p>
    <w:p>
      <w:pPr>
        <w:pStyle w:val="Heading1"/>
      </w:pPr>
      <w:r>
        <w:t>8. 审批流程清单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cantSplit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事项</w:t>
            </w:r>
          </w:p>
        </w:tc>
        <w:tc>
          <w:tcPr>
            <w:tcW w:type="dxa" w:w="74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默认审批链（后台可配置）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市场报备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线索负责人 → 经营负责人/公司负责人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项目立项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申请人 → 经营负责人 → 公司负责人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投标申请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项目/商务负责人 → 经营负责人 → 公司负责人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经办人 → 项目负责人 → 财务核对 → 公司负责人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项目启动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项目经理 → 经营负责人/公司负责人确认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项目变更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项目经理 → 经营负责人 → 金额/工期阈值触发公司负责人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开票申请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项目经理/经办人 → 财务 → 授权负责人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费用报销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申请人 → 项目负责人/部门负责人 → 财务 → 金额阈值审批人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项目付款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经办人 → 项目负责人 → 财务 → 金额阈值审批人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合作方结算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项目负责人 → 财务复核 → 公司负责人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保证金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经办人 → 项目负责人 → 财务 → 授权负责人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日常采购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申请人 → 部门负责人 → 财务/采购 → 金额阈值审批人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项目结项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项目经理 → 财务核对 → 经营负责人 → 公司负责人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审批能力采用约 12 套预设顺序模板。保留提交、同意、退回修改、驳回、撤回和抄送；管理员只配置节点岗位、顺序、金额阈值和抄送岗位，具体审批人由岗位任职配置解析。首版不建设转交、加签、会签比例、嵌套条件、动态并行、自由跳转、拖拽或用户自定义流程。流程配置和审批历史存数据库，不把审批人写死在代码中。</w:t>
      </w:r>
    </w:p>
    <w:p>
      <w:r>
        <w:rPr>
          <w:rFonts w:ascii="Calibri" w:hAnsi="Calibri" w:eastAsia="Microsoft YaHei"/>
        </w:rPr>
        <w:t>组织与审批配置采用以下固定原则：组织默认仅建“公司—部门—人员”一层部门关系，不启用多级部门递归；经营负责人、公司负责人、财务复核人等均作为岗位或审批角色预设，不绑定具体人员。管理员可配置各岗位任职人员、代理/启停状态及各流程金额阈值，阈值变更仅影响新发起的审批实例，历史实例保留发起时的审批配置快照。</w:t>
      </w:r>
    </w:p>
    <w:p>
      <w:pPr>
        <w:pStyle w:val="Heading1"/>
      </w:pPr>
      <w:r>
        <w:t>9. 用户角色权限矩阵</w:t>
      </w:r>
    </w:p>
    <w:p>
      <w:r>
        <w:rPr>
          <w:rFonts w:ascii="Calibri" w:hAnsi="Calibri" w:eastAsia="Microsoft YaHei"/>
        </w:rPr>
        <w:t>符号：</w:t>
      </w:r>
      <w:r>
        <w:rPr>
          <w:rFonts w:ascii="Calibri" w:hAnsi="Calibri" w:eastAsia="Consolas"/>
          <w:color w:val="1F4D78"/>
          <w:sz w:val="19"/>
        </w:rPr>
        <w:t>管</w:t>
      </w:r>
      <w:r>
        <w:rPr>
          <w:rFonts w:ascii="Calibri" w:hAnsi="Calibri" w:eastAsia="Microsoft YaHei"/>
        </w:rPr>
        <w:t>=管理，</w:t>
      </w:r>
      <w:r>
        <w:rPr>
          <w:rFonts w:ascii="Calibri" w:hAnsi="Calibri" w:eastAsia="Consolas"/>
          <w:color w:val="1F4D78"/>
          <w:sz w:val="19"/>
        </w:rPr>
        <w:t>编</w:t>
      </w:r>
      <w:r>
        <w:rPr>
          <w:rFonts w:ascii="Calibri" w:hAnsi="Calibri" w:eastAsia="Microsoft YaHei"/>
        </w:rPr>
        <w:t>=在数据范围内维护，</w:t>
      </w:r>
      <w:r>
        <w:rPr>
          <w:rFonts w:ascii="Calibri" w:hAnsi="Calibri" w:eastAsia="Consolas"/>
          <w:color w:val="1F4D78"/>
          <w:sz w:val="19"/>
        </w:rPr>
        <w:t>看</w:t>
      </w:r>
      <w:r>
        <w:rPr>
          <w:rFonts w:ascii="Calibri" w:hAnsi="Calibri" w:eastAsia="Microsoft YaHei"/>
        </w:rPr>
        <w:t>=查看，</w:t>
      </w:r>
      <w:r>
        <w:rPr>
          <w:rFonts w:ascii="Calibri" w:hAnsi="Calibri" w:eastAsia="Consolas"/>
          <w:color w:val="1F4D78"/>
          <w:sz w:val="19"/>
        </w:rPr>
        <w:t>审</w:t>
      </w:r>
      <w:r>
        <w:rPr>
          <w:rFonts w:ascii="Calibri" w:hAnsi="Calibri" w:eastAsia="Microsoft YaHei"/>
        </w:rPr>
        <w:t>=审批，</w:t>
      </w:r>
      <w:r>
        <w:rPr>
          <w:rFonts w:ascii="Calibri" w:hAnsi="Calibri" w:eastAsia="Consolas"/>
          <w:color w:val="1F4D78"/>
          <w:sz w:val="19"/>
        </w:rPr>
        <w:t>—</w:t>
      </w:r>
      <w:r>
        <w:rPr>
          <w:rFonts w:ascii="Calibri" w:hAnsi="Calibri" w:eastAsia="Microsoft YaHei"/>
        </w:rPr>
        <w:t>=默认无权；敏感金额仍需单独授权。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4"/>
        <w:gridCol w:w="1026"/>
        <w:gridCol w:w="1026"/>
        <w:gridCol w:w="1026"/>
        <w:gridCol w:w="1026"/>
        <w:gridCol w:w="1026"/>
        <w:gridCol w:w="1026"/>
        <w:gridCol w:w="1026"/>
        <w:gridCol w:w="1024"/>
      </w:tblGrid>
      <w:tr>
        <w:trPr>
          <w:cantSplit/>
        </w:trPr>
        <w:tc>
          <w:tcPr>
            <w:tcW w:type="dxa" w:w="115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模块</w:t>
            </w:r>
          </w:p>
        </w:tc>
        <w:tc>
          <w:tcPr>
            <w:tcW w:type="dxa" w:w="10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管理员</w:t>
            </w:r>
          </w:p>
        </w:tc>
        <w:tc>
          <w:tcPr>
            <w:tcW w:type="dxa" w:w="10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公司负责人</w:t>
            </w:r>
          </w:p>
        </w:tc>
        <w:tc>
          <w:tcPr>
            <w:tcW w:type="dxa" w:w="10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市场商务</w:t>
            </w:r>
          </w:p>
        </w:tc>
        <w:tc>
          <w:tcPr>
            <w:tcW w:type="dxa" w:w="10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项目经理</w:t>
            </w:r>
          </w:p>
        </w:tc>
        <w:tc>
          <w:tcPr>
            <w:tcW w:type="dxa" w:w="10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项目成员</w:t>
            </w:r>
          </w:p>
        </w:tc>
        <w:tc>
          <w:tcPr>
            <w:tcW w:type="dxa" w:w="10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投标人员</w:t>
            </w:r>
          </w:p>
        </w:tc>
        <w:tc>
          <w:tcPr>
            <w:tcW w:type="dxa" w:w="10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财务资金</w:t>
            </w:r>
          </w:p>
        </w:tc>
        <w:tc>
          <w:tcPr>
            <w:tcW w:type="dxa" w:w="1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普通员工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系统配置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管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客户/联系人/拜访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线索/报备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立项/项目主档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审/管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投标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审/看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编/审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项目实施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管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开票/收款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审/看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管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费用/付款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审/看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编/审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管/审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编本人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合作方结算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审/看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编/审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保证金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审/看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管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日常采购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审/看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编本人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编本人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编本人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编本人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编/审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编本人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看板/利润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范围内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范围内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  <w:tr>
        <w:trPr>
          <w:cantSplit/>
        </w:trPr>
        <w:tc>
          <w:tcPr>
            <w:tcW w:type="dxa" w:w="1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审计日志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管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看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  <w:tc>
          <w:tcPr>
            <w:tcW w:type="dxa" w:w="1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授权看</w:t>
            </w:r>
          </w:p>
        </w:tc>
        <w:tc>
          <w:tcPr>
            <w:tcW w:type="dxa" w:w="1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—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管理员默认不获得工资、利润、合作分成、银行账户等敏感字段查看权。数据范围支持全部、本部门、本人负责、本人参与、本人创建、指定项目。</w:t>
      </w:r>
    </w:p>
    <w:p>
      <w:pPr>
        <w:pStyle w:val="Heading2"/>
      </w:pPr>
      <w:r>
        <w:t>9.1 数据权限计算规则</w:t>
      </w:r>
    </w:p>
    <w:p>
      <w:r>
        <w:rPr>
          <w:rFonts w:ascii="Calibri" w:hAnsi="Calibri" w:eastAsia="Microsoft YaHei"/>
        </w:rPr>
        <w:t>后端对每个请求按“功能权限 ∩ 数据范围 ∩ 敏感字段权限 ∩ 业务状态权限”计算最终权限：</w:t>
      </w:r>
    </w:p>
    <w:p>
      <w:pPr>
        <w:pStyle w:val="ListNumber"/>
      </w:pPr>
      <w:r>
        <w:rPr>
          <w:rFonts w:ascii="Calibri" w:hAnsi="Calibri" w:eastAsia="Microsoft YaHei"/>
        </w:rPr>
        <w:t>用户可有多个角色；功能权限和数据范围取角色授权并集，但显式禁用用户、显式拒绝敏感字段优先。</w:t>
      </w:r>
    </w:p>
    <w:p>
      <w:pPr>
        <w:pStyle w:val="ListNumber"/>
      </w:pPr>
      <w:r>
        <w:rPr>
          <w:rFonts w:ascii="Calibri" w:hAnsi="Calibri" w:eastAsia="Microsoft YaHei"/>
        </w:rPr>
        <w:t>全部数据：不追加归属过滤；本部门：匹配当前用户部门，默认不递归子部门；本人负责：匹配对象负责人；本人参与：必须存在有效项目成员关系；本人创建：匹配创建人；指定项目：匹配有效项目授权记录。</w:t>
      </w:r>
    </w:p>
    <w:p>
      <w:pPr>
        <w:pStyle w:val="ListNumber"/>
      </w:pPr>
      <w:r>
        <w:rPr>
          <w:rFonts w:ascii="Calibri" w:hAnsi="Calibri" w:eastAsia="Microsoft YaHei"/>
        </w:rPr>
        <w:t>一条记录满足任一已授权数据范围即可查看，但编辑、审批、导出还必须分别具有对应操作权限。</w:t>
      </w:r>
    </w:p>
    <w:p>
      <w:pPr>
        <w:pStyle w:val="ListNumber"/>
      </w:pPr>
      <w:r>
        <w:rPr>
          <w:rFonts w:ascii="Calibri" w:hAnsi="Calibri" w:eastAsia="Microsoft YaHei"/>
        </w:rPr>
        <w:t>银行账号、利润、合同金额、成本、合作比例、结算金额等字段由后端移除或脱敏，不依赖前端隐藏。</w:t>
      </w:r>
    </w:p>
    <w:p>
      <w:pPr>
        <w:pStyle w:val="ListNumber"/>
      </w:pPr>
      <w:r>
        <w:rPr>
          <w:rFonts w:ascii="Calibri" w:hAnsi="Calibri" w:eastAsia="Microsoft YaHei"/>
        </w:rPr>
        <w:t>列表、详情、聚合、导出、附件下载使用同一权限过滤器，防止统计或导出旁路越权。</w:t>
      </w:r>
    </w:p>
    <w:p>
      <w:pPr>
        <w:pStyle w:val="ListNumber"/>
      </w:pPr>
      <w:r>
        <w:rPr>
          <w:rFonts w:ascii="Calibri" w:hAnsi="Calibri" w:eastAsia="Microsoft YaHei"/>
        </w:rPr>
        <w:t>临时项目授权具有起止时间和授权人；项目成员退出后即时失去“本人参与”数据范围。</w:t>
      </w:r>
    </w:p>
    <w:p>
      <w:pPr>
        <w:pStyle w:val="Heading1"/>
      </w:pPr>
      <w:r>
        <w:t>10. 原型页面（低保真）</w:t>
      </w:r>
    </w:p>
    <w:p>
      <w:pPr>
        <w:pStyle w:val="Heading2"/>
      </w:pPr>
      <w:r>
        <w:t>10.1 工作台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┌ 左侧菜单 ─┬────────────────────────────────────────────┐</w:t>
      </w:r>
      <w:r>
        <w:br/>
      </w:r>
      <w:r>
        <w:rPr>
          <w:rFonts w:ascii="Calibri" w:hAnsi="Calibri" w:eastAsia="Consolas"/>
          <w:color w:val="37414B"/>
          <w:sz w:val="17"/>
        </w:rPr>
        <w:t>│ 工作台     │ 项目数  合同额  已开票  已收款  未收款  预计利润 │</w:t>
      </w:r>
      <w:r>
        <w:br/>
      </w:r>
      <w:r>
        <w:rPr>
          <w:rFonts w:ascii="Calibri" w:hAnsi="Calibri" w:eastAsia="Consolas"/>
          <w:color w:val="37414B"/>
          <w:sz w:val="17"/>
        </w:rPr>
        <w:t>│ 客户管理   ├──────────────────────┬─────────────────────┤</w:t>
      </w:r>
      <w:r>
        <w:br/>
      </w:r>
      <w:r>
        <w:rPr>
          <w:rFonts w:ascii="Calibri" w:hAnsi="Calibri" w:eastAsia="Consolas"/>
          <w:color w:val="37414B"/>
          <w:sz w:val="17"/>
        </w:rPr>
        <w:t>│ 市场线索   │ 我的待办              │ 临期与异常            │</w:t>
      </w:r>
      <w:r>
        <w:br/>
      </w:r>
      <w:r>
        <w:rPr>
          <w:rFonts w:ascii="Calibri" w:hAnsi="Calibri" w:eastAsia="Consolas"/>
          <w:color w:val="37414B"/>
          <w:sz w:val="17"/>
        </w:rPr>
        <w:t>│ 项目管理   │ [立项审批] [付款审批] │ 投标截止/应收逾期/... │</w:t>
      </w:r>
      <w:r>
        <w:br/>
      </w:r>
      <w:r>
        <w:rPr>
          <w:rFonts w:ascii="Calibri" w:hAnsi="Calibri" w:eastAsia="Consolas"/>
          <w:color w:val="37414B"/>
          <w:sz w:val="17"/>
        </w:rPr>
        <w:t>│ ...        ├──────────────────────┴─────────────────────┤</w:t>
      </w:r>
      <w:r>
        <w:br/>
      </w:r>
      <w:r>
        <w:rPr>
          <w:rFonts w:ascii="Calibri" w:hAnsi="Calibri" w:eastAsia="Consolas"/>
          <w:color w:val="37414B"/>
          <w:sz w:val="17"/>
        </w:rPr>
        <w:t>│ 系统管理   │ 项目状态分布 / 收款趋势 / 最近动态          │</w:t>
      </w:r>
      <w:r>
        <w:br/>
      </w:r>
      <w:r>
        <w:rPr>
          <w:rFonts w:ascii="Calibri" w:hAnsi="Calibri" w:eastAsia="Consolas"/>
          <w:color w:val="37414B"/>
          <w:sz w:val="17"/>
        </w:rPr>
        <w:t>└────────────┴────────────────────────────────────────────┘</w:t>
      </w:r>
    </w:p>
    <w:p>
      <w:pPr>
        <w:pStyle w:val="Heading2"/>
      </w:pPr>
      <w:r>
        <w:t>10.2 通用列表页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[关键词] [状态▼] [负责人▼] [日期范围] [查询] [重置]    [+ 新建] [导出]</w:t>
      </w:r>
      <w:r>
        <w:br/>
      </w:r>
      <w:r>
        <w:rPr>
          <w:rFonts w:ascii="Calibri" w:hAnsi="Calibri" w:eastAsia="Consolas"/>
          <w:color w:val="37414B"/>
          <w:sz w:val="17"/>
        </w:rPr>
        <w:t>┌□─编号────名称────────客户────负责人────状态────更新时间──操作┐</w:t>
      </w:r>
      <w:r>
        <w:br/>
      </w:r>
      <w:r>
        <w:rPr>
          <w:rFonts w:ascii="Calibri" w:hAnsi="Calibri" w:eastAsia="Consolas"/>
          <w:color w:val="37414B"/>
          <w:sz w:val="17"/>
        </w:rPr>
        <w:t>│□  ...     ...         ...     ...       ...      ...       查看│</w:t>
      </w:r>
      <w:r>
        <w:br/>
      </w:r>
      <w:r>
        <w:rPr>
          <w:rFonts w:ascii="Calibri" w:hAnsi="Calibri" w:eastAsia="Consolas"/>
          <w:color w:val="37414B"/>
          <w:sz w:val="17"/>
        </w:rPr>
        <w:t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alibri" w:hAnsi="Calibri" w:eastAsia="Consolas"/>
          <w:color w:val="37414B"/>
          <w:sz w:val="17"/>
        </w:rPr>
        <w:t xml:space="preserve">                                      第 1/20 页  &lt; 1 2 3 &gt;</w:t>
      </w:r>
    </w:p>
    <w:p>
      <w:pPr>
        <w:pStyle w:val="Heading2"/>
      </w:pPr>
      <w:r>
        <w:t>10.3 项目详情全景页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项目编号 / 项目名称       [实施中]   负责人   客户   合同额   收款率</w:t>
      </w:r>
      <w:r>
        <w:br/>
      </w:r>
      <w:r>
        <w:rPr>
          <w:rFonts w:ascii="Calibri" w:hAnsi="Calibri" w:eastAsia="Consolas"/>
          <w:color w:val="37414B"/>
          <w:sz w:val="17"/>
        </w:rPr>
        <w:t>[概况][成员][线索][投标][合同][阶段进度][问题风险][成果][验收]</w:t>
      </w:r>
      <w:r>
        <w:br/>
      </w:r>
      <w:r>
        <w:rPr>
          <w:rFonts w:ascii="Calibri" w:hAnsi="Calibri" w:eastAsia="Consolas"/>
          <w:color w:val="37414B"/>
          <w:sz w:val="17"/>
        </w:rPr>
        <w:t>[开票收款][费用付款][合作方结算][保证金][项目利润][文件][操作日志]</w:t>
      </w:r>
      <w:r>
        <w:br/>
      </w:r>
      <w:r>
        <w:rPr>
          <w:rFonts w:ascii="Calibri" w:hAnsi="Calibri" w:eastAsia="Consolas"/>
          <w:color w:val="37414B"/>
          <w:sz w:val="17"/>
        </w:rPr>
        <w:t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ascii="Calibri" w:hAnsi="Calibri" w:eastAsia="Consolas"/>
          <w:color w:val="37414B"/>
          <w:sz w:val="17"/>
        </w:rPr>
        <w:t>左：当前页签业务数据                 右：项目时间轴 / 待办 / 快捷操作</w:t>
      </w:r>
    </w:p>
    <w:p>
      <w:pPr>
        <w:pStyle w:val="Heading2"/>
      </w:pPr>
      <w:r>
        <w:t>10.4 表单与审批页</w:t>
      </w:r>
    </w:p>
    <w:p>
      <w:pPr>
        <w:spacing w:after="160"/>
        <w:ind w:left="288"/>
      </w:pPr>
      <w:r>
        <w:rPr>
          <w:rFonts w:ascii="Calibri" w:hAnsi="Calibri" w:eastAsia="Consolas"/>
          <w:color w:val="37414B"/>
          <w:sz w:val="17"/>
        </w:rPr>
        <w:t>基础信息  → 业务信息 → 金额/计划 → 附件 → 提交确认</w:t>
      </w:r>
      <w:r>
        <w:br/>
      </w:r>
      <w:r>
        <w:rPr>
          <w:rFonts w:ascii="Calibri" w:hAnsi="Calibri" w:eastAsia="Consolas"/>
          <w:color w:val="37414B"/>
          <w:sz w:val="17"/>
        </w:rPr>
        <w:t>[保存草稿] [提交审批]</w:t>
      </w:r>
      <w:r>
        <w:br/>
      </w:r>
      <w:r>
        <w:rPr>
          <w:rFonts w:ascii="Calibri" w:hAnsi="Calibri" w:eastAsia="Consolas"/>
          <w:color w:val="37414B"/>
          <w:sz w:val="17"/>
        </w:rPr>
        <w:t>右侧：当前节点、审批人、完整审批轨迹、退回意见</w:t>
      </w:r>
    </w:p>
    <w:p>
      <w:pPr>
        <w:pStyle w:val="Heading1"/>
      </w:pPr>
      <w:r>
        <w:t>11. 数据库模块划分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iam_*</w:t>
      </w:r>
      <w:r>
        <w:rPr>
          <w:rFonts w:ascii="Calibri" w:hAnsi="Calibri" w:eastAsia="Microsoft YaHei"/>
        </w:rPr>
        <w:t>：用户、员工、角色、权限、用户角色、角色权限、数据范围、敏感字段授权。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sys_*</w:t>
      </w:r>
      <w:r>
        <w:rPr>
          <w:rFonts w:ascii="Calibri" w:hAnsi="Calibri" w:eastAsia="Microsoft YaHei"/>
        </w:rPr>
        <w:t>：字典、编号规则、参数、消息、通知模板、审计日志、迁移版本。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crm_*</w:t>
      </w:r>
      <w:r>
        <w:rPr>
          <w:rFonts w:ascii="Calibri" w:hAnsi="Calibri" w:eastAsia="Microsoft YaHei"/>
        </w:rPr>
        <w:t>：往来单位、联系人、拜访。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mkt_*</w:t>
      </w:r>
      <w:r>
        <w:rPr>
          <w:rFonts w:ascii="Calibri" w:hAnsi="Calibri" w:eastAsia="Microsoft YaHei"/>
        </w:rPr>
        <w:t>：线索、跟进、市场报备。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pm_*</w:t>
      </w:r>
      <w:r>
        <w:rPr>
          <w:rFonts w:ascii="Calibri" w:hAnsi="Calibri" w:eastAsia="Microsoft YaHei"/>
        </w:rPr>
        <w:t>：项目、成员、状态历史、启动、阶段、进展、问题、变更、成果、验收、结项。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bid_*</w:t>
      </w:r>
      <w:r>
        <w:rPr>
          <w:rFonts w:ascii="Calibri" w:hAnsi="Calibri" w:eastAsia="Microsoft YaHei"/>
        </w:rPr>
        <w:t>：投标、任务、检查、结果、友商配合。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contract_*</w:t>
      </w:r>
      <w:r>
        <w:rPr>
          <w:rFonts w:ascii="Calibri" w:hAnsi="Calibri" w:eastAsia="Microsoft YaHei"/>
        </w:rPr>
        <w:t>：合同、付款/开票条款、合同变更与版本。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fin_*</w:t>
      </w:r>
      <w:r>
        <w:rPr>
          <w:rFonts w:ascii="Calibri" w:hAnsi="Calibri" w:eastAsia="Microsoft YaHei"/>
        </w:rPr>
        <w:t>：开票申请、销项发票、收款、报销、付款申请、实际付款、保证金。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partner_*</w:t>
      </w:r>
      <w:r>
        <w:rPr>
          <w:rFonts w:ascii="Calibri" w:hAnsi="Calibri" w:eastAsia="Microsoft YaHei"/>
        </w:rPr>
        <w:t>：合作分配方案、合作方结算。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purchase_*</w:t>
      </w:r>
      <w:r>
        <w:rPr>
          <w:rFonts w:ascii="Calibri" w:hAnsi="Calibri" w:eastAsia="Microsoft YaHei"/>
        </w:rPr>
        <w:t>：日常采购。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wf_*</w:t>
      </w:r>
      <w:r>
        <w:rPr>
          <w:rFonts w:ascii="Calibri" w:hAnsi="Calibri" w:eastAsia="Microsoft YaHei"/>
        </w:rPr>
        <w:t>：预设模板、顺序节点、金额阈值、实例、任务、动作历史、抄送；不支持任意流程设计。</w:t>
      </w:r>
    </w:p>
    <w:p>
      <w:pPr>
        <w:pStyle w:val="ListBullet"/>
      </w:pPr>
      <w:r>
        <w:rPr>
          <w:rFonts w:ascii="Calibri" w:hAnsi="Calibri" w:eastAsia="Consolas"/>
          <w:color w:val="1F4D78"/>
          <w:sz w:val="19"/>
        </w:rPr>
        <w:t>file_*</w:t>
      </w:r>
      <w:r>
        <w:rPr>
          <w:rFonts w:ascii="Calibri" w:hAnsi="Calibri" w:eastAsia="Microsoft YaHei"/>
        </w:rPr>
        <w:t>：文件元数据、业务关联、版本、访问日志。</w:t>
      </w:r>
    </w:p>
    <w:p>
      <w:pPr>
        <w:pStyle w:val="Heading2"/>
      </w:pPr>
      <w:r>
        <w:t>11.1 字段级数据字典约束</w:t>
      </w:r>
    </w:p>
    <w:p>
      <w:r>
        <w:rPr>
          <w:rFonts w:ascii="Calibri" w:hAnsi="Calibri" w:eastAsia="Microsoft YaHei"/>
        </w:rPr>
        <w:t>详细建表阶段必须以本节和第 5 节字段清单为准，不得自行改变业务含义：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0"/>
        <w:gridCol w:w="3075"/>
        <w:gridCol w:w="5215"/>
      </w:tblGrid>
      <w:tr>
        <w:trPr>
          <w:cantSplit/>
        </w:trPr>
        <w:tc>
          <w:tcPr>
            <w:tcW w:type="dxa" w:w="10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字段类别</w:t>
            </w:r>
          </w:p>
        </w:tc>
        <w:tc>
          <w:tcPr>
            <w:tcW w:type="dxa" w:w="307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MySQL 类型/约束</w:t>
            </w:r>
          </w:p>
        </w:tc>
        <w:tc>
          <w:tcPr>
            <w:tcW w:type="dxa" w:w="52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统一规则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主键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BIGINT UNSIGNED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后端生成或数据库生成；前端不得信任自报主键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业务编号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VARCHAR(32)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非空、唯一索引、生成后不可修改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外键/逻辑关联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BIGINT UNSIGNED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关键主从关系使用外键或等价的事务内存在性校验并建索引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金额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DECIMAL(18,2)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禁止 FLOAT/DOUBLE；非负字段加业务校验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比例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DECIMAL(9,6)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 xml:space="preserve">数据库存 0～1，小数计算后 </w:t>
            </w:r>
            <w:r>
              <w:rPr>
                <w:rFonts w:ascii="Calibri" w:hAnsi="Calibri" w:eastAsia="Consolas"/>
                <w:color w:val="1F4D78"/>
                <w:sz w:val="19"/>
              </w:rPr>
              <w:t>ROUND_HALF_UP</w:t>
            </w:r>
            <w:r>
              <w:rPr>
                <w:rFonts w:ascii="Calibri" w:hAnsi="Calibri" w:eastAsia="Microsoft YaHei"/>
              </w:rPr>
              <w:t xml:space="preserve"> 到金额分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日期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DATE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仅表达自然日；无时区换算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时间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DATETIME(3)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服务端统一写入，接口使用 ISO 8601；展示按 Asia/Shanghai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状态/类型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VARCHAR(32)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仅接受后端枚举代码，中文为字典显示值，不存自由文本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长文本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TEXT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富文本须清洗；普通说明禁止存可执行 HTML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布尔值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TINYINT(1)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仅 0/1，设置明确默认值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乐观锁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INT UNSIGNED version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初始 1，更新时校验并递增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逻辑删除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TINYINT(1) is_deleted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默认 0；审批通过业务原则上只作废不删除</w:t>
            </w:r>
          </w:p>
        </w:tc>
      </w:tr>
      <w:tr>
        <w:trPr>
          <w:cantSplit/>
        </w:trPr>
        <w:tc>
          <w:tcPr>
            <w:tcW w:type="dxa" w:w="1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审计字段</w:t>
            </w:r>
          </w:p>
        </w:tc>
        <w:tc>
          <w:tcPr>
            <w:tcW w:type="dxa" w:w="3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创建/修改人和时间</w:t>
            </w:r>
          </w:p>
        </w:tc>
        <w:tc>
          <w:tcPr>
            <w:tcW w:type="dxa" w:w="52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核心表非空，由后端从会话写入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P0 关系表逐字段定义如下，其余业务表在迁移脚本前按相同格式展开并接受字段审计：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73"/>
        <w:gridCol w:w="1993"/>
        <w:gridCol w:w="1300"/>
        <w:gridCol w:w="1387"/>
        <w:gridCol w:w="1907"/>
      </w:tblGrid>
      <w:tr>
        <w:trPr>
          <w:cantSplit/>
        </w:trPr>
        <w:tc>
          <w:tcPr>
            <w:tcW w:type="dxa" w:w="277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表</w:t>
            </w:r>
          </w:p>
        </w:tc>
        <w:tc>
          <w:tcPr>
            <w:tcW w:type="dxa" w:w="19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字段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138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必填/约束</w:t>
            </w:r>
          </w:p>
        </w:tc>
        <w:tc>
          <w:tcPr>
            <w:tcW w:type="dxa" w:w="190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含义与验收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pm_initiation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application_no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VARCHAR(32)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非空唯一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LA-YYYY-NNNN</w:t>
            </w:r>
            <w:r>
              <w:rPr>
                <w:rFonts w:ascii="Calibri" w:hAnsi="Calibri" w:eastAsia="Microsoft YaHei"/>
              </w:rPr>
              <w:t>，退回重提不改变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pm_initiation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lead_id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BIGINT UNSIGNED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可空；有效线索唯一约束由事务校验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来源线索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pm_project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project_no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VARCHAR(32)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非空唯一不可修改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 xml:space="preserve">仅立项通过生成 </w:t>
            </w:r>
            <w:r>
              <w:rPr>
                <w:rFonts w:ascii="Calibri" w:hAnsi="Calibri" w:eastAsia="Consolas"/>
                <w:color w:val="1F4D78"/>
                <w:sz w:val="19"/>
              </w:rPr>
              <w:t>ZK-YYYY-NNNN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fin_receipt_invoice_allocation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receipt_id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BIGINT UNSIGNED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非空联合索引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收款 ID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fin_receipt_invoice_allocation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invoice_id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BIGINT UNSIGNED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非空联合索引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发票 ID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fin_receipt_invoice_allocation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allocated_amount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大于 0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不得超过收款余额和发票未核销额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fin_receipt_invoice_allocation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allocated_at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DATETIME(3)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核销时间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fin_receipt_invoice_allocation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operator_id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BIGINT UNSIGNED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操作人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fin_expense_claim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total_amount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非空、只读汇总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等于有效明细金额之和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fin_expense_item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claim_id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BIGINT UNSIGNED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非空索引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报销主表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fin_expense_item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expense_type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VARCHAR(32)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非空枚举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费用类型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fin_expense_item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occurred_on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DATE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发生日期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fin_expense_item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amount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大于 0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明细金额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fin_expense_item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has_invoice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TINYINT(1)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非空默认 0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是否有票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fin_payment_detail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payment_request_id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BIGINT UNSIGNED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非空索引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来源付款申请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fin_payment_detail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paid_amount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大于 0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累计不得超过批准金额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partner_plan_version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version_no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INT UNSIGNED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项目+方案内唯一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方案版本号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partner_plan_version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basis_type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VARCHAR(32)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非空枚举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固定额/合同不含税/实收/毛利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partner_plan_version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share_rate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DECIMAL(9,6)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比例模式必填，0～1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分成比例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partner_settlement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basis_snapshot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生成时冻结的基数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partner_settlement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rate_snapshot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DECIMAL(9,6)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按比例时非空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生成时冻结的比例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partner_settlement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rule_snapshot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JSON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非空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可扣成本、舍入和版本等不可变快照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partner_settlement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confirmed_cost_amount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审批通过后非空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只计一次已确认成本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fin_deposit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occupied_amount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非负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已缴未退资金占用，不计成本</w:t>
            </w:r>
          </w:p>
        </w:tc>
      </w:tr>
      <w:tr>
        <w:trPr>
          <w:cantSplit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fin_deposit</w:t>
            </w:r>
          </w:p>
        </w:tc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onsolas"/>
                <w:color w:val="1F4D78"/>
                <w:sz w:val="19"/>
              </w:rPr>
              <w:t>loss_confirmed_amount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DECIMAL(18,2)</w:t>
            </w:r>
          </w:p>
        </w:tc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默认 0</w:t>
            </w:r>
          </w:p>
        </w:tc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没收且损失审批后才计成本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 xml:space="preserve">字段敏感级别使用 </w:t>
      </w:r>
      <w:r>
        <w:rPr>
          <w:rFonts w:ascii="Calibri" w:hAnsi="Calibri" w:eastAsia="Consolas"/>
          <w:color w:val="1F4D78"/>
          <w:sz w:val="19"/>
        </w:rPr>
        <w:t>PUBLIC/INTERNAL/SENSITIVE/RESTRICTED</w:t>
      </w:r>
      <w:r>
        <w:rPr>
          <w:rFonts w:ascii="Calibri" w:hAnsi="Calibri" w:eastAsia="Microsoft YaHei"/>
        </w:rPr>
        <w:t xml:space="preserve"> 四级；合同金额和普通成本为 </w:t>
      </w:r>
      <w:r>
        <w:rPr>
          <w:rFonts w:ascii="Calibri" w:hAnsi="Calibri" w:eastAsia="Consolas"/>
          <w:color w:val="1F4D78"/>
          <w:sz w:val="19"/>
        </w:rPr>
        <w:t>SENSITIVE</w:t>
      </w:r>
      <w:r>
        <w:rPr>
          <w:rFonts w:ascii="Calibri" w:hAnsi="Calibri" w:eastAsia="Microsoft YaHei"/>
        </w:rPr>
        <w:t xml:space="preserve">，利润、合作比例、结算金额、银行账号为 </w:t>
      </w:r>
      <w:r>
        <w:rPr>
          <w:rFonts w:ascii="Calibri" w:hAnsi="Calibri" w:eastAsia="Consolas"/>
          <w:color w:val="1F4D78"/>
          <w:sz w:val="19"/>
        </w:rPr>
        <w:t>RESTRICTED</w:t>
      </w:r>
      <w:r>
        <w:rPr>
          <w:rFonts w:ascii="Calibri" w:hAnsi="Calibri" w:eastAsia="Microsoft YaHei"/>
        </w:rPr>
        <w:t>。完整字段字典将作为版本化数据库设计文件，与首个迁移脚本同步交付并自动校验金额类型、索引和非空约束。</w:t>
      </w:r>
    </w:p>
    <w:p>
      <w:pPr>
        <w:pStyle w:val="Heading1"/>
      </w:pPr>
      <w:r>
        <w:t>12. 关键业务规则</w:t>
      </w:r>
    </w:p>
    <w:p>
      <w:pPr>
        <w:pStyle w:val="ListNumber"/>
      </w:pPr>
      <w:r>
        <w:rPr>
          <w:rFonts w:ascii="Calibri" w:hAnsi="Calibri" w:eastAsia="Microsoft YaHei"/>
        </w:rPr>
        <w:t>已提交审批不可物理删除；审批通过只能作废并记录原因。</w:t>
      </w:r>
    </w:p>
    <w:p>
      <w:pPr>
        <w:pStyle w:val="ListNumber"/>
      </w:pPr>
      <w:r>
        <w:rPr>
          <w:rFonts w:ascii="Calibri" w:hAnsi="Calibri" w:eastAsia="Microsoft YaHei"/>
        </w:rPr>
        <w:t>已有关联合同、收付款或结算的数据不可删除。</w:t>
      </w:r>
    </w:p>
    <w:p>
      <w:pPr>
        <w:pStyle w:val="ListNumber"/>
      </w:pPr>
      <w:r>
        <w:rPr>
          <w:rFonts w:ascii="Calibri" w:hAnsi="Calibri" w:eastAsia="Microsoft YaHei"/>
        </w:rPr>
        <w:t xml:space="preserve">立项申请编号默认 </w:t>
      </w:r>
      <w:r>
        <w:rPr>
          <w:rFonts w:ascii="Calibri" w:hAnsi="Calibri" w:eastAsia="Consolas"/>
          <w:color w:val="1F4D78"/>
          <w:sz w:val="19"/>
        </w:rPr>
        <w:t>LA-YYYY-NNNN</w:t>
      </w:r>
      <w:r>
        <w:rPr>
          <w:rFonts w:ascii="Calibri" w:hAnsi="Calibri" w:eastAsia="Microsoft YaHei"/>
        </w:rPr>
        <w:t xml:space="preserve">；审批通过后生成正式项目编号 </w:t>
      </w:r>
      <w:r>
        <w:rPr>
          <w:rFonts w:ascii="Calibri" w:hAnsi="Calibri" w:eastAsia="Consolas"/>
          <w:color w:val="1F4D78"/>
          <w:sz w:val="19"/>
        </w:rPr>
        <w:t>ZK-YYYY-NNNN</w:t>
      </w:r>
      <w:r>
        <w:rPr>
          <w:rFonts w:ascii="Calibri" w:hAnsi="Calibri" w:eastAsia="Microsoft YaHei"/>
        </w:rPr>
        <w:t>。未通过申请不占正式编号；同一线索最多关联一个非取消/非终止的正式项目；正式项目编号生成后不可修改。</w:t>
      </w:r>
    </w:p>
    <w:p>
      <w:pPr>
        <w:pStyle w:val="ListNumber"/>
      </w:pPr>
      <w:r>
        <w:rPr>
          <w:rFonts w:ascii="Calibri" w:hAnsi="Calibri" w:eastAsia="Microsoft YaHei"/>
        </w:rPr>
        <w:t>合同累计开票不得超过有效合同可开票金额（授权的调整流程除外）；合同有效金额取已生效主合同及补充协议净额，作废/终止未履行部分不计入，暂定金额默认不进入合同利润，待确认为正式金额后进入。</w:t>
      </w:r>
    </w:p>
    <w:p>
      <w:pPr>
        <w:pStyle w:val="ListNumber"/>
      </w:pPr>
      <w:r>
        <w:rPr>
          <w:rFonts w:ascii="Calibri" w:hAnsi="Calibri" w:eastAsia="Microsoft YaHei"/>
        </w:rPr>
        <w:t>合同累计收款、付款、核销、结算均按有效明细实时汇总，禁止人工覆盖汇总值。</w:t>
      </w:r>
    </w:p>
    <w:p>
      <w:pPr>
        <w:pStyle w:val="ListNumber"/>
      </w:pPr>
      <w:r>
        <w:rPr>
          <w:rFonts w:ascii="Calibri" w:hAnsi="Calibri" w:eastAsia="Microsoft YaHei"/>
        </w:rPr>
        <w:t>项目结项前校验验收、应收、应付、保证金、成果归档和未关闭问题。存在未收款、未退保证金或未关闭问题时，允许发起“带遗留事项结项”，但仅公司负责人可以特批；申请必须逐项记录遗留事项、责任人和完成期限，逾期持续提醒并保留跟踪记录。</w:t>
      </w:r>
    </w:p>
    <w:p>
      <w:pPr>
        <w:pStyle w:val="ListNumber"/>
      </w:pPr>
      <w:r>
        <w:rPr>
          <w:rFonts w:ascii="Calibri" w:hAnsi="Calibri" w:eastAsia="Microsoft YaHei"/>
        </w:rPr>
        <w:t xml:space="preserve">合作方案默认支持固定金额、有效收入合同不含税金额、实际收款金额、项目毛利四种基数。采用十进制 </w:t>
      </w:r>
      <w:r>
        <w:rPr>
          <w:rFonts w:ascii="Calibri" w:hAnsi="Calibri" w:eastAsia="Consolas"/>
          <w:color w:val="1F4D78"/>
          <w:sz w:val="19"/>
        </w:rPr>
        <w:t>ROUND_HALF_UP</w:t>
      </w:r>
      <w:r>
        <w:rPr>
          <w:rFonts w:ascii="Calibri" w:hAnsi="Calibri" w:eastAsia="Microsoft YaHei"/>
        </w:rPr>
        <w:t xml:space="preserve"> 四舍五入到分；同一项目同一基数下有效合作方比例合计默认不得超过 100%，超出必须阻止启用。毛利基数只扣除已确认直接项目成本，不扣保证金、未确认预算和内部资金调拨。</w:t>
      </w:r>
    </w:p>
    <w:p>
      <w:pPr>
        <w:pStyle w:val="ListNumber"/>
      </w:pPr>
      <w:r>
        <w:rPr>
          <w:rFonts w:ascii="Calibri" w:hAnsi="Calibri" w:eastAsia="Microsoft YaHei"/>
        </w:rPr>
        <w:t>所有写接口使用事务；提交、审批、付款登记等接口使用幂等键防重复。</w:t>
      </w:r>
    </w:p>
    <w:p>
      <w:pPr>
        <w:pStyle w:val="ListNumber"/>
      </w:pPr>
      <w:r>
        <w:rPr>
          <w:rFonts w:ascii="Calibri" w:hAnsi="Calibri" w:eastAsia="Microsoft YaHei"/>
        </w:rPr>
        <w:t>列表强制分页；导出受权限、数据范围、数量上限控制并记录日志。</w:t>
      </w:r>
    </w:p>
    <w:p>
      <w:pPr>
        <w:pStyle w:val="ListNumber"/>
      </w:pPr>
      <w:r>
        <w:rPr>
          <w:rFonts w:ascii="Calibri" w:hAnsi="Calibri" w:eastAsia="Microsoft YaHei"/>
        </w:rPr>
        <w:t>文件下载先校验业务对象权限；重要文件新增版本而非覆盖。</w:t>
      </w:r>
    </w:p>
    <w:p>
      <w:pPr>
        <w:pStyle w:val="ListNumber"/>
      </w:pPr>
      <w:r>
        <w:rPr>
          <w:rFonts w:ascii="Calibri" w:hAnsi="Calibri" w:eastAsia="Microsoft YaHei"/>
        </w:rPr>
        <w:t>所有经营看板显著标注“内部项目经营口径，不属于会计利润”。</w:t>
      </w:r>
    </w:p>
    <w:p>
      <w:pPr>
        <w:pStyle w:val="Heading2"/>
      </w:pPr>
      <w:r>
        <w:t>12.1 成本与资金口径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1"/>
        <w:gridCol w:w="6294"/>
        <w:gridCol w:w="1775"/>
      </w:tblGrid>
      <w:tr>
        <w:trPr>
          <w:cantSplit/>
        </w:trPr>
        <w:tc>
          <w:tcPr>
            <w:tcW w:type="dxa" w:w="129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指标</w:t>
            </w:r>
          </w:p>
        </w:tc>
        <w:tc>
          <w:tcPr>
            <w:tcW w:type="dxa" w:w="629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固定计算规则</w:t>
            </w:r>
          </w:p>
        </w:tc>
        <w:tc>
          <w:tcPr>
            <w:tcW w:type="dxa" w:w="177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进入时点</w:t>
            </w:r>
          </w:p>
        </w:tc>
      </w:tr>
      <w:tr>
        <w:trPr>
          <w:cantSplit/>
        </w:trPr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预计成本</w:t>
            </w:r>
          </w:p>
        </w:tc>
        <w:tc>
          <w:tcPr>
            <w:tcW w:type="dxa" w:w="6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立项预计成本及批准后的预算调整</w:t>
            </w:r>
          </w:p>
        </w:tc>
        <w:tc>
          <w:tcPr>
            <w:tcW w:type="dxa" w:w="17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立项或预算变更生效</w:t>
            </w:r>
          </w:p>
        </w:tc>
      </w:tr>
      <w:tr>
        <w:trPr>
          <w:cantSplit/>
        </w:trPr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已确认成本</w:t>
            </w:r>
          </w:p>
        </w:tc>
        <w:tc>
          <w:tcPr>
            <w:tcW w:type="dxa" w:w="6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已审批报销明细＋已审批合作方结算＋已确认支出合同履约金额＋经批准转损失的保证金</w:t>
            </w:r>
          </w:p>
        </w:tc>
        <w:tc>
          <w:tcPr>
            <w:tcW w:type="dxa" w:w="17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各来源单据达到确认节点</w:t>
            </w:r>
          </w:p>
        </w:tc>
      </w:tr>
      <w:tr>
        <w:trPr>
          <w:cantSplit/>
        </w:trPr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已支付金额</w:t>
            </w:r>
          </w:p>
        </w:tc>
        <w:tc>
          <w:tcPr>
            <w:tcW w:type="dxa" w:w="6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来源为项目经营支出的有效付款明细合计</w:t>
            </w:r>
          </w:p>
        </w:tc>
        <w:tc>
          <w:tcPr>
            <w:tcW w:type="dxa" w:w="17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实际付款登记完成</w:t>
            </w:r>
          </w:p>
        </w:tc>
      </w:tr>
      <w:tr>
        <w:trPr>
          <w:cantSplit/>
        </w:trPr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现金流出</w:t>
            </w:r>
          </w:p>
        </w:tc>
        <w:tc>
          <w:tcPr>
            <w:tcW w:type="dxa" w:w="6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项目实际经营付款合计</w:t>
            </w:r>
          </w:p>
        </w:tc>
        <w:tc>
          <w:tcPr>
            <w:tcW w:type="dxa" w:w="17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实际付款登记完成</w:t>
            </w:r>
          </w:p>
        </w:tc>
      </w:tr>
      <w:tr>
        <w:trPr>
          <w:cantSplit/>
        </w:trPr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资金占用</w:t>
            </w:r>
          </w:p>
        </w:tc>
        <w:tc>
          <w:tcPr>
            <w:tcW w:type="dxa" w:w="62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已缴未退保证金等暂时性资金占用</w:t>
            </w:r>
          </w:p>
        </w:tc>
        <w:tc>
          <w:tcPr>
            <w:tcW w:type="dxa" w:w="17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缴纳至退回/转损失期间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icrosoft YaHei"/>
        </w:rPr>
        <w:t>付款申请审批不新增成本；付款明细只更新已支付和现金流，不重复增加已确认成本。</w:t>
      </w:r>
    </w:p>
    <w:p>
      <w:pPr>
        <w:pStyle w:val="ListBullet"/>
      </w:pPr>
      <w:r>
        <w:rPr>
          <w:rFonts w:ascii="Calibri" w:hAnsi="Calibri" w:eastAsia="Microsoft YaHei"/>
        </w:rPr>
        <w:t>报销审批通过形成已确认成本；后续付款只更新支付指标。</w:t>
      </w:r>
    </w:p>
    <w:p>
      <w:pPr>
        <w:pStyle w:val="ListBullet"/>
      </w:pPr>
      <w:r>
        <w:rPr>
          <w:rFonts w:ascii="Calibri" w:hAnsi="Calibri" w:eastAsia="Microsoft YaHei"/>
        </w:rPr>
        <w:t>合作方结算审批通过形成已确认成本；生成付款申请和实际付款均不得再次计成本。</w:t>
      </w:r>
    </w:p>
    <w:p>
      <w:pPr>
        <w:pStyle w:val="ListBullet"/>
      </w:pPr>
      <w:r>
        <w:rPr>
          <w:rFonts w:ascii="Calibri" w:hAnsi="Calibri" w:eastAsia="Microsoft YaHei"/>
        </w:rPr>
        <w:t>投标、履约等保证金支付和退回不进入成本或利润；仅在确认没收并通过损失确认后计入已确认成本。</w:t>
      </w:r>
    </w:p>
    <w:p>
      <w:pPr>
        <w:pStyle w:val="ListBullet"/>
      </w:pPr>
      <w:r>
        <w:rPr>
          <w:rFonts w:ascii="Calibri" w:hAnsi="Calibri" w:eastAsia="Microsoft YaHei"/>
        </w:rPr>
        <w:t>支出合同不得以“合同金额”和“报销/结算来源”重复确认同一义务；来源类型和来源 ID 必须唯一追踪，冲销采用反向明细。</w:t>
      </w:r>
    </w:p>
    <w:p>
      <w:pPr>
        <w:pStyle w:val="Heading2"/>
      </w:pPr>
      <w:r>
        <w:t>12.2 利润与贡献口径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6"/>
        <w:gridCol w:w="5707"/>
        <w:gridCol w:w="1827"/>
      </w:tblGrid>
      <w:tr>
        <w:trPr>
          <w:cantSplit/>
        </w:trPr>
        <w:tc>
          <w:tcPr>
            <w:tcW w:type="dxa" w:w="182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指标</w:t>
            </w:r>
          </w:p>
        </w:tc>
        <w:tc>
          <w:tcPr>
            <w:tcW w:type="dxa" w:w="570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固定公式</w:t>
            </w:r>
          </w:p>
        </w:tc>
        <w:tc>
          <w:tcPr>
            <w:tcW w:type="dxa" w:w="182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预计利润</w:t>
            </w:r>
          </w:p>
        </w:tc>
        <w:tc>
          <w:tcPr>
            <w:tcW w:type="dxa" w:w="5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预计收入（默认不含税）－预计成本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立项决策</w:t>
            </w:r>
          </w:p>
        </w:tc>
      </w:tr>
      <w:tr>
        <w:trPr>
          <w:cantSplit/>
        </w:trP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合同经营利润</w:t>
            </w:r>
          </w:p>
        </w:tc>
        <w:tc>
          <w:tcPr>
            <w:tcW w:type="dxa" w:w="5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有效收入合同确认金额（默认不含税）－已确认项目成本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项目经营判断</w:t>
            </w:r>
          </w:p>
        </w:tc>
      </w:tr>
      <w:tr>
        <w:trPr>
          <w:cantSplit/>
        </w:trP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现金贡献</w:t>
            </w:r>
          </w:p>
        </w:tc>
        <w:tc>
          <w:tcPr>
            <w:tcW w:type="dxa" w:w="5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项目累计实际收款－项目实际经营付款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资金分析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icrosoft YaHei"/>
        </w:rPr>
        <w:t>未支付但已审批的合作方结算进入合同经营利润成本，不进入已支付金额。</w:t>
      </w:r>
    </w:p>
    <w:p>
      <w:pPr>
        <w:pStyle w:val="ListBullet"/>
      </w:pPr>
      <w:r>
        <w:rPr>
          <w:rFonts w:ascii="Calibri" w:hAnsi="Calibri" w:eastAsia="Microsoft YaHei"/>
        </w:rPr>
        <w:t>保证金支付与退回均不影响上述三种利润，只展示资金占用；没收转损失后影响合同经营利润。</w:t>
      </w:r>
    </w:p>
    <w:p>
      <w:pPr>
        <w:pStyle w:val="ListBullet"/>
      </w:pPr>
      <w:r>
        <w:rPr>
          <w:rFonts w:ascii="Calibri" w:hAnsi="Calibri" w:eastAsia="Microsoft YaHei"/>
        </w:rPr>
        <w:t>多份有效收入合同按项目汇总；补充协议按净变更额调整；作废合同不计，已部分履行终止合同只计确认履行额。</w:t>
      </w:r>
    </w:p>
    <w:p>
      <w:pPr>
        <w:pStyle w:val="ListBullet"/>
      </w:pPr>
      <w:r>
        <w:rPr>
          <w:rFonts w:ascii="Calibri" w:hAnsi="Calibri" w:eastAsia="Microsoft YaHei"/>
        </w:rPr>
        <w:t>暂定金额默认不计合同经营利润；经合同变更确认后计入。</w:t>
      </w:r>
    </w:p>
    <w:p>
      <w:pPr>
        <w:pStyle w:val="ListBullet"/>
      </w:pPr>
      <w:r>
        <w:rPr>
          <w:rFonts w:ascii="Calibri" w:hAnsi="Calibri" w:eastAsia="Microsoft YaHei"/>
        </w:rPr>
        <w:t>含税合同必须保存含税金额、不含税金额、税率和税额，利润默认按不含税口径；无法拆税的历史记录显著标注“含税估算”。</w:t>
      </w:r>
    </w:p>
    <w:p>
      <w:pPr>
        <w:pStyle w:val="Heading2"/>
      </w:pPr>
      <w:r>
        <w:t>12.3 合作方结算冻结规则</w:t>
      </w:r>
    </w:p>
    <w:p>
      <w:pPr>
        <w:pStyle w:val="ListNumber"/>
      </w:pPr>
      <w:r>
        <w:rPr>
          <w:rFonts w:ascii="Calibri" w:hAnsi="Calibri" w:eastAsia="Microsoft YaHei"/>
        </w:rPr>
        <w:t>方案每次变更产生新版本及生效日期，不覆盖旧版本。</w:t>
      </w:r>
    </w:p>
    <w:p>
      <w:pPr>
        <w:pStyle w:val="ListNumber"/>
      </w:pPr>
      <w:r>
        <w:rPr>
          <w:rFonts w:ascii="Calibri" w:hAnsi="Calibri" w:eastAsia="Microsoft YaHei"/>
        </w:rPr>
        <w:t>结算单生成时复制方案版本、基数数据、比例、可扣成本范围、舍入规则和计算结果快照。</w:t>
      </w:r>
    </w:p>
    <w:p>
      <w:pPr>
        <w:pStyle w:val="ListNumber"/>
      </w:pPr>
      <w:r>
        <w:rPr>
          <w:rFonts w:ascii="Calibri" w:hAnsi="Calibri" w:eastAsia="Microsoft YaHei"/>
        </w:rPr>
        <w:t>后续方案修改不改变历史结算；已结算部分不重新计算，新规则仅影响生效后的新结算期间。</w:t>
      </w:r>
    </w:p>
    <w:p>
      <w:pPr>
        <w:pStyle w:val="ListNumber"/>
      </w:pPr>
      <w:r>
        <w:rPr>
          <w:rFonts w:ascii="Calibri" w:hAnsi="Calibri" w:eastAsia="Microsoft YaHei"/>
        </w:rPr>
        <w:t>系统按“理论累计可结算－历史有效已结算”计算本次上限，禁止超额提交。</w:t>
      </w:r>
    </w:p>
    <w:p>
      <w:pPr>
        <w:pStyle w:val="Heading2"/>
      </w:pPr>
      <w:r>
        <w:t>12.4 提前启动规则</w:t>
      </w:r>
    </w:p>
    <w:p>
      <w:r>
        <w:rPr>
          <w:rFonts w:ascii="Calibri" w:hAnsi="Calibri" w:eastAsia="Microsoft YaHei"/>
        </w:rPr>
        <w:t>正常启动要求至少存在已签署或履行中的有效合同。无正式合同先开展工作时，项目经理必须选择“提前启动”，提交启动依据、范围、预计金额、预计签约日期和风险，经公司负责人审批后方可进入实施中。系统持续生成合同待补签提醒；超过预计签约日期后标记异常，但不删除既有实施记录。</w:t>
      </w:r>
    </w:p>
    <w:p>
      <w:pPr>
        <w:pStyle w:val="Heading1"/>
      </w:pPr>
      <w:r>
        <w:t>13. CloudBase 落地与安全基线</w:t>
      </w:r>
    </w:p>
    <w:p>
      <w:pPr>
        <w:pStyle w:val="Heading2"/>
      </w:pPr>
      <w:r>
        <w:t>13.1 登录和用户映射</w:t>
      </w:r>
    </w:p>
    <w:p>
      <w:pPr>
        <w:pStyle w:val="ListBullet"/>
      </w:pPr>
      <w:r>
        <w:rPr>
          <w:rFonts w:ascii="Calibri" w:hAnsi="Calibri" w:eastAsia="Microsoft YaHei"/>
        </w:rPr>
        <w:t>首版采用 CloudBase 用户名＋密码认证，禁止员工自行注册，由系统管理员统一创建账号。</w:t>
      </w:r>
    </w:p>
    <w:p>
      <w:pPr>
        <w:pStyle w:val="ListBullet"/>
      </w:pPr>
      <w:r>
        <w:rPr>
          <w:rFonts w:ascii="Calibri" w:hAnsi="Calibri" w:eastAsia="Microsoft YaHei"/>
        </w:rPr>
        <w:t xml:space="preserve">CloudBase </w:t>
      </w:r>
      <w:r>
        <w:rPr>
          <w:rFonts w:ascii="Calibri" w:hAnsi="Calibri" w:eastAsia="Consolas"/>
          <w:color w:val="1F4D78"/>
          <w:sz w:val="19"/>
        </w:rPr>
        <w:t>uid</w:t>
      </w:r>
      <w:r>
        <w:rPr>
          <w:rFonts w:ascii="Calibri" w:hAnsi="Calibri" w:eastAsia="Microsoft YaHei"/>
        </w:rPr>
        <w:t xml:space="preserve"> 与内部 </w:t>
      </w:r>
      <w:r>
        <w:rPr>
          <w:rFonts w:ascii="Calibri" w:hAnsi="Calibri" w:eastAsia="Consolas"/>
          <w:color w:val="1F4D78"/>
          <w:sz w:val="19"/>
        </w:rPr>
        <w:t>iam_user.id</w:t>
      </w:r>
      <w:r>
        <w:rPr>
          <w:rFonts w:ascii="Calibri" w:hAnsi="Calibri" w:eastAsia="Microsoft YaHei"/>
        </w:rPr>
        <w:t xml:space="preserve"> 一对一映射且唯一；内部用户保存员工、部门、启停状态和最后同步时间，不保存明文密码。</w:t>
      </w:r>
    </w:p>
    <w:p>
      <w:pPr>
        <w:pStyle w:val="ListBullet"/>
      </w:pPr>
      <w:r>
        <w:rPr>
          <w:rFonts w:ascii="Calibri" w:hAnsi="Calibri" w:eastAsia="Microsoft YaHei"/>
        </w:rPr>
        <w:t>初次登录强制修改初始密码；密码重置由管理员发起，保留邮箱验证码找回接口但默认关闭。</w:t>
      </w:r>
    </w:p>
    <w:p>
      <w:pPr>
        <w:pStyle w:val="ListBullet"/>
      </w:pPr>
      <w:r>
        <w:rPr>
          <w:rFonts w:ascii="Calibri" w:hAnsi="Calibri" w:eastAsia="Microsoft YaHei"/>
        </w:rPr>
        <w:t>连续 5 次失败锁定 15 分钟；管理员、公司负责人和财务角色预留增强验证开关。</w:t>
      </w:r>
    </w:p>
    <w:p>
      <w:pPr>
        <w:pStyle w:val="ListBullet"/>
      </w:pPr>
      <w:r>
        <w:rPr>
          <w:rFonts w:ascii="Calibri" w:hAnsi="Calibri" w:eastAsia="Microsoft YaHei"/>
        </w:rPr>
        <w:t>离职或停用时先禁用内部用户并使会话失效，再停用 CloudBase 身份；所有接口同时检查 CloudBase 会话和内部启用状态。</w:t>
      </w:r>
    </w:p>
    <w:p>
      <w:pPr>
        <w:pStyle w:val="Heading2"/>
      </w:pPr>
      <w:r>
        <w:t>13.2 私有文件</w:t>
      </w:r>
    </w:p>
    <w:p>
      <w:pPr>
        <w:pStyle w:val="ListBullet"/>
      </w:pPr>
      <w:r>
        <w:rPr>
          <w:rFonts w:ascii="Calibri" w:hAnsi="Calibri" w:eastAsia="Microsoft YaHei"/>
        </w:rPr>
        <w:t>业务文件默认私有，禁止匿名或公开 URL 长期访问。</w:t>
      </w:r>
    </w:p>
    <w:p>
      <w:pPr>
        <w:pStyle w:val="ListBullet"/>
      </w:pPr>
      <w:r>
        <w:rPr>
          <w:rFonts w:ascii="Calibri" w:hAnsi="Calibri" w:eastAsia="Microsoft YaHei"/>
        </w:rPr>
        <w:t>下载流程固定为：前端申请 → 后端验证功能、数据范围、敏感字段/附件权限和业务状态 → 生成短时临时地址 → 记录访问日志。</w:t>
      </w:r>
    </w:p>
    <w:p>
      <w:pPr>
        <w:pStyle w:val="ListBullet"/>
      </w:pPr>
      <w:r>
        <w:rPr>
          <w:rFonts w:ascii="Calibri" w:hAnsi="Calibri" w:eastAsia="Microsoft YaHei"/>
        </w:rPr>
        <w:t>默认单文件上限 100MB；允许 PDF、DOC/DOCX、XLS/XLSX、常见图片、ZIP；EXE、DLL、BAT、CMD、PS1、JS、SH 等可执行或脚本文件默认拒绝。</w:t>
      </w:r>
    </w:p>
    <w:p>
      <w:pPr>
        <w:pStyle w:val="ListBullet"/>
      </w:pPr>
      <w:r>
        <w:rPr>
          <w:rFonts w:ascii="Calibri" w:hAnsi="Calibri" w:eastAsia="Microsoft YaHei"/>
        </w:rPr>
        <w:t>重要附件只新增版本不覆盖；业务记录作废后仍保留；物理删除仅限授权管理员并记录原因和审计日志。</w:t>
      </w:r>
    </w:p>
    <w:p>
      <w:pPr>
        <w:pStyle w:val="Heading2"/>
      </w:pPr>
      <w:r>
        <w:t>13.3 云函数和事务边界</w:t>
      </w:r>
    </w:p>
    <w:p>
      <w:r>
        <w:rPr>
          <w:rFonts w:ascii="Calibri" w:hAnsi="Calibri" w:eastAsia="Microsoft YaHei"/>
        </w:rPr>
        <w:t>后端按身份权限、客户市场、项目、投标合同、项目实施、收入收款、费用付款结算、文件、审批消息、报表定时任务划分约 10 个业务域函数，不按每张表拆函数。同一业务动作中的数据更新、状态历史、审批任务和审计日志必须在同一数据库事务内完成；跨域异步任务使用可重试任务表和幂等键保证最终一致。</w:t>
      </w:r>
    </w:p>
    <w:p>
      <w:pPr>
        <w:pStyle w:val="Heading2"/>
      </w:pPr>
      <w:r>
        <w:t>13.4 环境与生产门槛</w:t>
      </w:r>
    </w:p>
    <w:p>
      <w:r>
        <w:rPr>
          <w:rFonts w:ascii="Calibri" w:hAnsi="Calibri" w:eastAsia="Microsoft YaHei"/>
        </w:rPr>
        <w:t xml:space="preserve">当前开发环境采用 CloudBase 环境 </w:t>
      </w:r>
      <w:r>
        <w:rPr>
          <w:rFonts w:ascii="Calibri" w:hAnsi="Calibri" w:eastAsia="Consolas"/>
          <w:color w:val="1F4D78"/>
          <w:sz w:val="19"/>
        </w:rPr>
        <w:t>cloudbase-d7gc2b32cd4196059</w:t>
      </w:r>
      <w:r>
        <w:rPr>
          <w:rFonts w:ascii="Calibri" w:hAnsi="Calibri" w:eastAsia="Microsoft YaHei"/>
        </w:rPr>
        <w:t xml:space="preserve">，地域为广州南沙；MySQL 等基础资源已开通。数据库账号、连接信息、存储与云函数配额等在开发接入时由项目方提供或核验，所有密码、SecretKey、API Key 等敏感配置仅允许通过本地 </w:t>
      </w:r>
      <w:r>
        <w:rPr>
          <w:rFonts w:ascii="Calibri" w:hAnsi="Calibri" w:eastAsia="Consolas"/>
          <w:color w:val="1F4D78"/>
          <w:sz w:val="19"/>
        </w:rPr>
        <w:t>.env</w:t>
      </w:r>
      <w:r>
        <w:rPr>
          <w:rFonts w:ascii="Calibri" w:hAnsi="Calibri" w:eastAsia="Microsoft YaHei"/>
        </w:rPr>
        <w:t>（不得提交版本库）或 CloudBase 平台环境变量注入，禁止写入源码、文档示例和前端构建产物。</w:t>
      </w:r>
    </w:p>
    <w:p>
      <w:r>
        <w:rPr>
          <w:rFonts w:ascii="Calibri" w:hAnsi="Calibri" w:eastAsia="Microsoft YaHei"/>
        </w:rPr>
        <w:t>免费环境仅用于开发、测试、演示和短期试运行。正式承载合同、付款、成果和合作结算数据前，必须完成资源、连接数、备份、恢复、配额、有效期和费用评估，并由项目负责人书面确认环境满足生产要求；不以删减安全、日志或备份换取免费运行。生产环境与测试环境原则上分离。</w:t>
      </w:r>
    </w:p>
    <w:p>
      <w:pPr>
        <w:pStyle w:val="Heading1"/>
      </w:pPr>
      <w:r>
        <w:t>14. 非功能验收基线</w:t>
      </w:r>
    </w:p>
    <w:p>
      <w:pPr>
        <w:pStyle w:val="Heading2"/>
      </w:pPr>
      <w:r>
        <w:t>14.1 性能与容量</w:t>
      </w:r>
    </w:p>
    <w:p>
      <w:pPr>
        <w:pStyle w:val="ListBullet"/>
      </w:pPr>
      <w:r>
        <w:rPr>
          <w:rFonts w:ascii="Calibri" w:hAnsi="Calibri" w:eastAsia="Microsoft YaHei"/>
        </w:rPr>
        <w:t>基准数据：不少于 3000 个项目、10000 份合同、50000 条费用及付款明细。</w:t>
      </w:r>
    </w:p>
    <w:p>
      <w:pPr>
        <w:pStyle w:val="ListBullet"/>
      </w:pPr>
      <w:r>
        <w:rPr>
          <w:rFonts w:ascii="Calibri" w:hAnsi="Calibri" w:eastAsia="Microsoft YaHei"/>
        </w:rPr>
        <w:t>列表默认每页 20 条，可切换 50 条，禁止全表加载。</w:t>
      </w:r>
    </w:p>
    <w:p>
      <w:pPr>
        <w:pStyle w:val="ListBullet"/>
      </w:pPr>
      <w:r>
        <w:rPr>
          <w:rFonts w:ascii="Calibri" w:hAnsi="Calibri" w:eastAsia="Microsoft YaHei"/>
        </w:rPr>
        <w:t>30 名用户并发执行典型查询、保存和审批；在约定的生产级 CloudBase 资源及正常企业网络下，95% 普通请求 3 秒内完成，普通保存、提交和审批 5 秒内完成。</w:t>
      </w:r>
    </w:p>
    <w:p>
      <w:pPr>
        <w:pStyle w:val="ListBullet"/>
      </w:pPr>
      <w:r>
        <w:rPr>
          <w:rFonts w:ascii="Calibri" w:hAnsi="Calibri" w:eastAsia="Microsoft YaHei"/>
        </w:rPr>
        <w:t>1000 条以上或预计超过 10 秒的导出转后台任务，不能阻塞普通请求；导出文件有权限和有效期控制。</w:t>
      </w:r>
    </w:p>
    <w:p>
      <w:pPr>
        <w:pStyle w:val="Heading2"/>
      </w:pPr>
      <w:r>
        <w:t>14.2 备份恢复</w:t>
      </w:r>
    </w:p>
    <w:p>
      <w:pPr>
        <w:pStyle w:val="ListBullet"/>
      </w:pPr>
      <w:r>
        <w:rPr>
          <w:rFonts w:ascii="Calibri" w:hAnsi="Calibri" w:eastAsia="Microsoft YaHei"/>
        </w:rPr>
        <w:t>数据库每日自动备份，关键发布前手工备份，备份至少保留 30 天。</w:t>
      </w:r>
    </w:p>
    <w:p>
      <w:pPr>
        <w:pStyle w:val="ListBullet"/>
      </w:pPr>
      <w:r>
        <w:rPr>
          <w:rFonts w:ascii="Calibri" w:hAnsi="Calibri" w:eastAsia="Microsoft YaHei"/>
        </w:rPr>
        <w:t>项目附件启用平台保护能力或定期备份；数据库与附件恢复点需保持可对应。</w:t>
      </w:r>
    </w:p>
    <w:p>
      <w:pPr>
        <w:pStyle w:val="ListBullet"/>
      </w:pPr>
      <w:r>
        <w:rPr>
          <w:rFonts w:ascii="Calibri" w:hAnsi="Calibri" w:eastAsia="Microsoft YaHei"/>
        </w:rPr>
        <w:t>目标 RPO 不超过 24 小时，RTO 不超过 8 小时。</w:t>
      </w:r>
    </w:p>
    <w:p>
      <w:pPr>
        <w:pStyle w:val="ListBullet"/>
      </w:pPr>
      <w:r>
        <w:rPr>
          <w:rFonts w:ascii="Calibri" w:hAnsi="Calibri" w:eastAsia="Microsoft YaHei"/>
        </w:rPr>
        <w:t>上线前完成一次数据库和附件恢复演练，此后至少每半年验证一次，并保存演练记录。</w:t>
      </w:r>
    </w:p>
    <w:p>
      <w:pPr>
        <w:pStyle w:val="Heading2"/>
      </w:pPr>
      <w:r>
        <w:t>14.3 客户端兼容</w:t>
      </w:r>
    </w:p>
    <w:p>
      <w:pPr>
        <w:pStyle w:val="ListBullet"/>
      </w:pPr>
      <w:r>
        <w:rPr>
          <w:rFonts w:ascii="Calibri" w:hAnsi="Calibri" w:eastAsia="Microsoft YaHei"/>
        </w:rPr>
        <w:t>支持 Windows 10 及以上、验收时最新稳定版 Chrome 与 Edge。</w:t>
      </w:r>
    </w:p>
    <w:p>
      <w:pPr>
        <w:pStyle w:val="ListBullet"/>
      </w:pPr>
      <w:r>
        <w:rPr>
          <w:rFonts w:ascii="Calibri" w:hAnsi="Calibri" w:eastAsia="Microsoft YaHei"/>
        </w:rPr>
        <w:t>响应式支持手机浏览器查看、审批和填写简单表单；合同、标书等复杂维护以电脑端为主。</w:t>
      </w:r>
    </w:p>
    <w:p>
      <w:pPr>
        <w:pStyle w:val="ListBullet"/>
      </w:pPr>
      <w:r>
        <w:rPr>
          <w:rFonts w:ascii="Calibri" w:hAnsi="Calibri" w:eastAsia="Microsoft YaHei"/>
        </w:rPr>
        <w:t>首版不开发独立原生 App。</w:t>
      </w:r>
    </w:p>
    <w:p>
      <w:pPr>
        <w:pStyle w:val="Heading1"/>
      </w:pPr>
      <w:r>
        <w:t>15. 开发实施顺序与整体验收</w:t>
      </w:r>
    </w:p>
    <w:p>
      <w:pPr>
        <w:pStyle w:val="ListNumber"/>
      </w:pPr>
      <w:r>
        <w:rPr>
          <w:rFonts w:ascii="Calibri" w:hAnsi="Calibri" w:eastAsia="Microsoft YaHei"/>
        </w:rPr>
        <w:t>工程骨架、CloudBase 接入、身份认证、RBAC、迁移框架、审计日志。</w:t>
      </w:r>
    </w:p>
    <w:p>
      <w:pPr>
        <w:pStyle w:val="ListNumber"/>
      </w:pPr>
      <w:r>
        <w:rPr>
          <w:rFonts w:ascii="Calibri" w:hAnsi="Calibri" w:eastAsia="Microsoft YaHei"/>
        </w:rPr>
        <w:t>基础档案、客户拜访、线索、跟进、立项与项目主档。</w:t>
      </w:r>
    </w:p>
    <w:p>
      <w:pPr>
        <w:pStyle w:val="ListNumber"/>
      </w:pPr>
      <w:r>
        <w:rPr>
          <w:rFonts w:ascii="Calibri" w:hAnsi="Calibri" w:eastAsia="Microsoft YaHei"/>
        </w:rPr>
        <w:t>通用审批引擎、站内消息、状态机、附件服务。</w:t>
      </w:r>
    </w:p>
    <w:p>
      <w:pPr>
        <w:pStyle w:val="ListNumber"/>
      </w:pPr>
      <w:r>
        <w:rPr>
          <w:rFonts w:ascii="Calibri" w:hAnsi="Calibri" w:eastAsia="Microsoft YaHei"/>
        </w:rPr>
        <w:t>投标、合同、项目实施、成果与验收。</w:t>
      </w:r>
    </w:p>
    <w:p>
      <w:pPr>
        <w:pStyle w:val="ListNumber"/>
      </w:pPr>
      <w:r>
        <w:rPr>
          <w:rFonts w:ascii="Calibri" w:hAnsi="Calibri" w:eastAsia="Microsoft YaHei"/>
        </w:rPr>
        <w:t>开票收款、费用付款、合作方结算、保证金、日常采购。</w:t>
      </w:r>
    </w:p>
    <w:p>
      <w:pPr>
        <w:pStyle w:val="ListNumber"/>
      </w:pPr>
      <w:r>
        <w:rPr>
          <w:rFonts w:ascii="Calibri" w:hAnsi="Calibri" w:eastAsia="Microsoft YaHei"/>
        </w:rPr>
        <w:t>结项、项目全景页、经营看板、导出与定时提醒。</w:t>
      </w:r>
    </w:p>
    <w:p>
      <w:pPr>
        <w:pStyle w:val="ListNumber"/>
      </w:pPr>
      <w:r>
        <w:rPr>
          <w:rFonts w:ascii="Calibri" w:hAnsi="Calibri" w:eastAsia="Microsoft YaHei"/>
        </w:rPr>
        <w:t>安全、性能、备份恢复、部署演练、验收用例与操作手册。</w:t>
      </w:r>
    </w:p>
    <w:p>
      <w:r>
        <w:rPr>
          <w:rFonts w:ascii="Calibri" w:hAnsi="Calibri" w:eastAsia="Microsoft YaHei"/>
        </w:rPr>
        <w:t>最终仍按需求一次性整体验收上线，不将上述顺序解释为删减范围或分期交付。</w:t>
      </w:r>
    </w:p>
    <w:p>
      <w:pPr>
        <w:pStyle w:val="Heading1"/>
      </w:pPr>
      <w:r>
        <w:t>16. 结果型验收用例</w:t>
      </w:r>
    </w:p>
    <w:p>
      <w:r>
        <w:rPr>
          <w:rFonts w:ascii="Calibri" w:hAnsi="Calibri" w:eastAsia="Microsoft YaHei"/>
        </w:rPr>
        <w:t>除原需求的端到端场景外，至少通过以下计算与约束用例：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41"/>
        <w:gridCol w:w="3786"/>
        <w:gridCol w:w="4733"/>
      </w:tblGrid>
      <w:tr>
        <w:trPr>
          <w:cantSplit/>
        </w:trPr>
        <w:tc>
          <w:tcPr>
            <w:tcW w:type="dxa" w:w="84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编号</w:t>
            </w:r>
          </w:p>
        </w:tc>
        <w:tc>
          <w:tcPr>
            <w:tcW w:type="dxa" w:w="378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测试数据与操作</w:t>
            </w:r>
          </w:p>
        </w:tc>
        <w:tc>
          <w:tcPr>
            <w:tcW w:type="dxa" w:w="473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AC-01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 100 万元，先后开票 30 万、50 万，再申请 30 万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累计开票 80 万、可开 20 万；第三次普通申请被阻止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AC-02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一张 50 万发票，分两次收款并核销 20 万、30 万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发票已核销 50 万，合同累计收款正确，发票状态为已核销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AC-03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一笔 60 万收款分别核销两张发票 20 万、30 万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核销 50 万，收款未分配余额 10 万；不得分配超过余额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AC-04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合作方按实际收款 20% 结算；项目收款 100 万，历史已结 10 万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本次最多可结 10 万，超过额度禁止提交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AC-05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合作方结算 10 万审批通过，后续实际付款 10 万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已确认成本保持 10 万，已支付金额变为 10 万，不重复为 20 万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AC-06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支付保证金 5 万后全额退回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支付后成本不变、资金占用 5 万；退回后占用归零，利润不变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AC-07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保证金 5 万被没收并完成损失确认审批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审批前不计成本；审批后已确认成本增加 5 万并有来源追踪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AC-08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报销单含 1000、2000、500 三条明细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主表总额自动为 3500；接口拒绝提交不一致的人工总额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AC-09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立项申请被驳回后再次修改提交并通过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始终保留同一申请编号；驳回时无项目编号；通过后仅生成一个正式项目编号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AC-10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未签合同项目申请正常启动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系统阻止；改为提前启动并审批通过后允许实施，同时生成补签提醒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AC-11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修改已产生结算单的合作方案比例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历史结算金额和快照不变，新比例仅影响生效后的新结算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AC-12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项目成员访问无关项目详情、导出及附件地址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三种入口均拒绝；审计日志记录拒绝事件，不泄露敏感字段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AC-13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合同暂定金额 100 万但未确认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不进入合同经营利润；确认变更生效后按不含税确认额进入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AC-14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30 用户在基准数据量下混合查询、保存和审批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95% 普通请求 ≤3 秒，保存/提交/审批 ≤5 秒，无重复审批或越权</w:t>
            </w:r>
          </w:p>
        </w:tc>
      </w:tr>
      <w:tr>
        <w:trPr>
          <w:cantSplit/>
        </w:trPr>
        <w:tc>
          <w:tcPr>
            <w:tcW w:type="dxa" w:w="8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AC-15</w:t>
            </w:r>
          </w:p>
        </w:tc>
        <w:tc>
          <w:tcPr>
            <w:tcW w:type="dxa" w:w="3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项目仍有未收款、未退保证金和未关闭问题时申请结项</w:t>
            </w:r>
          </w:p>
        </w:tc>
        <w:tc>
          <w:tcPr>
            <w:tcW w:type="dxa" w:w="4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</w:rPr>
              <w:t>普通结项被阻止；完整填写各遗留事项责任人和期限后可发起特批，且只有公司负责人通过后才能结项并持续跟踪遗留事项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每个核心字段还应在详细数据字典中定义：中文名、英文名、类型、长度/精度、必填、默认值、枚举、校验、唯一性、索引、敏感级别、数据来源、可编辑状态和验收样例。</w:t>
      </w:r>
    </w:p>
    <w:p>
      <w:pPr>
        <w:pStyle w:val="Heading1"/>
      </w:pPr>
      <w:r>
        <w:t>17. 已确认配置与开发期提供项</w:t>
      </w:r>
    </w:p>
    <w:p>
      <w:pPr>
        <w:pStyle w:val="ListNumber"/>
      </w:pPr>
      <w:r>
        <w:rPr>
          <w:rFonts w:ascii="Calibri" w:hAnsi="Calibri" w:eastAsia="Microsoft YaHei"/>
          <w:b/>
        </w:rPr>
        <w:t>组织与账号</w:t>
      </w:r>
      <w:r>
        <w:rPr>
          <w:rFonts w:ascii="Calibri" w:hAnsi="Calibri" w:eastAsia="Microsoft YaHei"/>
        </w:rPr>
        <w:t>：采用“公司—部门—人员”单层部门结构；系统支持维护部门、人员、角色及初始账号。具体名单作为上线初始化数据，在联调或上线准备阶段由项目方提供，不影响数据模型和功能开发。</w:t>
      </w:r>
    </w:p>
    <w:p>
      <w:pPr>
        <w:pStyle w:val="ListNumber"/>
      </w:pPr>
      <w:r>
        <w:rPr>
          <w:rFonts w:ascii="Calibri" w:hAnsi="Calibri" w:eastAsia="Microsoft YaHei"/>
          <w:b/>
        </w:rPr>
        <w:t>审批岗位与阈值</w:t>
      </w:r>
      <w:r>
        <w:rPr>
          <w:rFonts w:ascii="Calibri" w:hAnsi="Calibri" w:eastAsia="Microsoft YaHei"/>
        </w:rPr>
        <w:t>：只预设经营负责人、公司负责人、财务复核人等岗位，不写死具体人员；岗位任职人员可配置。各审批金额阈值可在后台自定义，并按审批实例保存配置快照。</w:t>
      </w:r>
    </w:p>
    <w:p>
      <w:pPr>
        <w:pStyle w:val="ListNumber"/>
      </w:pPr>
      <w:r>
        <w:rPr>
          <w:rFonts w:ascii="Calibri" w:hAnsi="Calibri" w:eastAsia="Microsoft YaHei"/>
          <w:b/>
        </w:rPr>
        <w:t>带遗留事项结项</w:t>
      </w:r>
      <w:r>
        <w:rPr>
          <w:rFonts w:ascii="Calibri" w:hAnsi="Calibri" w:eastAsia="Microsoft YaHei"/>
        </w:rPr>
        <w:t>：允许项目在存在未收款、未退保证金或未关闭问题时申请结项；仅公司负责人可特批，且必须填写每项遗留事项的责任人和完成期限。</w:t>
      </w:r>
    </w:p>
    <w:p>
      <w:pPr>
        <w:pStyle w:val="ListNumber"/>
      </w:pPr>
      <w:r>
        <w:rPr>
          <w:rFonts w:ascii="Calibri" w:hAnsi="Calibri" w:eastAsia="Microsoft YaHei"/>
          <w:b/>
        </w:rPr>
        <w:t>CloudBase 环境</w:t>
      </w:r>
      <w:r>
        <w:rPr>
          <w:rFonts w:ascii="Calibri" w:hAnsi="Calibri" w:eastAsia="Microsoft YaHei"/>
        </w:rPr>
        <w:t xml:space="preserve">：环境 ID 为 </w:t>
      </w:r>
      <w:r>
        <w:rPr>
          <w:rFonts w:ascii="Calibri" w:hAnsi="Calibri" w:eastAsia="Consolas"/>
          <w:color w:val="1F4D78"/>
          <w:sz w:val="19"/>
        </w:rPr>
        <w:t>cloudbase-d7gc2b32cd4196059</w:t>
      </w:r>
      <w:r>
        <w:rPr>
          <w:rFonts w:ascii="Calibri" w:hAnsi="Calibri" w:eastAsia="Microsoft YaHei"/>
        </w:rPr>
        <w:t xml:space="preserve">，地域为广州南沙，MySQL 等基础资源已开通。数据库账号、连接参数、存储及函数实际额度在开发接入时提供或核验；密钥仅通过本地 </w:t>
      </w:r>
      <w:r>
        <w:rPr>
          <w:rFonts w:ascii="Calibri" w:hAnsi="Calibri" w:eastAsia="Consolas"/>
          <w:color w:val="1F4D78"/>
          <w:sz w:val="19"/>
        </w:rPr>
        <w:t>.env</w:t>
      </w:r>
      <w:r>
        <w:rPr>
          <w:rFonts w:ascii="Calibri" w:hAnsi="Calibri" w:eastAsia="Microsoft YaHei"/>
        </w:rPr>
        <w:t xml:space="preserve"> 或平台环境变量提供，严禁入库。</w:t>
      </w:r>
    </w:p>
    <w:p>
      <w:pPr>
        <w:pStyle w:val="ListNumber"/>
      </w:pPr>
      <w:r>
        <w:rPr>
          <w:rFonts w:ascii="Calibri" w:hAnsi="Calibri" w:eastAsia="Microsoft YaHei"/>
          <w:b/>
        </w:rPr>
        <w:t>初始化与历史数据</w:t>
      </w:r>
      <w:r>
        <w:rPr>
          <w:rFonts w:ascii="Calibri" w:hAnsi="Calibri" w:eastAsia="Microsoft YaHei"/>
        </w:rPr>
        <w:t xml:space="preserve">：没有历史数据，无存量迁移和旧合同兼容处理。基础字典按常用业务规范预置并支持后台维护；业务编号默认按年度从 </w:t>
      </w:r>
      <w:r>
        <w:rPr>
          <w:rFonts w:ascii="Calibri" w:hAnsi="Calibri" w:eastAsia="Consolas"/>
          <w:color w:val="1F4D78"/>
          <w:sz w:val="19"/>
        </w:rPr>
        <w:t>0001</w:t>
      </w:r>
      <w:r>
        <w:rPr>
          <w:rFonts w:ascii="Calibri" w:hAnsi="Calibri" w:eastAsia="Microsoft YaHei"/>
        </w:rPr>
        <w:t xml:space="preserve"> 起编（如 </w:t>
      </w:r>
      <w:r>
        <w:rPr>
          <w:rFonts w:ascii="Calibri" w:hAnsi="Calibri" w:eastAsia="Consolas"/>
          <w:color w:val="1F4D78"/>
          <w:sz w:val="19"/>
        </w:rPr>
        <w:t>LA-YYYY-0001</w:t>
      </w:r>
      <w:r>
        <w:rPr>
          <w:rFonts w:ascii="Calibri" w:hAnsi="Calibri" w:eastAsia="Microsoft YaHei"/>
        </w:rPr>
        <w:t>、</w:t>
      </w:r>
      <w:r>
        <w:rPr>
          <w:rFonts w:ascii="Calibri" w:hAnsi="Calibri" w:eastAsia="Consolas"/>
          <w:color w:val="1F4D78"/>
          <w:sz w:val="19"/>
        </w:rPr>
        <w:t>ZK-YYYY-0001</w:t>
      </w:r>
      <w:r>
        <w:rPr>
          <w:rFonts w:ascii="Calibri" w:hAnsi="Calibri" w:eastAsia="Microsoft YaHei"/>
        </w:rPr>
        <w:t>），并允许在正式启用前配置前缀、位数和起始值。新合同统一保存含税金额、不含税金额、税率和税额，利润按不含税口径计算。</w:t>
      </w:r>
    </w:p>
    <w:p>
      <w:r>
        <w:rPr>
          <w:rFonts w:ascii="Calibri" w:hAnsi="Calibri" w:eastAsia="Microsoft YaHei"/>
        </w:rPr>
        <w:t>开发期仍需项目方提供的仅为敏感连接参数、实际资源额度，以及联调/上线所需的组织人员和初始账号明细；这些内容属于部署与初始化输入，不再作为需求范围待确认项。</w:t>
      </w:r>
    </w:p>
    <w:p>
      <w:pPr>
        <w:pStyle w:val="Heading1"/>
      </w:pPr>
      <w:r>
        <w:t>18. 基线确认标准</w:t>
      </w:r>
    </w:p>
    <w:p>
      <w:r>
        <w:rPr>
          <w:rFonts w:ascii="Calibri" w:hAnsi="Calibri" w:eastAsia="Microsoft YaHei"/>
        </w:rPr>
        <w:t>确认本文件即表示：功能边界、页面范围、核心字段、状态机、审批模型、数据关系、权限模型、计算口径、非功能指标和 CloudBase 技术路线可作为详细设计及正式编码依据。后续新增范围应进入变更清单，并评估数据库、接口、权限、测试和交付影响。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26C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A626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26C"/>
        <w:sz w:val="17"/>
      </w:rPr>
      <w:t>众肯科技项目全过程管理系统｜需求说明书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众肯科技项目全过程管理系统需求说明书 V2.2（CloudBase 部署版）</dc:title>
  <dc:subject>正式开发与验收需求基线</dc:subject>
  <dc:creator>众肯科技</dc:creator>
  <cp:keywords/>
  <dc:description>V2.2 替代 V2.1；V2.1 仅供历史追溯。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