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00C4E2"/>
    <w:p w14:paraId="378CA5DC">
      <w:pPr>
        <w:rPr>
          <w:rFonts w:eastAsia="黑体"/>
          <w:b/>
          <w:bCs/>
          <w:color w:val="000000"/>
          <w:sz w:val="36"/>
          <w:szCs w:val="20"/>
        </w:rPr>
      </w:pPr>
    </w:p>
    <w:p w14:paraId="15CAE280">
      <w:pPr>
        <w:rPr>
          <w:rFonts w:eastAsia="黑体"/>
          <w:b/>
          <w:bCs/>
          <w:color w:val="000000"/>
          <w:sz w:val="36"/>
          <w:szCs w:val="20"/>
        </w:rPr>
      </w:pPr>
    </w:p>
    <w:p w14:paraId="2CD9F840">
      <w:pPr>
        <w:rPr>
          <w:rFonts w:eastAsia="黑体"/>
          <w:b/>
          <w:bCs/>
          <w:color w:val="000000"/>
          <w:sz w:val="36"/>
          <w:szCs w:val="20"/>
        </w:rPr>
      </w:pPr>
    </w:p>
    <w:p w14:paraId="369D39D6">
      <w:pPr>
        <w:pStyle w:val="2"/>
        <w:spacing w:before="468" w:after="468"/>
        <w:rPr>
          <w:shd w:val="clear" w:color="auto" w:fill="FFFFFF"/>
        </w:rPr>
      </w:pPr>
      <w:bookmarkStart w:id="0" w:name="_Toc523917423"/>
      <w:bookmarkStart w:id="1" w:name="_Toc18406549"/>
      <w:bookmarkStart w:id="2" w:name="_Toc18404966"/>
      <w:bookmarkStart w:id="3" w:name="_Toc18405910"/>
      <w:bookmarkStart w:id="4" w:name="_Toc18405013"/>
      <w:r>
        <w:rPr>
          <w:rFonts w:hint="eastAsia"/>
          <w:shd w:val="clear" w:color="auto" w:fill="FFFFFF"/>
        </w:rPr>
        <w:t>东北财经大学硕士学位论文开题报告</w:t>
      </w:r>
      <w:bookmarkEnd w:id="0"/>
      <w:bookmarkEnd w:id="1"/>
      <w:bookmarkEnd w:id="2"/>
      <w:bookmarkEnd w:id="3"/>
      <w:bookmarkEnd w:id="4"/>
    </w:p>
    <w:p w14:paraId="77146092">
      <w:pPr>
        <w:rPr>
          <w:color w:val="000000"/>
          <w:szCs w:val="20"/>
        </w:rPr>
      </w:pPr>
    </w:p>
    <w:p w14:paraId="110A93ED">
      <w:pPr>
        <w:rPr>
          <w:color w:val="000000"/>
          <w:szCs w:val="20"/>
        </w:rPr>
      </w:pPr>
    </w:p>
    <w:p w14:paraId="599A197D">
      <w:pPr>
        <w:rPr>
          <w:color w:val="000000"/>
          <w:szCs w:val="20"/>
        </w:rPr>
      </w:pPr>
    </w:p>
    <w:p w14:paraId="2BC9D627">
      <w:pPr>
        <w:rPr>
          <w:color w:val="000000"/>
          <w:szCs w:val="20"/>
        </w:rPr>
      </w:pPr>
    </w:p>
    <w:p w14:paraId="3C2B1284">
      <w:pPr>
        <w:rPr>
          <w:color w:val="000000"/>
          <w:szCs w:val="20"/>
        </w:rPr>
      </w:pPr>
    </w:p>
    <w:p w14:paraId="18E7D331">
      <w:pPr>
        <w:rPr>
          <w:color w:val="000000"/>
          <w:szCs w:val="20"/>
        </w:rPr>
      </w:pPr>
    </w:p>
    <w:p w14:paraId="533390A7">
      <w:pPr>
        <w:rPr>
          <w:color w:val="000000"/>
          <w:szCs w:val="20"/>
        </w:rPr>
      </w:pPr>
    </w:p>
    <w:p w14:paraId="3CA601D0">
      <w:pPr>
        <w:spacing w:after="312" w:afterLines="100"/>
        <w:ind w:firstLine="1800"/>
        <w:rPr>
          <w:color w:val="000000"/>
          <w:sz w:val="30"/>
        </w:rPr>
      </w:pPr>
      <w:r>
        <w:rPr>
          <w:rFonts w:hint="eastAsia"/>
          <w:color w:val="000000"/>
          <w:sz w:val="30"/>
        </w:rPr>
        <mc:AlternateContent>
          <mc:Choice Requires="wps">
            <w:drawing>
              <wp:anchor distT="0" distB="0" distL="114300" distR="114300" simplePos="0" relativeHeight="251659264" behindDoc="0" locked="0" layoutInCell="1" allowOverlap="1">
                <wp:simplePos x="0" y="0"/>
                <wp:positionH relativeFrom="column">
                  <wp:posOffset>2303780</wp:posOffset>
                </wp:positionH>
                <wp:positionV relativeFrom="paragraph">
                  <wp:posOffset>304800</wp:posOffset>
                </wp:positionV>
                <wp:extent cx="1943100" cy="0"/>
                <wp:effectExtent l="5080" t="13335" r="13970" b="5715"/>
                <wp:wrapNone/>
                <wp:docPr id="7" name="直接连接符 7"/>
                <wp:cNvGraphicFramePr/>
                <a:graphic xmlns:a="http://schemas.openxmlformats.org/drawingml/2006/main">
                  <a:graphicData uri="http://schemas.microsoft.com/office/word/2010/wordprocessingShape">
                    <wps:wsp>
                      <wps:cNvCnPr>
                        <a:cxnSpLocks noChangeShapeType="1"/>
                      </wps:cNvCnPr>
                      <wps:spPr bwMode="auto">
                        <a:xfrm flipH="1">
                          <a:off x="0" y="0"/>
                          <a:ext cx="194310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flip:x;margin-left:181.4pt;margin-top:24pt;height:0pt;width:153pt;z-index:251659264;mso-width-relative:page;mso-height-relative:page;" filled="f" stroked="t" coordsize="21600,21600" o:gfxdata="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y1fE/&#10;1QAAAAkBAAAPAAAAAAAAAAEAIAAAACIAAABkcnMvZG93bnJldi54bWxQSwECFAAUAAAACACHTuJA&#10;iIvlvesBAAC0AwAADgAAAAAAAAABACAAAAAkAQAAZHJzL2Uyb0RvYy54bWxQSwUGAAAAAAYABgBZ&#10;AQAAgQUAAAAA&#10;">
                <v:fill on="f" focussize="0,0"/>
                <v:stroke color="#000000" joinstyle="round"/>
                <v:imagedata o:title=""/>
                <o:lock v:ext="edit" aspectratio="f"/>
              </v:line>
            </w:pict>
          </mc:Fallback>
        </mc:AlternateContent>
      </w:r>
      <w:r>
        <w:rPr>
          <w:rFonts w:hint="eastAsia"/>
          <w:color w:val="000000"/>
          <w:sz w:val="30"/>
        </w:rPr>
        <w:t>学</w:t>
      </w:r>
      <w:r>
        <w:rPr>
          <w:color w:val="000000"/>
          <w:sz w:val="30"/>
        </w:rPr>
        <w:t xml:space="preserve">       </w:t>
      </w:r>
      <w:r>
        <w:rPr>
          <w:rFonts w:hint="eastAsia"/>
          <w:color w:val="000000"/>
          <w:sz w:val="30"/>
        </w:rPr>
        <w:t xml:space="preserve">号： 2025120254   </w:t>
      </w:r>
    </w:p>
    <w:p w14:paraId="245D1C76">
      <w:pPr>
        <w:spacing w:after="312" w:afterLines="100"/>
        <w:ind w:firstLine="1800"/>
        <w:rPr>
          <w:color w:val="000000"/>
          <w:sz w:val="30"/>
        </w:rPr>
      </w:pPr>
      <w:r>
        <w:rPr>
          <w:rFonts w:hint="eastAsia"/>
          <w:color w:val="000000"/>
          <w:sz w:val="30"/>
        </w:rPr>
        <mc:AlternateContent>
          <mc:Choice Requires="wps">
            <w:drawing>
              <wp:anchor distT="0" distB="0" distL="114300" distR="114300" simplePos="0" relativeHeight="251660288" behindDoc="0" locked="0" layoutInCell="1" allowOverlap="1">
                <wp:simplePos x="0" y="0"/>
                <wp:positionH relativeFrom="column">
                  <wp:posOffset>2315210</wp:posOffset>
                </wp:positionH>
                <wp:positionV relativeFrom="paragraph">
                  <wp:posOffset>299085</wp:posOffset>
                </wp:positionV>
                <wp:extent cx="1943100" cy="0"/>
                <wp:effectExtent l="5080" t="12700" r="13970" b="6350"/>
                <wp:wrapNone/>
                <wp:docPr id="6" name="直接连接符 6"/>
                <wp:cNvGraphicFramePr/>
                <a:graphic xmlns:a="http://schemas.openxmlformats.org/drawingml/2006/main">
                  <a:graphicData uri="http://schemas.microsoft.com/office/word/2010/wordprocessingShape">
                    <wps:wsp>
                      <wps:cNvCnPr>
                        <a:cxnSpLocks noChangeShapeType="1"/>
                      </wps:cNvCnPr>
                      <wps:spPr bwMode="auto">
                        <a:xfrm flipH="1">
                          <a:off x="0" y="0"/>
                          <a:ext cx="194310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flip:x;margin-left:182.3pt;margin-top:23.55pt;height:0pt;width:153pt;z-index:251660288;mso-width-relative:page;mso-height-relative:page;" filled="f" stroked="t" coordsize="21600,21600" o:gfxdata="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Mkm&#10;TfDWAAAACQEAAA8AAAAAAAAAAQAgAAAAIgAAAGRycy9kb3ducmV2LnhtbFBLAQIUABQAAAAIAIdO&#10;4kCdtGrH7AEAALQDAAAOAAAAAAAAAAEAIAAAACUBAABkcnMvZTJvRG9jLnhtbFBLBQYAAAAABgAG&#10;AFkBAACDBQAAAAA=&#10;">
                <v:fill on="f" focussize="0,0"/>
                <v:stroke color="#000000" joinstyle="round"/>
                <v:imagedata o:title=""/>
                <o:lock v:ext="edit" aspectratio="f"/>
              </v:line>
            </w:pict>
          </mc:Fallback>
        </mc:AlternateContent>
      </w:r>
      <w:r>
        <w:rPr>
          <w:rFonts w:hint="eastAsia"/>
          <w:color w:val="000000"/>
          <w:sz w:val="30"/>
        </w:rPr>
        <w:t xml:space="preserve">申   请  人： 董秀丽  </w:t>
      </w:r>
    </w:p>
    <w:p w14:paraId="26CFB1FC">
      <w:pPr>
        <w:spacing w:after="312" w:afterLines="100"/>
        <w:rPr>
          <w:color w:val="000000"/>
          <w:sz w:val="30"/>
          <w:szCs w:val="20"/>
        </w:rPr>
      </w:pPr>
      <w:r>
        <w:rPr>
          <w:rFonts w:hint="eastAsia"/>
          <w:color w:val="000000"/>
          <w:sz w:val="30"/>
        </w:rPr>
        <mc:AlternateContent>
          <mc:Choice Requires="wps">
            <w:drawing>
              <wp:anchor distT="0" distB="0" distL="114300" distR="114300" simplePos="0" relativeHeight="251661312" behindDoc="0" locked="0" layoutInCell="1" allowOverlap="1">
                <wp:simplePos x="0" y="0"/>
                <wp:positionH relativeFrom="column">
                  <wp:posOffset>2321560</wp:posOffset>
                </wp:positionH>
                <wp:positionV relativeFrom="paragraph">
                  <wp:posOffset>299085</wp:posOffset>
                </wp:positionV>
                <wp:extent cx="1943100" cy="0"/>
                <wp:effectExtent l="5080" t="12065" r="13970" b="6985"/>
                <wp:wrapNone/>
                <wp:docPr id="5" name="直接连接符 5"/>
                <wp:cNvGraphicFramePr/>
                <a:graphic xmlns:a="http://schemas.openxmlformats.org/drawingml/2006/main">
                  <a:graphicData uri="http://schemas.microsoft.com/office/word/2010/wordprocessingShape">
                    <wps:wsp>
                      <wps:cNvCnPr>
                        <a:cxnSpLocks noChangeShapeType="1"/>
                      </wps:cNvCnPr>
                      <wps:spPr bwMode="auto">
                        <a:xfrm flipH="1">
                          <a:off x="0" y="0"/>
                          <a:ext cx="194310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flip:x;margin-left:182.8pt;margin-top:23.55pt;height:0pt;width:153pt;z-index:251661312;mso-width-relative:page;mso-height-relative:page;" filled="f" stroked="t" coordsize="21600,21600" o:gfxdata="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mPNu&#10;UtYAAAAJAQAADwAAAAAAAAABACAAAAAiAAAAZHJzL2Rvd25yZXYueG1sUEsBAhQAFAAAAAgAh07i&#10;QKL1+0jrAQAAtAMAAA4AAAAAAAAAAQAgAAAAJQEAAGRycy9lMm9Eb2MueG1sUEsFBgAAAAAGAAYA&#10;WQEAAIIFAAAAAA==&#10;">
                <v:fill on="f" focussize="0,0"/>
                <v:stroke color="#000000" joinstyle="round"/>
                <v:imagedata o:title=""/>
                <o:lock v:ext="edit" aspectratio="f"/>
              </v:line>
            </w:pict>
          </mc:Fallback>
        </mc:AlternateContent>
      </w:r>
      <w:r>
        <w:rPr>
          <w:color w:val="000000"/>
          <w:sz w:val="30"/>
        </w:rPr>
        <w:t xml:space="preserve">            </w:t>
      </w:r>
      <w:r>
        <w:rPr>
          <w:rFonts w:hint="eastAsia"/>
          <w:color w:val="000000"/>
          <w:sz w:val="30"/>
        </w:rPr>
        <w:t xml:space="preserve">院  </w:t>
      </w:r>
      <w:r>
        <w:rPr>
          <w:color w:val="000000"/>
          <w:sz w:val="30"/>
        </w:rPr>
        <w:t xml:space="preserve">     </w:t>
      </w:r>
      <w:r>
        <w:rPr>
          <w:rFonts w:hint="eastAsia"/>
          <w:color w:val="000000"/>
          <w:sz w:val="30"/>
        </w:rPr>
        <w:t xml:space="preserve">系：管理科学与工程学院  </w:t>
      </w:r>
    </w:p>
    <w:p w14:paraId="791D1AC6">
      <w:pPr>
        <w:spacing w:after="312" w:afterLines="100"/>
        <w:ind w:firstLine="1800"/>
        <w:rPr>
          <w:color w:val="000000"/>
          <w:sz w:val="30"/>
          <w:szCs w:val="20"/>
        </w:rPr>
      </w:pPr>
      <w:r>
        <w:rPr>
          <w:rFonts w:hint="eastAsia"/>
          <w:color w:val="000000"/>
          <w:sz w:val="30"/>
        </w:rPr>
        <mc:AlternateContent>
          <mc:Choice Requires="wps">
            <w:drawing>
              <wp:anchor distT="0" distB="0" distL="114300" distR="114300" simplePos="0" relativeHeight="251662336" behindDoc="0" locked="0" layoutInCell="1" allowOverlap="1">
                <wp:simplePos x="0" y="0"/>
                <wp:positionH relativeFrom="column">
                  <wp:posOffset>2279650</wp:posOffset>
                </wp:positionH>
                <wp:positionV relativeFrom="paragraph">
                  <wp:posOffset>292735</wp:posOffset>
                </wp:positionV>
                <wp:extent cx="1943100" cy="0"/>
                <wp:effectExtent l="5080" t="11430" r="13970" b="7620"/>
                <wp:wrapNone/>
                <wp:docPr id="4" name="直接连接符 4"/>
                <wp:cNvGraphicFramePr/>
                <a:graphic xmlns:a="http://schemas.openxmlformats.org/drawingml/2006/main">
                  <a:graphicData uri="http://schemas.microsoft.com/office/word/2010/wordprocessingShape">
                    <wps:wsp>
                      <wps:cNvCnPr>
                        <a:cxnSpLocks noChangeShapeType="1"/>
                      </wps:cNvCnPr>
                      <wps:spPr bwMode="auto">
                        <a:xfrm flipH="1">
                          <a:off x="0" y="0"/>
                          <a:ext cx="194310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flip:x;margin-left:179.5pt;margin-top:23.05pt;height:0pt;width:153pt;z-index:251662336;mso-width-relative:page;mso-height-relative:page;" filled="f" stroked="t" coordsize="21600,21600" o:gfxdata="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Pto&#10;9+3WAAAACQEAAA8AAAAAAAAAAQAgAAAAIgAAAGRycy9kb3ducmV2LnhtbFBLAQIUABQAAAAIAIdO&#10;4kC3ynQy7AEAALQDAAAOAAAAAAAAAAEAIAAAACUBAABkcnMvZTJvRG9jLnhtbFBLBQYAAAAABgAG&#10;AFkBAACDBQAAAAA=&#10;">
                <v:fill on="f" focussize="0,0"/>
                <v:stroke color="#000000" joinstyle="round"/>
                <v:imagedata o:title=""/>
                <o:lock v:ext="edit" aspectratio="f"/>
              </v:line>
            </w:pict>
          </mc:Fallback>
        </mc:AlternateContent>
      </w:r>
      <w:r>
        <w:rPr>
          <w:rFonts w:hint="eastAsia"/>
          <w:color w:val="000000"/>
          <w:sz w:val="30"/>
        </w:rPr>
        <w:t>专</w:t>
      </w:r>
      <w:r>
        <w:rPr>
          <w:color w:val="000000"/>
          <w:sz w:val="30"/>
        </w:rPr>
        <w:t xml:space="preserve">       </w:t>
      </w:r>
      <w:r>
        <w:rPr>
          <w:rFonts w:hint="eastAsia"/>
          <w:color w:val="000000"/>
          <w:sz w:val="30"/>
        </w:rPr>
        <w:t xml:space="preserve">业：工程管理   </w:t>
      </w:r>
    </w:p>
    <w:p w14:paraId="6713D2E6">
      <w:pPr>
        <w:spacing w:after="312" w:afterLines="100"/>
        <w:ind w:firstLine="1800"/>
        <w:rPr>
          <w:color w:val="000000"/>
          <w:sz w:val="30"/>
          <w:szCs w:val="20"/>
        </w:rPr>
      </w:pPr>
      <w:r>
        <w:rPr>
          <w:rFonts w:hint="eastAsia"/>
          <w:color w:val="000000"/>
          <w:sz w:val="30"/>
        </w:rPr>
        <mc:AlternateContent>
          <mc:Choice Requires="wps">
            <w:drawing>
              <wp:anchor distT="0" distB="0" distL="114300" distR="114300" simplePos="0" relativeHeight="251663360" behindDoc="0" locked="0" layoutInCell="1" allowOverlap="1">
                <wp:simplePos x="0" y="0"/>
                <wp:positionH relativeFrom="column">
                  <wp:posOffset>2315210</wp:posOffset>
                </wp:positionH>
                <wp:positionV relativeFrom="paragraph">
                  <wp:posOffset>304800</wp:posOffset>
                </wp:positionV>
                <wp:extent cx="1943100" cy="0"/>
                <wp:effectExtent l="5080" t="10795" r="13970" b="8255"/>
                <wp:wrapNone/>
                <wp:docPr id="3" name="直接连接符 3"/>
                <wp:cNvGraphicFramePr/>
                <a:graphic xmlns:a="http://schemas.openxmlformats.org/drawingml/2006/main">
                  <a:graphicData uri="http://schemas.microsoft.com/office/word/2010/wordprocessingShape">
                    <wps:wsp>
                      <wps:cNvCnPr>
                        <a:cxnSpLocks noChangeShapeType="1"/>
                      </wps:cNvCnPr>
                      <wps:spPr bwMode="auto">
                        <a:xfrm flipH="1">
                          <a:off x="0" y="0"/>
                          <a:ext cx="194310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flip:x;margin-left:182.3pt;margin-top:24pt;height:0pt;width:153pt;z-index:251663360;mso-width-relative:page;mso-height-relative:page;" filled="f" stroked="t" coordsize="21600,21600" o:gfxdata="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hMbU&#10;JtUAAAAJAQAADwAAAAAAAAABACAAAAAiAAAAZHJzL2Rvd25yZXYueG1sUEsBAhQAFAAAAAgAh07i&#10;QJ1xqIzsAQAAtAMAAA4AAAAAAAAAAQAgAAAAJAEAAGRycy9lMm9Eb2MueG1sUEsFBgAAAAAGAAYA&#10;WQEAAIIFAAAAAA==&#10;">
                <v:fill on="f" focussize="0,0"/>
                <v:stroke color="#000000" joinstyle="round"/>
                <v:imagedata o:title=""/>
                <o:lock v:ext="edit" aspectratio="f"/>
              </v:line>
            </w:pict>
          </mc:Fallback>
        </mc:AlternateContent>
      </w:r>
      <w:r>
        <w:rPr>
          <w:rFonts w:hint="eastAsia"/>
          <w:color w:val="000000"/>
          <w:sz w:val="30"/>
        </w:rPr>
        <w:t>研</w:t>
      </w:r>
      <w:r>
        <w:rPr>
          <w:color w:val="000000"/>
          <w:sz w:val="30"/>
        </w:rPr>
        <w:t xml:space="preserve"> </w:t>
      </w:r>
      <w:r>
        <w:rPr>
          <w:rFonts w:hint="eastAsia"/>
          <w:color w:val="000000"/>
          <w:sz w:val="30"/>
        </w:rPr>
        <w:t>究</w:t>
      </w:r>
      <w:r>
        <w:rPr>
          <w:color w:val="000000"/>
          <w:sz w:val="30"/>
        </w:rPr>
        <w:t xml:space="preserve"> </w:t>
      </w:r>
      <w:r>
        <w:rPr>
          <w:rFonts w:hint="eastAsia"/>
          <w:color w:val="000000"/>
          <w:sz w:val="30"/>
        </w:rPr>
        <w:t>方</w:t>
      </w:r>
      <w:r>
        <w:rPr>
          <w:color w:val="000000"/>
          <w:sz w:val="30"/>
        </w:rPr>
        <w:t xml:space="preserve"> </w:t>
      </w:r>
      <w:r>
        <w:rPr>
          <w:rFonts w:hint="eastAsia"/>
          <w:color w:val="000000"/>
          <w:sz w:val="30"/>
        </w:rPr>
        <w:t>向：数据挖掘与商务智能</w:t>
      </w:r>
      <w:r>
        <w:rPr>
          <w:color w:val="000000"/>
          <w:sz w:val="30"/>
        </w:rPr>
        <w:t xml:space="preserve"> </w:t>
      </w:r>
      <w:r>
        <w:rPr>
          <w:rFonts w:hint="eastAsia"/>
          <w:color w:val="000000"/>
          <w:sz w:val="30"/>
        </w:rPr>
        <w:t xml:space="preserve"> </w:t>
      </w:r>
    </w:p>
    <w:p w14:paraId="704EE4EC">
      <w:pPr>
        <w:spacing w:after="312" w:afterLines="100"/>
        <w:rPr>
          <w:color w:val="000000"/>
          <w:sz w:val="30"/>
          <w:szCs w:val="20"/>
        </w:rPr>
      </w:pPr>
      <w:r>
        <w:rPr>
          <w:rFonts w:hint="eastAsia"/>
          <w:color w:val="000000"/>
          <w:sz w:val="30"/>
        </w:rPr>
        <mc:AlternateContent>
          <mc:Choice Requires="wps">
            <w:drawing>
              <wp:anchor distT="0" distB="0" distL="114300" distR="114300" simplePos="0" relativeHeight="251664384" behindDoc="0" locked="0" layoutInCell="1" allowOverlap="1">
                <wp:simplePos x="0" y="0"/>
                <wp:positionH relativeFrom="column">
                  <wp:posOffset>2279650</wp:posOffset>
                </wp:positionH>
                <wp:positionV relativeFrom="paragraph">
                  <wp:posOffset>304800</wp:posOffset>
                </wp:positionV>
                <wp:extent cx="1943100" cy="0"/>
                <wp:effectExtent l="5080" t="10160" r="13970" b="8890"/>
                <wp:wrapNone/>
                <wp:docPr id="2" name="直接连接符 2"/>
                <wp:cNvGraphicFramePr/>
                <a:graphic xmlns:a="http://schemas.openxmlformats.org/drawingml/2006/main">
                  <a:graphicData uri="http://schemas.microsoft.com/office/word/2010/wordprocessingShape">
                    <wps:wsp>
                      <wps:cNvCnPr>
                        <a:cxnSpLocks noChangeShapeType="1"/>
                      </wps:cNvCnPr>
                      <wps:spPr bwMode="auto">
                        <a:xfrm flipH="1">
                          <a:off x="0" y="0"/>
                          <a:ext cx="194310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flip:x;margin-left:179.5pt;margin-top:24pt;height:0pt;width:153pt;z-index:251664384;mso-width-relative:page;mso-height-relative:page;" filled="f" stroked="t" coordsize="21600,21600" o:gfxdata="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76T5&#10;3tYAAAAJAQAADwAAAAAAAAABACAAAAAiAAAAZHJzL2Rvd25yZXYueG1sUEsBAhQAFAAAAAgAh07i&#10;QIhOJ/brAQAAtAMAAA4AAAAAAAAAAQAgAAAAJQEAAGRycy9lMm9Eb2MueG1sUEsFBgAAAAAGAAYA&#10;WQEAAIIFAAAAAA==&#10;">
                <v:fill on="f" focussize="0,0"/>
                <v:stroke color="#000000" joinstyle="round"/>
                <v:imagedata o:title=""/>
                <o:lock v:ext="edit" aspectratio="f"/>
              </v:line>
            </w:pict>
          </mc:Fallback>
        </mc:AlternateContent>
      </w:r>
      <w:r>
        <w:rPr>
          <w:color w:val="000000"/>
          <w:sz w:val="30"/>
        </w:rPr>
        <w:t xml:space="preserve">            </w:t>
      </w:r>
      <w:r>
        <w:rPr>
          <w:rFonts w:hint="eastAsia"/>
          <w:color w:val="000000"/>
          <w:sz w:val="30"/>
        </w:rPr>
        <w:t>指</w:t>
      </w:r>
      <w:r>
        <w:rPr>
          <w:color w:val="000000"/>
          <w:sz w:val="30"/>
        </w:rPr>
        <w:t xml:space="preserve"> </w:t>
      </w:r>
      <w:r>
        <w:rPr>
          <w:rFonts w:hint="eastAsia"/>
          <w:color w:val="000000"/>
          <w:sz w:val="30"/>
        </w:rPr>
        <w:t>导</w:t>
      </w:r>
      <w:r>
        <w:rPr>
          <w:color w:val="000000"/>
          <w:sz w:val="30"/>
        </w:rPr>
        <w:t xml:space="preserve"> </w:t>
      </w:r>
      <w:r>
        <w:rPr>
          <w:rFonts w:hint="eastAsia"/>
          <w:color w:val="000000"/>
          <w:sz w:val="30"/>
        </w:rPr>
        <w:t>教</w:t>
      </w:r>
      <w:r>
        <w:rPr>
          <w:color w:val="000000"/>
          <w:sz w:val="30"/>
        </w:rPr>
        <w:t xml:space="preserve"> </w:t>
      </w:r>
      <w:r>
        <w:rPr>
          <w:rFonts w:hint="eastAsia"/>
          <w:color w:val="000000"/>
          <w:sz w:val="30"/>
        </w:rPr>
        <w:t xml:space="preserve">师： 高 明   </w:t>
      </w:r>
    </w:p>
    <w:p w14:paraId="42BFB5C8">
      <w:pPr>
        <w:spacing w:after="312" w:afterLines="100"/>
        <w:ind w:firstLine="1800" w:firstLineChars="600"/>
        <w:rPr>
          <w:color w:val="000000"/>
          <w:sz w:val="30"/>
        </w:rPr>
      </w:pPr>
      <w:r>
        <w:rPr>
          <w:rFonts w:hint="eastAsia"/>
          <w:color w:val="000000"/>
          <w:sz w:val="30"/>
        </w:rPr>
        <mc:AlternateContent>
          <mc:Choice Requires="wps">
            <w:drawing>
              <wp:anchor distT="0" distB="0" distL="114300" distR="114300" simplePos="0" relativeHeight="251665408" behindDoc="0" locked="0" layoutInCell="1" allowOverlap="1">
                <wp:simplePos x="0" y="0"/>
                <wp:positionH relativeFrom="column">
                  <wp:posOffset>2303780</wp:posOffset>
                </wp:positionH>
                <wp:positionV relativeFrom="paragraph">
                  <wp:posOffset>287020</wp:posOffset>
                </wp:positionV>
                <wp:extent cx="1943100" cy="0"/>
                <wp:effectExtent l="5080" t="9525" r="13970" b="9525"/>
                <wp:wrapNone/>
                <wp:docPr id="1" name="直接连接符 1"/>
                <wp:cNvGraphicFramePr/>
                <a:graphic xmlns:a="http://schemas.openxmlformats.org/drawingml/2006/main">
                  <a:graphicData uri="http://schemas.microsoft.com/office/word/2010/wordprocessingShape">
                    <wps:wsp>
                      <wps:cNvCnPr>
                        <a:cxnSpLocks noChangeShapeType="1"/>
                      </wps:cNvCnPr>
                      <wps:spPr bwMode="auto">
                        <a:xfrm flipH="1">
                          <a:off x="0" y="0"/>
                          <a:ext cx="194310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flip:x;margin-left:181.4pt;margin-top:22.6pt;height:0pt;width:153pt;z-index:251665408;mso-width-relative:page;mso-height-relative:page;" filled="f" stroked="t" coordsize="21600,21600" o:gfxdata="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DbloE+&#10;1gAAAAkBAAAPAAAAAAAAAAEAIAAAACIAAABkcnMvZG93bnJldi54bWxQSwECFAAUAAAACACHTuJA&#10;tw+2eeoBAAC0AwAADgAAAAAAAAABACAAAAAlAQAAZHJzL2Uyb0RvYy54bWxQSwUGAAAAAAYABgBZ&#10;AQAAgQUAAAAA&#10;">
                <v:fill on="f" focussize="0,0"/>
                <v:stroke color="#000000" joinstyle="round"/>
                <v:imagedata o:title=""/>
                <o:lock v:ext="edit" aspectratio="f"/>
              </v:line>
            </w:pict>
          </mc:Fallback>
        </mc:AlternateContent>
      </w:r>
      <w:r>
        <w:rPr>
          <w:rFonts w:hint="eastAsia"/>
          <w:color w:val="000000"/>
          <w:sz w:val="30"/>
          <w:szCs w:val="20"/>
        </w:rPr>
        <w:t xml:space="preserve">填 表 日 期： 2026年9月 </w:t>
      </w:r>
      <w:r>
        <w:rPr>
          <w:rFonts w:hint="eastAsia"/>
          <w:color w:val="000000"/>
          <w:sz w:val="30"/>
        </w:rPr>
        <w:t xml:space="preserve"> </w:t>
      </w:r>
      <w:r>
        <w:rPr>
          <w:rFonts w:hint="eastAsia"/>
          <w:color w:val="000000"/>
          <w:szCs w:val="20"/>
        </w:rPr>
        <w:t xml:space="preserve">                 </w:t>
      </w:r>
    </w:p>
    <w:p w14:paraId="5AF63910">
      <w:pPr>
        <w:spacing w:after="312" w:afterLines="100"/>
        <w:rPr>
          <w:color w:val="000000"/>
          <w:szCs w:val="20"/>
        </w:rPr>
      </w:pPr>
    </w:p>
    <w:p w14:paraId="33E02869">
      <w:pPr>
        <w:spacing w:after="312" w:afterLines="100"/>
        <w:ind w:firstLine="1260" w:firstLineChars="600"/>
        <w:rPr>
          <w:color w:val="000000"/>
          <w:sz w:val="30"/>
        </w:rPr>
      </w:pPr>
      <w:r>
        <w:rPr>
          <w:rFonts w:hint="eastAsia"/>
          <w:color w:val="000000"/>
          <w:szCs w:val="20"/>
        </w:rPr>
        <w:t xml:space="preserve">       </w:t>
      </w:r>
    </w:p>
    <w:p w14:paraId="2BD850BD">
      <w:pPr>
        <w:rPr>
          <w:color w:val="000000"/>
          <w:szCs w:val="20"/>
        </w:rPr>
      </w:pPr>
      <w:r>
        <w:rPr>
          <w:rFonts w:hint="eastAsia"/>
          <w:color w:val="000000"/>
          <w:szCs w:val="20"/>
        </w:rPr>
        <w:t xml:space="preserve">                             </w:t>
      </w:r>
    </w:p>
    <w:tbl>
      <w:tblPr>
        <w:tblStyle w:val="3"/>
        <w:tblW w:w="0" w:type="auto"/>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897"/>
        <w:gridCol w:w="1443"/>
        <w:gridCol w:w="375"/>
        <w:gridCol w:w="27"/>
        <w:gridCol w:w="1846"/>
        <w:gridCol w:w="92"/>
        <w:gridCol w:w="396"/>
        <w:gridCol w:w="1224"/>
        <w:gridCol w:w="134"/>
        <w:gridCol w:w="1846"/>
      </w:tblGrid>
      <w:tr w14:paraId="63B6037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80" w:hRule="atLeast"/>
          <w:jc w:val="center"/>
        </w:trPr>
        <w:tc>
          <w:tcPr>
            <w:tcW w:w="897" w:type="dxa"/>
            <w:tcBorders>
              <w:top w:val="single" w:color="auto" w:sz="4" w:space="0"/>
              <w:left w:val="single" w:color="auto" w:sz="4" w:space="0"/>
              <w:bottom w:val="single" w:color="auto" w:sz="4" w:space="0"/>
              <w:right w:val="single" w:color="auto" w:sz="4" w:space="0"/>
            </w:tcBorders>
          </w:tcPr>
          <w:p w14:paraId="688663C2">
            <w:pPr>
              <w:jc w:val="center"/>
              <w:rPr>
                <w:rFonts w:ascii="宋体" w:hAnsi="宋体" w:cs="宋体"/>
                <w:color w:val="000000"/>
                <w:szCs w:val="21"/>
              </w:rPr>
            </w:pPr>
          </w:p>
          <w:p w14:paraId="7F0FB631">
            <w:pPr>
              <w:jc w:val="center"/>
              <w:rPr>
                <w:rFonts w:ascii="宋体" w:hAnsi="宋体" w:cs="宋体"/>
                <w:color w:val="000000"/>
                <w:szCs w:val="21"/>
              </w:rPr>
            </w:pPr>
            <w:r>
              <w:rPr>
                <w:rFonts w:hint="eastAsia" w:ascii="宋体" w:hAnsi="宋体" w:cs="宋体"/>
                <w:color w:val="000000"/>
                <w:szCs w:val="21"/>
              </w:rPr>
              <w:t>论文</w:t>
            </w:r>
          </w:p>
          <w:p w14:paraId="4AC66497">
            <w:pPr>
              <w:jc w:val="center"/>
              <w:rPr>
                <w:rFonts w:ascii="宋体" w:hAnsi="宋体" w:cs="宋体"/>
                <w:color w:val="000000"/>
                <w:szCs w:val="21"/>
              </w:rPr>
            </w:pPr>
            <w:r>
              <w:rPr>
                <w:rFonts w:hint="eastAsia" w:ascii="宋体" w:hAnsi="宋体" w:cs="宋体"/>
                <w:color w:val="000000"/>
                <w:szCs w:val="21"/>
              </w:rPr>
              <w:t>题目</w:t>
            </w:r>
          </w:p>
        </w:tc>
        <w:tc>
          <w:tcPr>
            <w:tcW w:w="7383" w:type="dxa"/>
            <w:gridSpan w:val="9"/>
            <w:tcBorders>
              <w:top w:val="single" w:color="auto" w:sz="4" w:space="0"/>
              <w:left w:val="single" w:color="auto" w:sz="4" w:space="0"/>
              <w:bottom w:val="single" w:color="auto" w:sz="4" w:space="0"/>
              <w:right w:val="single" w:color="auto" w:sz="4" w:space="0"/>
            </w:tcBorders>
          </w:tcPr>
          <w:p w14:paraId="1AE1D4CF">
            <w:pPr>
              <w:jc w:val="left"/>
              <w:rPr>
                <w:rFonts w:ascii="宋体" w:hAnsi="宋体" w:cs="宋体"/>
                <w:color w:val="000000"/>
                <w:szCs w:val="21"/>
              </w:rPr>
            </w:pPr>
          </w:p>
          <w:p w14:paraId="58B49BFA">
            <w:pPr>
              <w:widowControl/>
              <w:jc w:val="left"/>
              <w:rPr>
                <w:rFonts w:ascii="宋体" w:hAnsi="宋体" w:cs="宋体"/>
                <w:b/>
                <w:color w:val="000000"/>
                <w:szCs w:val="21"/>
              </w:rPr>
            </w:pPr>
            <w:r>
              <w:rPr>
                <w:rFonts w:hint="eastAsia" w:ascii="宋体" w:hAnsi="宋体" w:cs="宋体"/>
                <w:b/>
                <w:bCs/>
                <w:color w:val="0D0D0D"/>
                <w:kern w:val="0"/>
                <w:szCs w:val="21"/>
                <w:shd w:val="clear" w:color="auto" w:fill="FFFFFF"/>
                <w:lang w:bidi="ar"/>
              </w:rPr>
              <w:t>基于多模型弱监督学习的低成本火烟检测研究</w:t>
            </w:r>
          </w:p>
        </w:tc>
      </w:tr>
      <w:tr w14:paraId="632A542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6564" w:hRule="atLeast"/>
          <w:jc w:val="center"/>
        </w:trPr>
        <w:tc>
          <w:tcPr>
            <w:tcW w:w="897" w:type="dxa"/>
            <w:tcBorders>
              <w:top w:val="single" w:color="auto" w:sz="4" w:space="0"/>
              <w:left w:val="single" w:color="auto" w:sz="4" w:space="0"/>
              <w:bottom w:val="single" w:color="auto" w:sz="4" w:space="0"/>
              <w:right w:val="single" w:color="auto" w:sz="4" w:space="0"/>
            </w:tcBorders>
            <w:vAlign w:val="center"/>
          </w:tcPr>
          <w:p w14:paraId="1E0AABBC">
            <w:pPr>
              <w:jc w:val="center"/>
              <w:rPr>
                <w:rFonts w:ascii="宋体" w:hAnsi="宋体" w:cs="宋体"/>
                <w:color w:val="000000"/>
                <w:szCs w:val="21"/>
              </w:rPr>
            </w:pPr>
            <w:r>
              <w:rPr>
                <w:rFonts w:hint="eastAsia" w:ascii="宋体" w:hAnsi="宋体" w:cs="宋体"/>
                <w:color w:val="000000"/>
                <w:szCs w:val="21"/>
              </w:rPr>
              <w:t xml:space="preserve">  一、</w:t>
            </w:r>
          </w:p>
          <w:p w14:paraId="72C40D95">
            <w:pPr>
              <w:jc w:val="center"/>
              <w:rPr>
                <w:rFonts w:ascii="宋体" w:hAnsi="宋体" w:cs="宋体"/>
                <w:color w:val="000000"/>
                <w:szCs w:val="21"/>
              </w:rPr>
            </w:pPr>
            <w:bookmarkStart w:id="5" w:name="_Toc459882015"/>
            <w:r>
              <w:rPr>
                <w:rFonts w:hint="eastAsia" w:ascii="宋体" w:hAnsi="宋体" w:cs="宋体"/>
                <w:color w:val="000000"/>
                <w:szCs w:val="21"/>
              </w:rPr>
              <w:t>前</w:t>
            </w:r>
            <w:bookmarkEnd w:id="5"/>
          </w:p>
          <w:p w14:paraId="44FF6844">
            <w:pPr>
              <w:jc w:val="center"/>
              <w:rPr>
                <w:rFonts w:ascii="宋体" w:hAnsi="宋体" w:cs="宋体"/>
                <w:color w:val="000000"/>
                <w:szCs w:val="21"/>
              </w:rPr>
            </w:pPr>
            <w:bookmarkStart w:id="6" w:name="_Toc459882016"/>
            <w:r>
              <w:rPr>
                <w:rFonts w:hint="eastAsia" w:ascii="宋体" w:hAnsi="宋体" w:cs="宋体"/>
                <w:color w:val="000000"/>
                <w:szCs w:val="21"/>
              </w:rPr>
              <w:t>期</w:t>
            </w:r>
            <w:bookmarkEnd w:id="6"/>
          </w:p>
          <w:p w14:paraId="3B4C42A8">
            <w:pPr>
              <w:jc w:val="center"/>
              <w:rPr>
                <w:rFonts w:ascii="宋体" w:hAnsi="宋体" w:cs="宋体"/>
                <w:color w:val="000000"/>
                <w:szCs w:val="21"/>
              </w:rPr>
            </w:pPr>
            <w:bookmarkStart w:id="7" w:name="_Toc459882017"/>
            <w:r>
              <w:rPr>
                <w:rFonts w:hint="eastAsia" w:ascii="宋体" w:hAnsi="宋体" w:cs="宋体"/>
                <w:color w:val="000000"/>
                <w:szCs w:val="21"/>
              </w:rPr>
              <w:t>工</w:t>
            </w:r>
            <w:bookmarkEnd w:id="7"/>
          </w:p>
          <w:p w14:paraId="50D09B06">
            <w:pPr>
              <w:jc w:val="center"/>
              <w:rPr>
                <w:rFonts w:ascii="宋体" w:hAnsi="宋体" w:cs="宋体"/>
                <w:color w:val="000000"/>
                <w:szCs w:val="21"/>
              </w:rPr>
            </w:pPr>
            <w:bookmarkStart w:id="8" w:name="_Toc459882018"/>
            <w:r>
              <w:rPr>
                <w:rFonts w:hint="eastAsia" w:ascii="宋体" w:hAnsi="宋体" w:cs="宋体"/>
                <w:color w:val="000000"/>
                <w:szCs w:val="21"/>
              </w:rPr>
              <w:t>作</w:t>
            </w:r>
            <w:bookmarkEnd w:id="8"/>
          </w:p>
          <w:p w14:paraId="64C82D75">
            <w:pPr>
              <w:jc w:val="center"/>
              <w:rPr>
                <w:rFonts w:ascii="宋体" w:hAnsi="宋体" w:cs="宋体"/>
                <w:color w:val="000000"/>
                <w:szCs w:val="21"/>
              </w:rPr>
            </w:pPr>
            <w:bookmarkStart w:id="9" w:name="_Toc459882019"/>
            <w:r>
              <w:rPr>
                <w:rFonts w:hint="eastAsia" w:ascii="宋体" w:hAnsi="宋体" w:cs="宋体"/>
                <w:color w:val="000000"/>
                <w:szCs w:val="21"/>
              </w:rPr>
              <w:t>基</w:t>
            </w:r>
            <w:bookmarkEnd w:id="9"/>
          </w:p>
          <w:p w14:paraId="54D99B8C">
            <w:pPr>
              <w:jc w:val="center"/>
              <w:rPr>
                <w:rFonts w:ascii="宋体" w:hAnsi="宋体" w:cs="宋体"/>
                <w:color w:val="000000"/>
                <w:szCs w:val="21"/>
              </w:rPr>
            </w:pPr>
            <w:bookmarkStart w:id="10" w:name="_Toc459882020"/>
            <w:r>
              <w:rPr>
                <w:rFonts w:hint="eastAsia" w:ascii="宋体" w:hAnsi="宋体" w:cs="宋体"/>
                <w:color w:val="000000"/>
                <w:szCs w:val="21"/>
              </w:rPr>
              <w:t>础</w:t>
            </w:r>
            <w:bookmarkEnd w:id="10"/>
          </w:p>
        </w:tc>
        <w:tc>
          <w:tcPr>
            <w:tcW w:w="7383" w:type="dxa"/>
            <w:gridSpan w:val="9"/>
            <w:tcBorders>
              <w:top w:val="single" w:color="auto" w:sz="4" w:space="0"/>
              <w:left w:val="single" w:color="auto" w:sz="4" w:space="0"/>
              <w:bottom w:val="single" w:color="auto" w:sz="4" w:space="0"/>
              <w:right w:val="single" w:color="auto" w:sz="4" w:space="0"/>
            </w:tcBorders>
          </w:tcPr>
          <w:p w14:paraId="44FBA5DF">
            <w:pPr>
              <w:rPr>
                <w:rFonts w:ascii="宋体" w:hAnsi="宋体" w:cs="宋体"/>
                <w:color w:val="000000"/>
                <w:szCs w:val="21"/>
              </w:rPr>
            </w:pPr>
            <w:bookmarkStart w:id="11" w:name="_Toc459882021"/>
            <w:r>
              <w:rPr>
                <w:rFonts w:hint="eastAsia" w:ascii="宋体" w:hAnsi="宋体" w:cs="宋体"/>
                <w:color w:val="000000"/>
                <w:szCs w:val="21"/>
              </w:rPr>
              <w:t>课程学习及选题开题阶段，在导师指导下从事研究工作总结（不少于500字）</w:t>
            </w:r>
            <w:bookmarkEnd w:id="11"/>
          </w:p>
          <w:p w14:paraId="44FBA5DF">
            <w:pPr>
              <w:rPr>
                <w:rFonts w:ascii="宋体" w:hAnsi="宋体" w:cs="宋体"/>
                <w:color w:val="000000"/>
                <w:szCs w:val="21"/>
              </w:rPr>
            </w:pPr>
            <w:r>
              <w:rPr>
                <w:rFonts w:hint="eastAsia" w:ascii="宋体" w:hAnsi="宋体" w:cs="宋体"/>
                <w:color w:val="000000"/>
                <w:szCs w:val="21"/>
              </w:rPr>
              <w:t>一、学术背景与课程学习</w:t>
            </w:r>
          </w:p>
          <w:p w14:paraId="4743E848">
            <w:pPr>
              <w:ind w:firstLine="420" w:firstLineChars="200"/>
              <w:rPr>
                <w:rFonts w:ascii="宋体" w:hAnsi="宋体" w:cs="宋体"/>
                <w:color w:val="000000"/>
                <w:szCs w:val="21"/>
              </w:rPr>
            </w:pPr>
            <w:r>
              <w:rPr>
                <w:rFonts w:hint="eastAsia" w:ascii="宋体" w:hAnsi="宋体" w:cs="宋体"/>
                <w:color w:val="000000"/>
                <w:szCs w:val="21"/>
              </w:rPr>
              <w:t>【待补充：攻读工程管理专业硕士学位期间的课程学习情况总结】</w:t>
            </w:r>
          </w:p>
          <w:p w14:paraId="44FBA5DF">
            <w:pPr>
              <w:rPr>
                <w:rFonts w:ascii="宋体" w:hAnsi="宋体" w:cs="宋体"/>
                <w:color w:val="000000"/>
                <w:szCs w:val="21"/>
              </w:rPr>
            </w:pPr>
            <w:r>
              <w:rPr>
                <w:rFonts w:hint="eastAsia" w:ascii="宋体" w:hAnsi="宋体" w:cs="宋体"/>
                <w:color w:val="000000"/>
                <w:szCs w:val="21"/>
              </w:rPr>
              <w:t>二、选题开题阶段的准备工作</w:t>
            </w:r>
          </w:p>
          <w:p w14:paraId="4743E848">
            <w:pPr>
              <w:ind w:firstLine="420" w:firstLineChars="200"/>
              <w:rPr>
                <w:rFonts w:ascii="宋体" w:hAnsi="宋体" w:cs="宋体"/>
                <w:color w:val="000000"/>
                <w:szCs w:val="21"/>
              </w:rPr>
            </w:pPr>
            <w:r>
              <w:rPr>
                <w:rFonts w:hint="eastAsia" w:ascii="宋体" w:hAnsi="宋体" w:cs="宋体"/>
                <w:color w:val="000000"/>
                <w:szCs w:val="21"/>
              </w:rPr>
              <w:t>本文以火焰和烟雾作为研究对象。火烟是火灾最核心的视觉特征，识别效果直接关系财产安全。火烟属于非刚性目标，形态多变、边界弥散，早期尺度很小，容易与背景混淆。与边界清晰的刚性物体相比，火烟边界模糊，不同标注人员对目标范围的判断差异较大。这种对标注尺度敏感的特点，适合用来检验自动标签生成算法。本文方法也有通用性，后续可推广到油污泄漏等其他非刚性目标。[1-3,17-18,20]</w:t>
            </w:r>
          </w:p>
          <w:p w14:paraId="4743E848">
            <w:pPr>
              <w:ind w:firstLine="420" w:firstLineChars="200"/>
              <w:rPr>
                <w:rFonts w:ascii="宋体" w:hAnsi="宋体" w:cs="宋体"/>
                <w:color w:val="000000"/>
                <w:szCs w:val="21"/>
              </w:rPr>
            </w:pPr>
            <w:r>
              <w:rPr>
                <w:rFonts w:hint="eastAsia" w:ascii="宋体" w:hAnsi="宋体" w:cs="宋体"/>
                <w:color w:val="000000"/>
                <w:szCs w:val="21"/>
              </w:rPr>
              <w:t>近年来，Grounding DINO 和 SAM 等视觉大模型发展较快，为自动标注提供了新手段。这类模型有零样本定位和分割能力，可以生成大规模伪标签。目前关注点已不只是验证可行性，而是解决工程落地问题：如何提高标签一致性，如何量化后处理收益，不同数据规模下如何选择生产流程。[4-7,17-18,24-25,32-33]</w:t>
            </w:r>
          </w:p>
          <w:p w14:paraId="4743E848">
            <w:pPr>
              <w:ind w:firstLine="420" w:firstLineChars="200"/>
              <w:rPr>
                <w:rFonts w:ascii="宋体" w:hAnsi="宋体" w:cs="宋体"/>
                <w:color w:val="000000"/>
                <w:szCs w:val="21"/>
              </w:rPr>
            </w:pPr>
            <w:r>
              <w:rPr>
                <w:rFonts w:hint="eastAsia" w:ascii="宋体" w:hAnsi="宋体" w:cs="宋体"/>
                <w:color w:val="000000"/>
                <w:szCs w:val="21"/>
              </w:rPr>
              <w:t>在选题与开题阶段，经文献调研与导师指导，明确本研究围绕三个主要挑战展开：一是如何稳定生成可直接用于训练的伪标签；二是如何针对火烟特性设计 SAM3 后置处理策略，并验证实际增量；三是数据规模扩大后如何选择标签生产流程。</w:t>
            </w:r>
          </w:p>
          <w:p w14:paraId="44FBA5DF">
            <w:pPr>
              <w:rPr>
                <w:rFonts w:ascii="宋体" w:hAnsi="宋体" w:cs="宋体"/>
                <w:color w:val="000000"/>
                <w:szCs w:val="21"/>
              </w:rPr>
            </w:pPr>
            <w:r>
              <w:rPr>
                <w:rFonts w:hint="eastAsia" w:ascii="宋体" w:hAnsi="宋体" w:cs="宋体"/>
                <w:color w:val="000000"/>
                <w:szCs w:val="21"/>
              </w:rPr>
              <w:t>三、前期研究工作与准备</w:t>
            </w:r>
          </w:p>
          <w:p w14:paraId="4743E848">
            <w:pPr>
              <w:ind w:firstLine="420" w:firstLineChars="200"/>
              <w:rPr>
                <w:rFonts w:ascii="宋体" w:hAnsi="宋体" w:cs="宋体"/>
                <w:color w:val="000000"/>
                <w:szCs w:val="21"/>
              </w:rPr>
            </w:pPr>
            <w:r>
              <w:rPr>
                <w:rFonts w:hint="eastAsia" w:ascii="宋体" w:hAnsi="宋体" w:cs="宋体"/>
                <w:color w:val="000000"/>
                <w:szCs w:val="21"/>
              </w:rPr>
              <w:t>目前已完成 Grounding DINO 冷启动、语义提示评测工具、生产版 Grounding DINO selector、统一 YOLO 训练与验证、SAM3 Verifier/Append/Refiner 角色消融、针对火焰的 Append 算法、IoF 重复候选过滤以及逐图审计和可视化输出等模块。现有代码链条能够把图像来源、提示配置、伪标签版本、级联处理、训练运行和测试报告串联起来，工程记录方式符合机器学习系统配置管理和可复现性要求。 [15,23,28]。</w:t>
            </w:r>
          </w:p>
          <w:p w14:paraId="4743E848">
            <w:pPr>
              <w:ind w:firstLine="420" w:firstLineChars="200"/>
              <w:rPr>
                <w:rFonts w:ascii="宋体" w:hAnsi="宋体" w:cs="宋体"/>
                <w:color w:val="000000"/>
                <w:szCs w:val="21"/>
              </w:rPr>
            </w:pPr>
            <w:r>
              <w:rPr>
                <w:rFonts w:hint="eastAsia" w:ascii="宋体" w:hAnsi="宋体" w:cs="宋体"/>
                <w:color w:val="000000"/>
                <w:szCs w:val="21"/>
              </w:rPr>
              <w:t>当前已有约3000张图像数据，能够支撑开发集配置选择、单次消融和阶段可比分析。正式结论将在流程冻结后使用隔离测试进一步确认。不同数据来源、用途、版本和处理规则均纳入数据记录，以保证后续结果能够反查[13,23,26]。</w:t>
            </w:r>
          </w:p>
          <w:p w14:paraId="44FBA5DF">
            <w:pPr>
              <w:rPr>
                <w:rFonts w:ascii="宋体" w:hAnsi="宋体" w:cs="宋体"/>
                <w:color w:val="000000"/>
                <w:szCs w:val="21"/>
              </w:rPr>
            </w:pPr>
            <w:r>
              <w:rPr>
                <w:rFonts w:hint="eastAsia" w:ascii="宋体" w:hAnsi="宋体" w:cs="宋体"/>
                <w:color w:val="000000"/>
                <w:szCs w:val="21"/>
              </w:rPr>
              <w:t>四、研究计划与后续工作</w:t>
            </w:r>
          </w:p>
          <w:p w14:paraId="4743E848">
            <w:pPr>
              <w:ind w:firstLine="420" w:firstLineChars="200"/>
              <w:rPr>
                <w:rFonts w:ascii="宋体" w:hAnsi="宋体" w:cs="宋体"/>
                <w:color w:val="000000"/>
                <w:szCs w:val="21"/>
              </w:rPr>
            </w:pPr>
            <w:r>
              <w:rPr>
                <w:rFonts w:hint="eastAsia" w:ascii="宋体" w:hAnsi="宋体" w:cs="宋体"/>
                <w:color w:val="000000"/>
                <w:szCs w:val="21"/>
              </w:rPr>
              <w:t>现有实验已能支持三类 SAM3 后置角色的阶段判断。Verifier 有继续稳定性复验的候选价值，但仍需关注误删真目标和 Recall 下降。Append 具备补漏可能性，但新增候选的 Precision、重复框和边界风格仍需进一步抽检与去重。Refiner 直接重塑 Grounding DINO 框时出现明显下游退化，因此当前保持 Stop。该结果也说明，更细粒度的空间边界并不天然等于更好的检测训练监督。[18,20,30]。</w:t>
            </w:r>
          </w:p>
          <w:p w14:paraId="4743E848">
            <w:pPr>
              <w:ind w:firstLine="420" w:firstLineChars="200"/>
              <w:rPr>
                <w:rFonts w:ascii="宋体" w:hAnsi="宋体" w:cs="宋体"/>
                <w:color w:val="000000"/>
                <w:szCs w:val="21"/>
              </w:rPr>
            </w:pPr>
            <w:r>
              <w:rPr>
                <w:rFonts w:hint="eastAsia" w:ascii="宋体" w:hAnsi="宋体" w:cs="宋体"/>
                <w:color w:val="000000"/>
                <w:szCs w:val="21"/>
              </w:rPr>
              <w:t>下阶段将优先评估 Verifier 的稳定性，并深入研究 Append 候选集的数据质量和去重策略。针对 Refiner，暂不开展全量实验；只有边界规则重新明确，且开发集评测证实其能同时优化几何质量和 YOLO 核心指标时，才重启验证。</w:t>
            </w:r>
          </w:p>
          <w:p w14:paraId="4743E848">
            <w:pPr>
              <w:ind w:firstLine="420" w:firstLineChars="200"/>
              <w:rPr>
                <w:rFonts w:ascii="宋体" w:hAnsi="宋体" w:cs="宋体"/>
                <w:color w:val="000000"/>
                <w:szCs w:val="21"/>
              </w:rPr>
            </w:pPr>
            <w:r>
              <w:rPr>
                <w:rFonts w:hint="eastAsia" w:ascii="宋体" w:hAnsi="宋体" w:cs="宋体"/>
                <w:color w:val="000000"/>
                <w:szCs w:val="21"/>
              </w:rPr>
              <w:t>为更全面论证伪标签质量，后续工作不再单一依赖下游任务效用验证。研究将构建多维度内部质量指标，从标签噪声率、几何拟合精确度和语义覆盖度等底层指标出发，直接量化伪标签绝对质量。最终技术方案定型后，将引入多随机种子进行鲁棒性训练，并在隔离测试集上完成最终泛化性能测试。</w:t>
            </w:r>
          </w:p>
        </w:tc>
      </w:tr>
      <w:tr w14:paraId="6D54E1F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897" w:type="dxa"/>
            <w:tcBorders>
              <w:top w:val="single" w:color="auto" w:sz="4" w:space="0"/>
              <w:left w:val="single" w:color="auto" w:sz="4" w:space="0"/>
              <w:bottom w:val="single" w:color="auto" w:sz="4" w:space="0"/>
              <w:right w:val="single" w:color="auto" w:sz="4" w:space="0"/>
            </w:tcBorders>
          </w:tcPr>
          <w:p w14:paraId="75C24F5E">
            <w:pPr>
              <w:jc w:val="center"/>
              <w:rPr>
                <w:rFonts w:ascii="宋体" w:hAnsi="宋体" w:cs="宋体"/>
                <w:color w:val="000000"/>
                <w:szCs w:val="21"/>
              </w:rPr>
            </w:pPr>
            <w:r>
              <w:rPr>
                <w:rFonts w:hint="eastAsia" w:ascii="宋体" w:hAnsi="宋体" w:cs="宋体"/>
                <w:color w:val="000000"/>
                <w:szCs w:val="21"/>
              </w:rPr>
              <w:t xml:space="preserve"> 二、</w:t>
            </w:r>
          </w:p>
          <w:p w14:paraId="7A091D00">
            <w:pPr>
              <w:jc w:val="center"/>
              <w:rPr>
                <w:rFonts w:ascii="宋体" w:hAnsi="宋体" w:cs="宋体"/>
                <w:color w:val="000000"/>
                <w:szCs w:val="21"/>
              </w:rPr>
            </w:pPr>
          </w:p>
          <w:p w14:paraId="1BD73ADE">
            <w:pPr>
              <w:jc w:val="center"/>
              <w:rPr>
                <w:rFonts w:ascii="宋体" w:hAnsi="宋体" w:cs="宋体"/>
                <w:color w:val="000000"/>
                <w:szCs w:val="21"/>
              </w:rPr>
            </w:pPr>
            <w:r>
              <w:rPr>
                <w:rFonts w:hint="eastAsia" w:ascii="宋体" w:hAnsi="宋体" w:cs="宋体"/>
                <w:color w:val="000000"/>
                <w:szCs w:val="21"/>
              </w:rPr>
              <w:t>论</w:t>
            </w:r>
          </w:p>
          <w:p w14:paraId="684859D2">
            <w:pPr>
              <w:jc w:val="center"/>
              <w:rPr>
                <w:rFonts w:ascii="宋体" w:hAnsi="宋体" w:cs="宋体"/>
                <w:color w:val="000000"/>
                <w:szCs w:val="21"/>
              </w:rPr>
            </w:pPr>
            <w:r>
              <w:rPr>
                <w:rFonts w:hint="eastAsia" w:ascii="宋体" w:hAnsi="宋体" w:cs="宋体"/>
                <w:color w:val="000000"/>
                <w:szCs w:val="21"/>
              </w:rPr>
              <w:t>文</w:t>
            </w:r>
          </w:p>
          <w:p w14:paraId="2E7DBF78">
            <w:pPr>
              <w:jc w:val="center"/>
              <w:rPr>
                <w:rFonts w:ascii="宋体" w:hAnsi="宋体" w:cs="宋体"/>
                <w:color w:val="000000"/>
                <w:szCs w:val="21"/>
              </w:rPr>
            </w:pPr>
            <w:r>
              <w:rPr>
                <w:rFonts w:hint="eastAsia" w:ascii="宋体" w:hAnsi="宋体" w:cs="宋体"/>
                <w:color w:val="000000"/>
                <w:szCs w:val="21"/>
              </w:rPr>
              <w:t>选</w:t>
            </w:r>
          </w:p>
          <w:p w14:paraId="1CBF1F39">
            <w:pPr>
              <w:jc w:val="center"/>
              <w:rPr>
                <w:rFonts w:ascii="宋体" w:hAnsi="宋体" w:cs="宋体"/>
                <w:color w:val="000000"/>
                <w:szCs w:val="21"/>
              </w:rPr>
            </w:pPr>
            <w:r>
              <w:rPr>
                <w:rFonts w:hint="eastAsia" w:ascii="宋体" w:hAnsi="宋体" w:cs="宋体"/>
                <w:color w:val="000000"/>
                <w:szCs w:val="21"/>
              </w:rPr>
              <w:t>题</w:t>
            </w:r>
          </w:p>
          <w:p w14:paraId="4ADF587D">
            <w:pPr>
              <w:jc w:val="center"/>
              <w:rPr>
                <w:rFonts w:ascii="宋体" w:hAnsi="宋体" w:cs="宋体"/>
                <w:color w:val="000000"/>
                <w:szCs w:val="21"/>
              </w:rPr>
            </w:pPr>
            <w:r>
              <w:rPr>
                <w:rFonts w:hint="eastAsia" w:ascii="宋体" w:hAnsi="宋体" w:cs="宋体"/>
                <w:color w:val="000000"/>
                <w:szCs w:val="21"/>
              </w:rPr>
              <w:t>理</w:t>
            </w:r>
          </w:p>
          <w:p w14:paraId="7D5F6B9A">
            <w:pPr>
              <w:jc w:val="center"/>
              <w:rPr>
                <w:rFonts w:ascii="宋体" w:hAnsi="宋体" w:cs="宋体"/>
                <w:color w:val="000000"/>
                <w:szCs w:val="21"/>
              </w:rPr>
            </w:pPr>
            <w:r>
              <w:rPr>
                <w:rFonts w:hint="eastAsia" w:ascii="宋体" w:hAnsi="宋体" w:cs="宋体"/>
                <w:color w:val="000000"/>
                <w:szCs w:val="21"/>
              </w:rPr>
              <w:t>论</w:t>
            </w:r>
          </w:p>
          <w:p w14:paraId="2EE187AA">
            <w:pPr>
              <w:jc w:val="center"/>
              <w:rPr>
                <w:rFonts w:ascii="宋体" w:hAnsi="宋体" w:cs="宋体"/>
                <w:color w:val="000000"/>
                <w:szCs w:val="21"/>
              </w:rPr>
            </w:pPr>
            <w:r>
              <w:rPr>
                <w:rFonts w:hint="eastAsia" w:ascii="宋体" w:hAnsi="宋体" w:cs="宋体"/>
                <w:color w:val="000000"/>
                <w:szCs w:val="21"/>
              </w:rPr>
              <w:t>意</w:t>
            </w:r>
          </w:p>
          <w:p w14:paraId="4DBC16EE">
            <w:pPr>
              <w:jc w:val="center"/>
              <w:rPr>
                <w:rFonts w:ascii="宋体" w:hAnsi="宋体" w:cs="宋体"/>
                <w:color w:val="000000"/>
                <w:szCs w:val="21"/>
              </w:rPr>
            </w:pPr>
            <w:r>
              <w:rPr>
                <w:rFonts w:hint="eastAsia" w:ascii="宋体" w:hAnsi="宋体" w:cs="宋体"/>
                <w:color w:val="000000"/>
                <w:szCs w:val="21"/>
              </w:rPr>
              <w:t>义</w:t>
            </w:r>
          </w:p>
          <w:p w14:paraId="5293985D">
            <w:pPr>
              <w:jc w:val="center"/>
              <w:rPr>
                <w:rFonts w:ascii="宋体" w:hAnsi="宋体" w:cs="宋体"/>
                <w:color w:val="000000"/>
                <w:szCs w:val="21"/>
              </w:rPr>
            </w:pPr>
            <w:r>
              <w:rPr>
                <w:rFonts w:hint="eastAsia" w:ascii="宋体" w:hAnsi="宋体" w:cs="宋体"/>
                <w:color w:val="000000"/>
                <w:szCs w:val="21"/>
              </w:rPr>
              <w:t>、</w:t>
            </w:r>
          </w:p>
          <w:p w14:paraId="7515470C">
            <w:pPr>
              <w:jc w:val="center"/>
              <w:rPr>
                <w:rFonts w:ascii="宋体" w:hAnsi="宋体" w:cs="宋体"/>
                <w:color w:val="000000"/>
                <w:szCs w:val="21"/>
              </w:rPr>
            </w:pPr>
            <w:r>
              <w:rPr>
                <w:rFonts w:hint="eastAsia" w:ascii="宋体" w:hAnsi="宋体" w:cs="宋体"/>
                <w:color w:val="000000"/>
                <w:szCs w:val="21"/>
              </w:rPr>
              <w:t>实</w:t>
            </w:r>
          </w:p>
          <w:p w14:paraId="5296C0B9">
            <w:pPr>
              <w:jc w:val="center"/>
              <w:rPr>
                <w:rFonts w:ascii="宋体" w:hAnsi="宋体" w:cs="宋体"/>
                <w:color w:val="000000"/>
                <w:szCs w:val="21"/>
              </w:rPr>
            </w:pPr>
            <w:r>
              <w:rPr>
                <w:rFonts w:hint="eastAsia" w:ascii="宋体" w:hAnsi="宋体" w:cs="宋体"/>
                <w:color w:val="000000"/>
                <w:szCs w:val="21"/>
              </w:rPr>
              <w:t>用</w:t>
            </w:r>
          </w:p>
          <w:p w14:paraId="1566090E">
            <w:pPr>
              <w:jc w:val="center"/>
              <w:rPr>
                <w:rFonts w:ascii="宋体" w:hAnsi="宋体" w:cs="宋体"/>
                <w:color w:val="000000"/>
                <w:szCs w:val="21"/>
              </w:rPr>
            </w:pPr>
            <w:r>
              <w:rPr>
                <w:rFonts w:hint="eastAsia" w:ascii="宋体" w:hAnsi="宋体" w:cs="宋体"/>
                <w:color w:val="000000"/>
                <w:szCs w:val="21"/>
              </w:rPr>
              <w:t>价</w:t>
            </w:r>
          </w:p>
          <w:p w14:paraId="70B7EB80">
            <w:pPr>
              <w:jc w:val="center"/>
              <w:rPr>
                <w:rFonts w:ascii="宋体" w:hAnsi="宋体" w:cs="宋体"/>
                <w:color w:val="000000"/>
                <w:szCs w:val="21"/>
              </w:rPr>
            </w:pPr>
            <w:r>
              <w:rPr>
                <w:rFonts w:hint="eastAsia" w:ascii="宋体" w:hAnsi="宋体" w:cs="宋体"/>
                <w:color w:val="000000"/>
                <w:szCs w:val="21"/>
              </w:rPr>
              <w:t>值</w:t>
            </w:r>
          </w:p>
        </w:tc>
        <w:tc>
          <w:tcPr>
            <w:tcW w:w="7383" w:type="dxa"/>
            <w:gridSpan w:val="9"/>
            <w:tcBorders>
              <w:top w:val="single" w:color="auto" w:sz="4" w:space="0"/>
              <w:left w:val="single" w:color="auto" w:sz="4" w:space="0"/>
              <w:bottom w:val="single" w:color="auto" w:sz="4" w:space="0"/>
              <w:right w:val="single" w:color="auto" w:sz="4" w:space="0"/>
            </w:tcBorders>
          </w:tcPr>
          <w:p w14:paraId="664E711B">
            <w:pPr>
              <w:rPr>
                <w:rFonts w:ascii="宋体" w:hAnsi="宋体" w:cs="宋体"/>
                <w:color w:val="000000"/>
                <w:szCs w:val="21"/>
              </w:rPr>
            </w:pPr>
            <w:r>
              <w:rPr>
                <w:rFonts w:hint="eastAsia" w:ascii="宋体" w:hAnsi="宋体" w:cs="宋体"/>
                <w:color w:val="000000"/>
                <w:szCs w:val="21"/>
              </w:rPr>
              <w:t>2.1 研究意义与价值</w:t>
            </w:r>
          </w:p>
          <w:p w14:paraId="60D4CC1E">
            <w:pPr>
              <w:ind w:firstLine="420" w:firstLineChars="200"/>
              <w:rPr>
                <w:rFonts w:ascii="宋体" w:hAnsi="宋体" w:cs="宋体"/>
                <w:color w:val="000000"/>
                <w:szCs w:val="21"/>
              </w:rPr>
            </w:pPr>
            <w:r>
              <w:rPr>
                <w:rFonts w:hint="eastAsia" w:ascii="宋体" w:hAnsi="宋体" w:cs="宋体"/>
                <w:color w:val="000000"/>
                <w:szCs w:val="21"/>
              </w:rPr>
              <w:t>在森林火灾、危化园区和仓储管线等场景中，智能监控离不开计算机视觉。YOLO 等主流目标检测算法依赖全监督学习，需要大量高质量人工标注。火烟样本标注成本高、周期长，而且火烟形态特殊，人工标注容易带主观偏差，影响模型迭代。因此，如何自动生成可用标注数据，是当前数据制备中的主要问题。[1-3]</w:t>
            </w:r>
          </w:p>
          <w:p w14:paraId="60D4CC1E">
            <w:pPr>
              <w:ind w:firstLine="420" w:firstLineChars="200"/>
              <w:rPr>
                <w:rFonts w:ascii="宋体" w:hAnsi="宋体" w:cs="宋体"/>
                <w:color w:val="000000"/>
                <w:szCs w:val="21"/>
              </w:rPr>
            </w:pPr>
            <w:r>
              <w:rPr>
                <w:rFonts w:hint="eastAsia" w:ascii="宋体" w:hAnsi="宋体" w:cs="宋体"/>
                <w:color w:val="000000"/>
                <w:szCs w:val="21"/>
              </w:rPr>
              <w:t>本文以火焰和烟雾作为研究对象。火烟是火灾最核心的视觉特征，识别效果直接关系财产安全。火烟属于非刚性目标，形态多变、边界弥散，早期尺度很小，容易与背景混淆。与边界清晰的刚性物体相比，火烟边界模糊，不同标注人员对目标范围的判断差异较大。这种对标注尺度敏感的特点，适合用来检验自动标签生成算法。本文方法也有通用性，后续可推广到油污泄漏等其他非刚性目标。[1-3,17-18,20]</w:t>
            </w:r>
          </w:p>
          <w:p w14:paraId="60D4CC1E">
            <w:pPr>
              <w:ind w:firstLine="420" w:firstLineChars="200"/>
              <w:rPr>
                <w:rFonts w:ascii="宋体" w:hAnsi="宋体" w:cs="宋体"/>
                <w:color w:val="000000"/>
                <w:szCs w:val="21"/>
              </w:rPr>
            </w:pPr>
            <w:r>
              <w:rPr>
                <w:rFonts w:hint="eastAsia" w:ascii="宋体" w:hAnsi="宋体" w:cs="宋体"/>
                <w:color w:val="000000"/>
                <w:szCs w:val="21"/>
              </w:rPr>
              <w:t>近年来，Grounding DINO 和 SAM 等视觉大模型发展较快，为自动标注提供了新手段。这类模型有零样本定位和分割能力，可以生成大规模伪标签。目前关注点已不只是验证可行性，而是解决工程落地问题：如何提高标签一致性，如何量化后处理收益，不同数据规模下如何选择生产流程。[4-7,17-18,24-25,32-33]</w:t>
            </w:r>
          </w:p>
          <w:p w14:paraId="60D4CC1E">
            <w:pPr>
              <w:ind w:firstLine="420" w:firstLineChars="200"/>
              <w:rPr>
                <w:rFonts w:ascii="宋体" w:hAnsi="宋体" w:cs="宋体"/>
                <w:color w:val="000000"/>
                <w:szCs w:val="21"/>
              </w:rPr>
            </w:pPr>
            <w:r>
              <w:rPr>
                <w:rFonts w:hint="eastAsia" w:ascii="宋体" w:hAnsi="宋体" w:cs="宋体"/>
                <w:color w:val="000000"/>
                <w:szCs w:val="21"/>
              </w:rPr>
              <w:t>本研究面向火烟目标检测训练数据构建，目标是减少对全量人工逐框标注的依赖，同时避免只追求数据量而忽视标注精度。为此，本文先构建并固化基于 Grounding DINO 的 V1 伪标签自动生成流程，再设计并验证面向火焰和烟雾的 SAM3 后置校验与候选治理方法，最后比较不同数据规模下的投入和效果。</w:t>
            </w:r>
          </w:p>
          <w:p w14:paraId="60D4CC1E">
            <w:pPr>
              <w:ind w:firstLine="420" w:firstLineChars="200"/>
              <w:rPr>
                <w:rFonts w:ascii="宋体" w:hAnsi="宋体" w:cs="宋体"/>
                <w:color w:val="000000"/>
                <w:szCs w:val="21"/>
              </w:rPr>
            </w:pPr>
            <w:r>
              <w:rPr>
                <w:rFonts w:hint="eastAsia" w:ascii="宋体" w:hAnsi="宋体" w:cs="宋体"/>
                <w:color w:val="000000"/>
                <w:szCs w:val="21"/>
              </w:rPr>
              <w:t>在方法层面，本文将标签质量诊断和 YOLO 下游训练效用分开评估。IoU、漏检、误检和框偏差可以解释标签差异，但不能直接等同于模型训练增益。标签噪声研究也表明，错误标签和定位噪声会影响模型学习。因此，本文用标签指标解释问题，用统一训练协议下的 YOLO 结果判断流程是否值得保留。</w:t>
            </w:r>
          </w:p>
          <w:p w14:paraId="60D4CC1E">
            <w:pPr>
              <w:ind w:firstLine="420" w:firstLineChars="200"/>
              <w:rPr>
                <w:rFonts w:ascii="宋体" w:hAnsi="宋体" w:cs="宋体"/>
                <w:color w:val="000000"/>
                <w:szCs w:val="21"/>
              </w:rPr>
            </w:pPr>
            <w:r>
              <w:rPr>
                <w:rFonts w:hint="eastAsia" w:ascii="宋体" w:hAnsi="宋体" w:cs="宋体"/>
                <w:color w:val="000000"/>
                <w:szCs w:val="21"/>
              </w:rPr>
              <w:t>在工程落地层面，本文关注标签生产流程的综合价值，不只看单个模型指标。为此引入三项机制：一是用 Stage-Gate 阶段门控做动态熔断，避免无效实验消耗算力[11]；二是用 Pareto 非支配关系，在精度、时间和人工投入之间筛选候选流程[12]；三是坚持全链路可复现，确保原始数据、配置、伪标签和下游训练结果都能反查[13-15,23,26-28]。</w:t>
            </w:r>
          </w:p>
          <w:p w14:paraId="60D4CC1E">
            <w:pPr>
              <w:ind w:firstLine="420" w:firstLineChars="200"/>
              <w:rPr>
                <w:rFonts w:ascii="宋体" w:hAnsi="宋体" w:cs="宋体"/>
                <w:color w:val="000000"/>
                <w:szCs w:val="21"/>
              </w:rPr>
            </w:pPr>
            <w:r>
              <w:rPr>
                <w:rFonts w:hint="eastAsia" w:ascii="宋体" w:hAnsi="宋体" w:cs="宋体"/>
                <w:color w:val="000000"/>
                <w:szCs w:val="21"/>
              </w:rPr>
              <w:t>从实用价值看，本研究预期可显著降低标签制备成本：纯人工约 1.5 元/张，自动化流程约 0.2 元/张，仅抽检修正，成本下降约 87%；10k 量级标注周期由人工数十小时降至 GPU 约 1 小时级，交付周期数量级缩短；V1 伪标签 mAP50 约 0.665，人工 GT 约 0.743，下游性能保留约 90%，可为大规模火烟检测模型训练提供高质量、低成本的数据支撑。</w:t>
            </w:r>
          </w:p>
        </w:tc>
      </w:tr>
      <w:tr w14:paraId="37E2E3A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897" w:type="dxa"/>
            <w:tcBorders>
              <w:top w:val="single" w:color="auto" w:sz="4" w:space="0"/>
              <w:left w:val="single" w:color="auto" w:sz="4" w:space="0"/>
              <w:bottom w:val="single" w:color="auto" w:sz="4" w:space="0"/>
              <w:right w:val="single" w:color="auto" w:sz="4" w:space="0"/>
            </w:tcBorders>
          </w:tcPr>
          <w:p w14:paraId="6BBDCDE7">
            <w:pPr>
              <w:jc w:val="center"/>
              <w:rPr>
                <w:rFonts w:ascii="宋体" w:hAnsi="宋体" w:cs="宋体"/>
                <w:color w:val="000000"/>
                <w:szCs w:val="21"/>
              </w:rPr>
            </w:pPr>
          </w:p>
          <w:p w14:paraId="2A7727BC">
            <w:pPr>
              <w:jc w:val="center"/>
              <w:rPr>
                <w:rFonts w:ascii="宋体" w:hAnsi="宋体" w:cs="宋体"/>
                <w:color w:val="000000"/>
                <w:szCs w:val="21"/>
              </w:rPr>
            </w:pPr>
          </w:p>
          <w:p w14:paraId="698FDFF7">
            <w:pPr>
              <w:jc w:val="center"/>
              <w:rPr>
                <w:rFonts w:ascii="宋体" w:hAnsi="宋体" w:cs="宋体"/>
                <w:color w:val="000000"/>
                <w:szCs w:val="21"/>
              </w:rPr>
            </w:pPr>
            <w:r>
              <w:rPr>
                <w:rFonts w:hint="eastAsia" w:ascii="宋体" w:hAnsi="宋体" w:cs="宋体"/>
                <w:color w:val="000000"/>
                <w:szCs w:val="21"/>
              </w:rPr>
              <w:t xml:space="preserve"> 三、</w:t>
            </w:r>
          </w:p>
          <w:p w14:paraId="27A6BB0E">
            <w:pPr>
              <w:rPr>
                <w:rFonts w:ascii="宋体" w:hAnsi="宋体" w:cs="宋体"/>
                <w:color w:val="000000"/>
                <w:szCs w:val="21"/>
              </w:rPr>
            </w:pPr>
          </w:p>
          <w:p w14:paraId="0AF6029F">
            <w:pPr>
              <w:jc w:val="center"/>
              <w:rPr>
                <w:rFonts w:ascii="宋体" w:hAnsi="宋体" w:cs="宋体"/>
                <w:color w:val="000000"/>
                <w:szCs w:val="21"/>
              </w:rPr>
            </w:pPr>
            <w:r>
              <w:rPr>
                <w:rFonts w:hint="eastAsia" w:ascii="宋体" w:hAnsi="宋体" w:cs="宋体"/>
                <w:color w:val="000000"/>
                <w:szCs w:val="21"/>
              </w:rPr>
              <w:t>国</w:t>
            </w:r>
          </w:p>
          <w:p w14:paraId="49B1745D">
            <w:pPr>
              <w:jc w:val="center"/>
              <w:rPr>
                <w:rFonts w:ascii="宋体" w:hAnsi="宋体" w:cs="宋体"/>
                <w:color w:val="000000"/>
                <w:szCs w:val="21"/>
              </w:rPr>
            </w:pPr>
            <w:r>
              <w:rPr>
                <w:rFonts w:hint="eastAsia" w:ascii="宋体" w:hAnsi="宋体" w:cs="宋体"/>
                <w:color w:val="000000"/>
                <w:szCs w:val="21"/>
              </w:rPr>
              <w:t>内</w:t>
            </w:r>
          </w:p>
          <w:p w14:paraId="0356F974">
            <w:pPr>
              <w:jc w:val="center"/>
              <w:rPr>
                <w:rFonts w:ascii="宋体" w:hAnsi="宋体" w:cs="宋体"/>
                <w:color w:val="000000"/>
                <w:szCs w:val="21"/>
              </w:rPr>
            </w:pPr>
            <w:r>
              <w:rPr>
                <w:rFonts w:hint="eastAsia" w:ascii="宋体" w:hAnsi="宋体" w:cs="宋体"/>
                <w:color w:val="000000"/>
                <w:szCs w:val="21"/>
              </w:rPr>
              <w:t>外</w:t>
            </w:r>
          </w:p>
          <w:p w14:paraId="7983803D">
            <w:pPr>
              <w:jc w:val="center"/>
              <w:rPr>
                <w:rFonts w:ascii="宋体" w:hAnsi="宋体" w:cs="宋体"/>
                <w:color w:val="000000"/>
                <w:szCs w:val="21"/>
              </w:rPr>
            </w:pPr>
            <w:r>
              <w:rPr>
                <w:rFonts w:hint="eastAsia" w:ascii="宋体" w:hAnsi="宋体" w:cs="宋体"/>
                <w:color w:val="000000"/>
                <w:szCs w:val="21"/>
              </w:rPr>
              <w:t>研</w:t>
            </w:r>
          </w:p>
          <w:p w14:paraId="15B08E7E">
            <w:pPr>
              <w:jc w:val="center"/>
              <w:rPr>
                <w:rFonts w:ascii="宋体" w:hAnsi="宋体" w:cs="宋体"/>
                <w:color w:val="000000"/>
                <w:szCs w:val="21"/>
              </w:rPr>
            </w:pPr>
            <w:r>
              <w:rPr>
                <w:rFonts w:hint="eastAsia" w:ascii="宋体" w:hAnsi="宋体" w:cs="宋体"/>
                <w:color w:val="000000"/>
                <w:szCs w:val="21"/>
              </w:rPr>
              <w:t>究</w:t>
            </w:r>
          </w:p>
          <w:p w14:paraId="2AD15640">
            <w:pPr>
              <w:jc w:val="center"/>
              <w:rPr>
                <w:rFonts w:ascii="宋体" w:hAnsi="宋体" w:cs="宋体"/>
                <w:color w:val="000000"/>
                <w:szCs w:val="21"/>
              </w:rPr>
            </w:pPr>
            <w:r>
              <w:rPr>
                <w:rFonts w:hint="eastAsia" w:ascii="宋体" w:hAnsi="宋体" w:cs="宋体"/>
                <w:color w:val="000000"/>
                <w:szCs w:val="21"/>
              </w:rPr>
              <w:t>现</w:t>
            </w:r>
          </w:p>
          <w:p w14:paraId="208E4C2C">
            <w:pPr>
              <w:jc w:val="center"/>
              <w:rPr>
                <w:rFonts w:ascii="宋体" w:hAnsi="宋体" w:cs="宋体"/>
                <w:color w:val="000000"/>
                <w:szCs w:val="21"/>
              </w:rPr>
            </w:pPr>
            <w:r>
              <w:rPr>
                <w:rFonts w:hint="eastAsia" w:ascii="宋体" w:hAnsi="宋体" w:cs="宋体"/>
                <w:color w:val="000000"/>
                <w:szCs w:val="21"/>
              </w:rPr>
              <w:t>状</w:t>
            </w:r>
          </w:p>
          <w:p w14:paraId="73FBC023">
            <w:pPr>
              <w:jc w:val="center"/>
              <w:rPr>
                <w:rFonts w:ascii="宋体" w:hAnsi="宋体" w:cs="宋体"/>
                <w:color w:val="000000"/>
                <w:szCs w:val="21"/>
              </w:rPr>
            </w:pPr>
            <w:r>
              <w:rPr>
                <w:rFonts w:hint="eastAsia" w:ascii="宋体" w:hAnsi="宋体" w:cs="宋体"/>
                <w:color w:val="000000"/>
                <w:szCs w:val="21"/>
              </w:rPr>
              <w:t>与</w:t>
            </w:r>
          </w:p>
          <w:p w14:paraId="11CEDF4B">
            <w:pPr>
              <w:jc w:val="center"/>
              <w:rPr>
                <w:rFonts w:ascii="宋体" w:hAnsi="宋体" w:cs="宋体"/>
                <w:color w:val="000000"/>
                <w:szCs w:val="21"/>
              </w:rPr>
            </w:pPr>
            <w:r>
              <w:rPr>
                <w:rFonts w:hint="eastAsia" w:ascii="宋体" w:hAnsi="宋体" w:cs="宋体"/>
                <w:color w:val="000000"/>
                <w:szCs w:val="21"/>
              </w:rPr>
              <w:t>发</w:t>
            </w:r>
          </w:p>
          <w:p w14:paraId="487EADF9">
            <w:pPr>
              <w:jc w:val="center"/>
              <w:rPr>
                <w:rFonts w:ascii="宋体" w:hAnsi="宋体" w:cs="宋体"/>
                <w:color w:val="000000"/>
                <w:szCs w:val="21"/>
              </w:rPr>
            </w:pPr>
            <w:r>
              <w:rPr>
                <w:rFonts w:hint="eastAsia" w:ascii="宋体" w:hAnsi="宋体" w:cs="宋体"/>
                <w:color w:val="000000"/>
                <w:szCs w:val="21"/>
              </w:rPr>
              <w:t>展</w:t>
            </w:r>
          </w:p>
          <w:p w14:paraId="282E6AE5">
            <w:pPr>
              <w:jc w:val="center"/>
              <w:rPr>
                <w:rFonts w:ascii="宋体" w:hAnsi="宋体" w:cs="宋体"/>
                <w:color w:val="000000"/>
                <w:szCs w:val="21"/>
              </w:rPr>
            </w:pPr>
            <w:r>
              <w:rPr>
                <w:rFonts w:hint="eastAsia" w:ascii="宋体" w:hAnsi="宋体" w:cs="宋体"/>
                <w:color w:val="000000"/>
                <w:szCs w:val="21"/>
              </w:rPr>
              <w:t>趋</w:t>
            </w:r>
          </w:p>
          <w:p w14:paraId="17FE457F">
            <w:pPr>
              <w:jc w:val="center"/>
              <w:rPr>
                <w:rFonts w:ascii="宋体" w:hAnsi="宋体" w:cs="宋体"/>
                <w:color w:val="000000"/>
                <w:szCs w:val="21"/>
              </w:rPr>
            </w:pPr>
            <w:r>
              <w:rPr>
                <w:rFonts w:hint="eastAsia" w:ascii="宋体" w:hAnsi="宋体" w:cs="宋体"/>
                <w:color w:val="000000"/>
                <w:szCs w:val="21"/>
              </w:rPr>
              <w:t>势</w:t>
            </w:r>
          </w:p>
          <w:p w14:paraId="14A69E81">
            <w:pPr>
              <w:jc w:val="center"/>
              <w:rPr>
                <w:rFonts w:ascii="宋体" w:hAnsi="宋体" w:cs="宋体"/>
                <w:color w:val="000000"/>
                <w:szCs w:val="21"/>
              </w:rPr>
            </w:pPr>
          </w:p>
          <w:p w14:paraId="4383A1A7">
            <w:pPr>
              <w:jc w:val="center"/>
              <w:rPr>
                <w:rFonts w:ascii="宋体" w:hAnsi="宋体" w:cs="宋体"/>
                <w:color w:val="000000"/>
                <w:szCs w:val="21"/>
              </w:rPr>
            </w:pPr>
          </w:p>
        </w:tc>
        <w:tc>
          <w:tcPr>
            <w:tcW w:w="7383" w:type="dxa"/>
            <w:gridSpan w:val="9"/>
            <w:tcBorders>
              <w:top w:val="single" w:color="auto" w:sz="4" w:space="0"/>
              <w:left w:val="single" w:color="auto" w:sz="4" w:space="0"/>
              <w:bottom w:val="single" w:color="auto" w:sz="4" w:space="0"/>
              <w:right w:val="single" w:color="auto" w:sz="4" w:space="0"/>
            </w:tcBorders>
          </w:tcPr>
          <w:p w14:paraId="3268CAF1">
            <w:pPr>
              <w:rPr>
                <w:rFonts w:ascii="宋体" w:hAnsi="宋体" w:cs="宋体"/>
                <w:color w:val="000000"/>
                <w:szCs w:val="21"/>
              </w:rPr>
            </w:pPr>
            <w:r>
              <w:rPr>
                <w:rFonts w:hint="eastAsia" w:ascii="宋体" w:hAnsi="宋体" w:cs="宋体"/>
                <w:color w:val="000000"/>
                <w:szCs w:val="21"/>
              </w:rPr>
              <w:t>3.1 传统目标检测与数据标注瓶颈</w:t>
            </w:r>
          </w:p>
          <w:p w14:paraId="31CEECD3">
            <w:pPr>
              <w:ind w:firstLine="420" w:firstLineChars="200"/>
              <w:rPr>
                <w:rFonts w:ascii="宋体" w:hAnsi="宋体" w:cs="宋体"/>
                <w:color w:val="000000"/>
                <w:szCs w:val="21"/>
              </w:rPr>
            </w:pPr>
            <w:r>
              <w:rPr>
                <w:rFonts w:hint="eastAsia" w:ascii="宋体" w:hAnsi="宋体" w:cs="宋体"/>
                <w:color w:val="000000"/>
                <w:szCs w:val="21"/>
              </w:rPr>
              <w:t>传统目标检测长期依赖全监督学习。YOLO 系列在弱小目标感知、复杂背景抑制和早期烟雾捕捉方面有进展，但这类研究多集中在网络结构改进和指标提升，算法效果仍依赖高质量人工标注。随着大规模训练数据需求增加，人工标签获取和维护的时间与人力成本越来越突出，数据“质”与“量”的协同供给成为模型迭代的瓶颈。</w:t>
            </w:r>
          </w:p>
          <w:p w14:paraId="3268CAF1">
            <w:pPr>
              <w:rPr>
                <w:rFonts w:ascii="宋体" w:hAnsi="宋体" w:cs="宋体"/>
                <w:color w:val="000000"/>
                <w:szCs w:val="21"/>
              </w:rPr>
            </w:pPr>
            <w:r>
              <w:rPr>
                <w:rFonts w:hint="eastAsia" w:ascii="宋体" w:hAnsi="宋体" w:cs="宋体"/>
                <w:color w:val="000000"/>
                <w:szCs w:val="21"/>
              </w:rPr>
              <w:t>3.2 开放词汇检测与基础模型</w:t>
            </w:r>
          </w:p>
          <w:p w14:paraId="31CEECD3">
            <w:pPr>
              <w:ind w:firstLine="420" w:firstLineChars="200"/>
              <w:rPr>
                <w:rFonts w:ascii="宋体" w:hAnsi="宋体" w:cs="宋体"/>
                <w:color w:val="000000"/>
                <w:szCs w:val="21"/>
              </w:rPr>
            </w:pPr>
            <w:r>
              <w:rPr>
                <w:rFonts w:hint="eastAsia" w:ascii="宋体" w:hAnsi="宋体" w:cs="宋体"/>
                <w:color w:val="000000"/>
                <w:szCs w:val="21"/>
              </w:rPr>
              <w:t>开放词汇检测提供了新思路。Grounding DINO 等模型通过文本和视觉特征对齐，实现开放世界目标定位[4]，已有研究证明提示词设计和微调策略会影响检测效果。但现有文献多关注零样本场景下的直接感知，较少研究其预测结果如何稳定转化为大规模闭集训练标签，也缺乏对伪标签驱动下游检测器训练后泛化效能的系统评估。换句话说，别人更多在问“Grounding DINO 能不能检出目标”，本文更关心“它检出的框经过处理后，能不能当作 YOLO 的训练标签，并且真的有用”。</w:t>
            </w:r>
          </w:p>
          <w:p w14:paraId="3268CAF1">
            <w:pPr>
              <w:rPr>
                <w:rFonts w:ascii="宋体" w:hAnsi="宋体" w:cs="宋体"/>
                <w:color w:val="000000"/>
                <w:szCs w:val="21"/>
              </w:rPr>
            </w:pPr>
            <w:r>
              <w:rPr>
                <w:rFonts w:hint="eastAsia" w:ascii="宋体" w:hAnsi="宋体" w:cs="宋体"/>
                <w:color w:val="000000"/>
                <w:szCs w:val="21"/>
              </w:rPr>
              <w:t>3.3 提示分割模型与火烟场景应用</w:t>
            </w:r>
          </w:p>
          <w:p w14:paraId="31CEECD3">
            <w:pPr>
              <w:ind w:firstLine="420" w:firstLineChars="200"/>
              <w:rPr>
                <w:rFonts w:ascii="宋体" w:hAnsi="宋体" w:cs="宋体"/>
                <w:color w:val="000000"/>
                <w:szCs w:val="21"/>
              </w:rPr>
            </w:pPr>
            <w:r>
              <w:rPr>
                <w:rFonts w:hint="eastAsia" w:ascii="宋体" w:hAnsi="宋体" w:cs="宋体"/>
                <w:color w:val="000000"/>
                <w:szCs w:val="21"/>
              </w:rPr>
              <w:t>SAM 系列分割模型提供更细的空间信息，并扩展到图像、视频和概念提示驱动的检测、分割和跟踪任务[5-7]。火灾和烟雾场景中，已有研究用这类模型提高火焰定位或烟雾分割粒度[17-18]。但这些工作通常把分割质量本身当作目标，比如边界更细、分割更准。本文的落点不同：分割更细不代表转换出的检测框更适合训练。火烟是非刚性物体，分割边界和检测框很难一一对应。因此，SAM3 是否适合作为后置模型，不能只看分割是否更细，还要分别验证它在审核、补漏和边界调整中的作用。本文进一步把 SAM3 的操作权限拆开，分别看它删框、补框、改框各自会带来什么后果。</w:t>
            </w:r>
          </w:p>
          <w:p w14:paraId="3268CAF1">
            <w:pPr>
              <w:rPr>
                <w:rFonts w:ascii="宋体" w:hAnsi="宋体" w:cs="宋体"/>
                <w:color w:val="000000"/>
                <w:szCs w:val="21"/>
              </w:rPr>
            </w:pPr>
            <w:r>
              <w:rPr>
                <w:rFonts w:hint="eastAsia" w:ascii="宋体" w:hAnsi="宋体" w:cs="宋体"/>
                <w:color w:val="000000"/>
                <w:szCs w:val="21"/>
              </w:rPr>
              <w:t>3.4 标签噪声与伪标签评价</w:t>
            </w:r>
          </w:p>
          <w:p w14:paraId="31CEECD3">
            <w:pPr>
              <w:ind w:firstLine="420" w:firstLineChars="200"/>
              <w:rPr>
                <w:rFonts w:ascii="宋体" w:hAnsi="宋体" w:cs="宋体"/>
                <w:color w:val="000000"/>
                <w:szCs w:val="21"/>
              </w:rPr>
            </w:pPr>
            <w:r>
              <w:rPr>
                <w:rFonts w:hint="eastAsia" w:ascii="宋体" w:hAnsi="宋体" w:cs="宋体"/>
                <w:color w:val="000000"/>
                <w:szCs w:val="21"/>
              </w:rPr>
              <w:t>自动标签评价也存在问题。火烟边界不稳定，自动框和人工框之间可能只是松紧或风格不同，也可能确实存在漏检、误检或定位偏差。只靠标准 IoU 很难区分这些情况。因此，除了 Precision、Recall 和 IoU，还需要结合边界敏感性分析和下游训练结果判断伪标签是否真正可用。与常规做法相比，本文不把标签层指标当作最终结论，而是把它作为诊断工具，最终看 YOLO 在下游任务中的表现。</w:t>
            </w:r>
          </w:p>
          <w:p w14:paraId="3268CAF1">
            <w:pPr>
              <w:rPr>
                <w:rFonts w:ascii="宋体" w:hAnsi="宋体" w:cs="宋体"/>
                <w:color w:val="000000"/>
                <w:szCs w:val="21"/>
              </w:rPr>
            </w:pPr>
            <w:r>
              <w:rPr>
                <w:rFonts w:hint="eastAsia" w:ascii="宋体" w:hAnsi="宋体" w:cs="宋体"/>
                <w:color w:val="000000"/>
                <w:szCs w:val="21"/>
              </w:rPr>
              <w:t>3.5 半监督与主动学习辅助标注</w:t>
            </w:r>
          </w:p>
          <w:p w14:paraId="31CEECD3">
            <w:pPr>
              <w:ind w:firstLine="420" w:firstLineChars="200"/>
              <w:rPr>
                <w:rFonts w:ascii="宋体" w:hAnsi="宋体" w:cs="宋体"/>
                <w:color w:val="000000"/>
                <w:szCs w:val="21"/>
              </w:rPr>
            </w:pPr>
            <w:r>
              <w:rPr>
                <w:rFonts w:hint="eastAsia" w:ascii="宋体" w:hAnsi="宋体" w:cs="宋体"/>
                <w:color w:val="000000"/>
                <w:szCs w:val="21"/>
              </w:rPr>
              <w:t>在训练数据制备效率方面，已有研究将基础模型与主动学习、半监督检测和自动标注流程结合，减少人工标注量[25,31,33-34]。这些工作说明基础模型辅助标注有潜力，但较少从系统工程角度讨论不同数据规模下标注范式的动态选择。实际中，人工逐框、单模型伪标签和级联方案各有取舍，效果、时间和人工投入之间没有固定最优关系。数据规模变化后，合适流程也可能变化。本文与这类工作的区别在于：不只验证某一种伪标签方法能不能省人工，而是把人工标注、V1 单级自动化、SAM3 级联方案放在 1k、10k、100k 三种规模下比较，统计检测效果、制备时间和人工投入，再用 Pareto 关系筛流程。</w:t>
            </w:r>
          </w:p>
          <w:p w14:paraId="3268CAF1">
            <w:pPr>
              <w:rPr>
                <w:rFonts w:ascii="宋体" w:hAnsi="宋体" w:cs="宋体"/>
                <w:color w:val="000000"/>
                <w:szCs w:val="21"/>
              </w:rPr>
            </w:pPr>
            <w:r>
              <w:rPr>
                <w:rFonts w:hint="eastAsia" w:ascii="宋体" w:hAnsi="宋体" w:cs="宋体"/>
                <w:color w:val="000000"/>
                <w:szCs w:val="21"/>
              </w:rPr>
              <w:t>3.6 研究现状总结与发展趋势</w:t>
            </w:r>
          </w:p>
          <w:p w14:paraId="31CEECD3">
            <w:pPr>
              <w:ind w:firstLine="420" w:firstLineChars="200"/>
              <w:rPr>
                <w:rFonts w:ascii="宋体" w:hAnsi="宋体" w:cs="宋体"/>
                <w:color w:val="000000"/>
                <w:szCs w:val="21"/>
              </w:rPr>
            </w:pPr>
            <w:r>
              <w:rPr>
                <w:rFonts w:hint="eastAsia" w:ascii="宋体" w:hAnsi="宋体" w:cs="宋体"/>
                <w:color w:val="000000"/>
                <w:szCs w:val="21"/>
              </w:rPr>
              <w:t>总体来看，现有研究为伪标签自动生成提供了技术基础，但从训练数据制备角度看，仍有三个问题需要解决：一是如何将开放词汇检测结果稳定转化为可用于训练的伪标签，并合理评价标签质量和下游效用；二是 SAM3 在火烟场景适合承担哪些后置操作，火和烟是否需要不同规则；三是数据规模扩大后，人工标注、单模型伪标签和级联流程如何根据检测效果、制备时间和人工投入进行选择。本文围绕这三个问题展开。</w:t>
            </w:r>
          </w:p>
        </w:tc>
      </w:tr>
      <w:tr w14:paraId="44316B4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990" w:hRule="atLeast"/>
          <w:jc w:val="center"/>
        </w:trPr>
        <w:tc>
          <w:tcPr>
            <w:tcW w:w="897" w:type="dxa"/>
            <w:tcBorders>
              <w:top w:val="single" w:color="auto" w:sz="4" w:space="0"/>
              <w:left w:val="single" w:color="auto" w:sz="4" w:space="0"/>
              <w:bottom w:val="single" w:color="auto" w:sz="4" w:space="0"/>
              <w:right w:val="single" w:color="auto" w:sz="4" w:space="0"/>
            </w:tcBorders>
          </w:tcPr>
          <w:p w14:paraId="4DA6D8D0">
            <w:pPr>
              <w:ind w:firstLine="210" w:firstLineChars="100"/>
              <w:rPr>
                <w:rFonts w:ascii="宋体" w:hAnsi="宋体" w:cs="宋体"/>
                <w:color w:val="000000"/>
                <w:szCs w:val="21"/>
              </w:rPr>
            </w:pPr>
            <w:r>
              <w:rPr>
                <w:rFonts w:hint="eastAsia" w:ascii="宋体" w:hAnsi="宋体" w:cs="宋体"/>
                <w:color w:val="000000"/>
                <w:szCs w:val="21"/>
              </w:rPr>
              <w:t>四、</w:t>
            </w:r>
          </w:p>
          <w:p w14:paraId="50797CCE">
            <w:pPr>
              <w:jc w:val="center"/>
              <w:rPr>
                <w:rFonts w:ascii="宋体" w:hAnsi="宋体" w:cs="宋体"/>
                <w:color w:val="000000"/>
                <w:szCs w:val="21"/>
              </w:rPr>
            </w:pPr>
            <w:r>
              <w:rPr>
                <w:rFonts w:hint="eastAsia" w:ascii="宋体" w:hAnsi="宋体" w:cs="宋体"/>
                <w:color w:val="000000"/>
                <w:szCs w:val="21"/>
              </w:rPr>
              <w:t>研</w:t>
            </w:r>
          </w:p>
          <w:p w14:paraId="63FB5651">
            <w:pPr>
              <w:jc w:val="center"/>
              <w:rPr>
                <w:rFonts w:ascii="宋体" w:hAnsi="宋体" w:cs="宋体"/>
                <w:color w:val="000000"/>
                <w:szCs w:val="21"/>
              </w:rPr>
            </w:pPr>
            <w:r>
              <w:rPr>
                <w:rFonts w:hint="eastAsia" w:ascii="宋体" w:hAnsi="宋体" w:cs="宋体"/>
                <w:color w:val="000000"/>
                <w:szCs w:val="21"/>
              </w:rPr>
              <w:t>究</w:t>
            </w:r>
          </w:p>
          <w:p w14:paraId="621D63AE">
            <w:pPr>
              <w:jc w:val="center"/>
              <w:rPr>
                <w:rFonts w:ascii="宋体" w:hAnsi="宋体" w:cs="宋体"/>
                <w:color w:val="000000"/>
                <w:szCs w:val="21"/>
              </w:rPr>
            </w:pPr>
            <w:r>
              <w:rPr>
                <w:rFonts w:hint="eastAsia" w:ascii="宋体" w:hAnsi="宋体" w:cs="宋体"/>
                <w:color w:val="000000"/>
                <w:szCs w:val="21"/>
              </w:rPr>
              <w:t>内</w:t>
            </w:r>
          </w:p>
          <w:p w14:paraId="359DB01F">
            <w:pPr>
              <w:jc w:val="center"/>
              <w:rPr>
                <w:rFonts w:ascii="宋体" w:hAnsi="宋体" w:cs="宋体"/>
                <w:color w:val="000000"/>
                <w:szCs w:val="21"/>
              </w:rPr>
            </w:pPr>
            <w:r>
              <w:rPr>
                <w:rFonts w:hint="eastAsia" w:ascii="宋体" w:hAnsi="宋体" w:cs="宋体"/>
                <w:color w:val="000000"/>
                <w:szCs w:val="21"/>
              </w:rPr>
              <w:t>容</w:t>
            </w:r>
          </w:p>
          <w:p w14:paraId="3DE2EB3F">
            <w:pPr>
              <w:jc w:val="center"/>
              <w:rPr>
                <w:rFonts w:ascii="宋体" w:hAnsi="宋体" w:cs="宋体"/>
                <w:color w:val="000000"/>
                <w:szCs w:val="21"/>
              </w:rPr>
            </w:pPr>
            <w:r>
              <w:rPr>
                <w:rFonts w:hint="eastAsia" w:ascii="宋体" w:hAnsi="宋体" w:cs="宋体"/>
                <w:color w:val="000000"/>
                <w:szCs w:val="21"/>
              </w:rPr>
              <w:t>范</w:t>
            </w:r>
          </w:p>
          <w:p w14:paraId="234F24D5">
            <w:pPr>
              <w:jc w:val="center"/>
              <w:rPr>
                <w:rFonts w:ascii="宋体" w:hAnsi="宋体" w:cs="宋体"/>
                <w:color w:val="000000"/>
                <w:szCs w:val="21"/>
              </w:rPr>
            </w:pPr>
            <w:r>
              <w:rPr>
                <w:rFonts w:hint="eastAsia" w:ascii="宋体" w:hAnsi="宋体" w:cs="宋体"/>
                <w:color w:val="000000"/>
                <w:szCs w:val="21"/>
              </w:rPr>
              <w:t>围</w:t>
            </w:r>
          </w:p>
          <w:p w14:paraId="10E73F0C">
            <w:pPr>
              <w:jc w:val="center"/>
              <w:rPr>
                <w:rFonts w:ascii="宋体" w:hAnsi="宋体" w:cs="宋体"/>
                <w:color w:val="000000"/>
                <w:szCs w:val="21"/>
              </w:rPr>
            </w:pPr>
          </w:p>
          <w:p w14:paraId="6D66BF19">
            <w:pPr>
              <w:jc w:val="center"/>
              <w:rPr>
                <w:rFonts w:ascii="宋体" w:hAnsi="宋体" w:cs="宋体"/>
                <w:color w:val="000000"/>
                <w:szCs w:val="21"/>
              </w:rPr>
            </w:pPr>
          </w:p>
          <w:p w14:paraId="130DCF87">
            <w:pPr>
              <w:jc w:val="center"/>
              <w:rPr>
                <w:rFonts w:ascii="宋体" w:hAnsi="宋体" w:cs="宋体"/>
                <w:color w:val="000000"/>
                <w:szCs w:val="21"/>
              </w:rPr>
            </w:pPr>
          </w:p>
        </w:tc>
        <w:tc>
          <w:tcPr>
            <w:tcW w:w="7383" w:type="dxa"/>
            <w:gridSpan w:val="9"/>
            <w:tcBorders>
              <w:top w:val="single" w:color="auto" w:sz="4" w:space="0"/>
              <w:left w:val="single" w:color="auto" w:sz="4" w:space="0"/>
              <w:bottom w:val="single" w:color="auto" w:sz="4" w:space="0"/>
              <w:right w:val="single" w:color="auto" w:sz="4" w:space="0"/>
            </w:tcBorders>
          </w:tcPr>
          <w:p w14:paraId="6DC7795E">
            <w:pPr>
              <w:rPr>
                <w:rFonts w:ascii="宋体" w:hAnsi="宋体" w:cs="宋体"/>
                <w:color w:val="000000"/>
                <w:szCs w:val="21"/>
              </w:rPr>
            </w:pPr>
            <w:r>
              <w:rPr>
                <w:rFonts w:hint="eastAsia" w:ascii="宋体" w:hAnsi="宋体" w:cs="宋体"/>
                <w:color w:val="000000"/>
                <w:szCs w:val="21"/>
              </w:rPr>
              <w:t>（一）研究构想与总体思路</w:t>
            </w:r>
          </w:p>
          <w:p w14:paraId="285E3801">
            <w:pPr>
              <w:ind w:firstLine="420" w:firstLineChars="200"/>
              <w:rPr>
                <w:rFonts w:ascii="宋体" w:hAnsi="宋体" w:cs="宋体"/>
                <w:color w:val="000000"/>
                <w:szCs w:val="21"/>
              </w:rPr>
            </w:pPr>
            <w:r>
              <w:rPr>
                <w:rFonts w:hint="eastAsia" w:ascii="宋体" w:hAnsi="宋体" w:cs="宋体"/>
                <w:color w:val="000000"/>
                <w:szCs w:val="21"/>
              </w:rPr>
              <w:t>本研究要构建面向火烟目标检测的伪标签自动化构建方案。以 Grounding DINO V1 为基准，评估 SAM3 作为后置精细化节点的有效性，并比较不同数据规模下人工标注、V1 基准和级联方案的效能与成本。具体目标如下：</w:t>
            </w:r>
          </w:p>
          <w:p w14:paraId="285E3801">
            <w:pPr>
              <w:ind w:firstLine="420" w:firstLineChars="200"/>
              <w:rPr>
                <w:rFonts w:ascii="宋体" w:hAnsi="宋体" w:cs="宋体"/>
                <w:color w:val="000000"/>
                <w:szCs w:val="21"/>
              </w:rPr>
            </w:pPr>
            <w:r>
              <w:rPr>
                <w:rFonts w:hint="eastAsia" w:ascii="宋体" w:hAnsi="宋体" w:cs="宋体"/>
                <w:color w:val="000000"/>
                <w:szCs w:val="21"/>
              </w:rPr>
              <w:t>本研究遵循“数据与测试治理—V1 自动生成与验证—SAM3 后置处理与火焰补漏—候选方案稳定性复验—隔离测试—多规模流程选型”的技术路线。首先完成多源数据集划分、提示词配置与阈值检索，用 Grounding DINO 批量生成 V1。随后通过标签质量分析和 YOLO 训练反馈，评估 V1 的实际效果。在此基础上引入 SAM3，分别构建 Verifier、Append 和 Refiner 三类后置模块，并针对火焰漏检设计候选补漏算法。各候选管线经过稳定性复验后，进入隔离测试集评估，并在不同数据规模下进行流程选型比较。需要明确，本研究聚焦伪标签生成策略、后置约束规则和生成管线优化，不涉及对 Grounding DINO、SAM3 和 YOLO 原生网络结构与内部算子的修改。[11,13-15,23,26-29,33]</w:t>
            </w:r>
          </w:p>
          <w:p w14:paraId="285E3801">
            <w:pPr>
              <w:ind w:firstLine="420" w:firstLineChars="200"/>
              <w:rPr>
                <w:rFonts w:ascii="宋体" w:hAnsi="宋体" w:cs="宋体"/>
                <w:color w:val="000000"/>
                <w:szCs w:val="21"/>
              </w:rPr>
            </w:pPr>
            <w:r>
              <w:rPr>
                <w:rFonts w:hint="eastAsia" w:ascii="宋体" w:hAnsi="宋体" w:cs="宋体"/>
                <w:color w:val="000000"/>
                <w:szCs w:val="21"/>
              </w:rPr>
              <w:t>其核心构想是：构建“Grounding DINO 定位 + SAM3 审核 + YOLO 裁判”的异构大模型级联三级结构，后置节点只能做被允许的操作，不能随便覆盖 V1，避免多模型级联时常见的负向修改和几何退化，实现从“人工主导”向“智能驱动”的转变。</w:t>
            </w:r>
          </w:p>
          <w:p w14:paraId="6DC7795E">
            <w:pPr>
              <w:rPr>
                <w:rFonts w:ascii="宋体" w:hAnsi="宋体" w:cs="宋体"/>
                <w:color w:val="000000"/>
                <w:szCs w:val="21"/>
              </w:rPr>
            </w:pPr>
            <w:r>
              <w:rPr>
                <w:rFonts w:hint="eastAsia" w:ascii="宋体" w:hAnsi="宋体" w:cs="宋体"/>
                <w:color w:val="000000"/>
                <w:szCs w:val="21"/>
              </w:rPr>
              <w:t>（二）主要研究内容</w:t>
            </w:r>
          </w:p>
          <w:p w14:paraId="285E3801">
            <w:pPr>
              <w:ind w:firstLine="420" w:firstLineChars="200"/>
              <w:rPr>
                <w:rFonts w:ascii="宋体" w:hAnsi="宋体" w:cs="宋体"/>
                <w:color w:val="000000"/>
                <w:szCs w:val="21"/>
              </w:rPr>
            </w:pPr>
            <w:r>
              <w:rPr>
                <w:rFonts w:hint="eastAsia" w:ascii="宋体" w:hAnsi="宋体" w:cs="宋体"/>
                <w:color w:val="000000"/>
                <w:szCs w:val="21"/>
              </w:rPr>
              <w:t>研究内容一：Grounding DINO V1 伪标签构建与效用评价。</w:t>
            </w:r>
          </w:p>
          <w:p w14:paraId="285E3801">
            <w:pPr>
              <w:ind w:firstLine="420" w:firstLineChars="200"/>
              <w:rPr>
                <w:rFonts w:ascii="宋体" w:hAnsi="宋体" w:cs="宋体"/>
                <w:color w:val="000000"/>
                <w:szCs w:val="21"/>
              </w:rPr>
            </w:pPr>
            <w:r>
              <w:rPr>
                <w:rFonts w:hint="eastAsia" w:ascii="宋体" w:hAnsi="宋体" w:cs="宋体"/>
                <w:color w:val="000000"/>
                <w:szCs w:val="21"/>
              </w:rPr>
              <w:t>在开发集上对候选提示词空间和检测置信度阈值进行系统比选，确立并固化 Grounding DINO 的最优基准配置。在此基础上批量生成 V1，分析漏检、误检和边界尺度偏离等静态特征，并通过统一 YOLO 训练基准，评估 V1 与人工真值在下游检测任务中的效用对齐程度。</w:t>
            </w:r>
          </w:p>
          <w:p w14:paraId="285E3801">
            <w:pPr>
              <w:ind w:firstLine="420" w:firstLineChars="200"/>
              <w:rPr>
                <w:rFonts w:ascii="宋体" w:hAnsi="宋体" w:cs="宋体"/>
                <w:color w:val="000000"/>
                <w:szCs w:val="21"/>
              </w:rPr>
            </w:pPr>
            <w:r>
              <w:rPr>
                <w:rFonts w:hint="eastAsia" w:ascii="宋体" w:hAnsi="宋体" w:cs="宋体"/>
                <w:color w:val="000000"/>
                <w:szCs w:val="21"/>
              </w:rPr>
              <w:t>研究内容二：SAM3 后置角色验证与级联流程筛选。</w:t>
            </w:r>
          </w:p>
          <w:p w14:paraId="285E3801">
            <w:pPr>
              <w:ind w:firstLine="420" w:firstLineChars="200"/>
              <w:rPr>
                <w:rFonts w:ascii="宋体" w:hAnsi="宋体" w:cs="宋体"/>
                <w:color w:val="000000"/>
                <w:szCs w:val="21"/>
              </w:rPr>
            </w:pPr>
            <w:r>
              <w:rPr>
                <w:rFonts w:hint="eastAsia" w:ascii="宋体" w:hAnsi="宋体" w:cs="宋体"/>
                <w:color w:val="000000"/>
                <w:szCs w:val="21"/>
              </w:rPr>
              <w:t>在 V1 基础上，将 SAM3 分别定义为 Verifier、Append 和 Refiner 做消融测试。借用阶段决策思想，对正向边际增量的策略分支推进，对收益不稳定的方案暂缓复验，对性能明显退化的方案熔断终止，实现异构级联管线的动态筛选。</w:t>
            </w:r>
          </w:p>
          <w:p w14:paraId="285E3801">
            <w:pPr>
              <w:ind w:firstLine="420" w:firstLineChars="200"/>
              <w:rPr>
                <w:rFonts w:ascii="宋体" w:hAnsi="宋体" w:cs="宋体"/>
                <w:color w:val="000000"/>
                <w:szCs w:val="21"/>
              </w:rPr>
            </w:pPr>
            <w:r>
              <w:rPr>
                <w:rFonts w:hint="eastAsia" w:ascii="宋体" w:hAnsi="宋体" w:cs="宋体"/>
                <w:color w:val="000000"/>
                <w:szCs w:val="21"/>
              </w:rPr>
              <w:t>研究内容三：不同数据规模下的投入分析与流程选择。</w:t>
            </w:r>
          </w:p>
          <w:p w14:paraId="285E3801">
            <w:pPr>
              <w:ind w:firstLine="420" w:firstLineChars="200"/>
              <w:rPr>
                <w:rFonts w:ascii="宋体" w:hAnsi="宋体" w:cs="宋体"/>
                <w:color w:val="000000"/>
                <w:szCs w:val="21"/>
              </w:rPr>
            </w:pPr>
            <w:r>
              <w:rPr>
                <w:rFonts w:hint="eastAsia" w:ascii="宋体" w:hAnsi="宋体" w:cs="宋体"/>
                <w:color w:val="000000"/>
                <w:szCs w:val="21"/>
              </w:rPr>
              <w:t>在候选生产流程固化后，统计人工逐框标注、大模型推理、人工复审和异常修正等环节的资源消耗。针对 1k、10k 和 100k 张图像进行跨尺度外推，评估人工标注、V1 基准和经过验证的级联方案在多维约束下的表现。当多个方案可行时，用 Pareto 非支配关系进行多目标比选。结合下游检测效用，针对高可靠、快速迭代和大规模生产等条件给出流程建议。</w:t>
            </w:r>
          </w:p>
          <w:p w14:paraId="6DC7795E">
            <w:pPr>
              <w:rPr>
                <w:rFonts w:ascii="宋体" w:hAnsi="宋体" w:cs="宋体"/>
                <w:color w:val="000000"/>
                <w:szCs w:val="21"/>
              </w:rPr>
            </w:pPr>
            <w:r>
              <w:rPr>
                <w:rFonts w:hint="eastAsia" w:ascii="宋体" w:hAnsi="宋体" w:cs="宋体"/>
                <w:color w:val="000000"/>
                <w:szCs w:val="21"/>
              </w:rPr>
              <w:t>（三）拟解决的关键问题</w:t>
            </w:r>
          </w:p>
          <w:p w14:paraId="285E3801">
            <w:pPr>
              <w:ind w:firstLine="420" w:firstLineChars="200"/>
              <w:rPr>
                <w:rFonts w:ascii="宋体" w:hAnsi="宋体" w:cs="宋体"/>
                <w:color w:val="000000"/>
                <w:szCs w:val="21"/>
              </w:rPr>
            </w:pPr>
            <w:r>
              <w:rPr>
                <w:rFonts w:hint="eastAsia" w:ascii="宋体" w:hAnsi="宋体" w:cs="宋体"/>
                <w:color w:val="000000"/>
                <w:szCs w:val="21"/>
              </w:rPr>
              <w:t>本研究的核心在于打通“伪标签生成—质量验证—流程选型”的技术链路，拟解决以下三个关键问题：</w:t>
            </w:r>
          </w:p>
          <w:p w14:paraId="285E3801">
            <w:pPr>
              <w:ind w:firstLine="420" w:firstLineChars="200"/>
              <w:rPr>
                <w:rFonts w:ascii="宋体" w:hAnsi="宋体" w:cs="宋体"/>
                <w:color w:val="000000"/>
                <w:szCs w:val="21"/>
              </w:rPr>
            </w:pPr>
            <w:r>
              <w:rPr>
                <w:rFonts w:hint="eastAsia" w:ascii="宋体" w:hAnsi="宋体" w:cs="宋体"/>
                <w:color w:val="000000"/>
                <w:szCs w:val="21"/>
              </w:rPr>
              <w:t>1、V1构建与效用问题：在开发样本和计算资源有限的条件下，如何确定 Grounding DINO 的提示与阈值配置，并评价 V1 伪标签相对人工标注的质量及 YOLO 下游训练效用？</w:t>
            </w:r>
          </w:p>
          <w:p w14:paraId="285E3801">
            <w:pPr>
              <w:ind w:firstLine="420" w:firstLineChars="200"/>
              <w:rPr>
                <w:rFonts w:ascii="宋体" w:hAnsi="宋体" w:cs="宋体"/>
                <w:color w:val="000000"/>
                <w:szCs w:val="21"/>
              </w:rPr>
            </w:pPr>
            <w:r>
              <w:rPr>
                <w:rFonts w:hint="eastAsia" w:ascii="宋体" w:hAnsi="宋体" w:cs="宋体"/>
                <w:color w:val="000000"/>
                <w:szCs w:val="21"/>
              </w:rPr>
              <w:t>2、SAM3增量价值问题：SAM3分别用于审核、补漏和边界调整时，会对伪标签质量和YOLO下游效果产生什么影响，哪些操作值得保留？</w:t>
            </w:r>
          </w:p>
          <w:p w14:paraId="285E3801">
            <w:pPr>
              <w:ind w:firstLine="420" w:firstLineChars="200"/>
              <w:rPr>
                <w:rFonts w:ascii="宋体" w:hAnsi="宋体" w:cs="宋体"/>
                <w:color w:val="000000"/>
                <w:szCs w:val="21"/>
              </w:rPr>
            </w:pPr>
            <w:r>
              <w:rPr>
                <w:rFonts w:hint="eastAsia" w:ascii="宋体" w:hAnsi="宋体" w:cs="宋体"/>
                <w:color w:val="000000"/>
                <w:szCs w:val="21"/>
              </w:rPr>
              <w:t>3、多规模流程选型问题：当数据规模扩大到1千、1万和10万张时，人工标注、V1和通过验证的级联方案在检测效果、制备时间和人工投入之间如何权衡？</w:t>
            </w:r>
          </w:p>
          <w:p w14:paraId="6DC7795E">
            <w:pPr>
              <w:rPr>
                <w:rFonts w:ascii="宋体" w:hAnsi="宋体" w:cs="宋体"/>
                <w:color w:val="000000"/>
                <w:szCs w:val="21"/>
              </w:rPr>
            </w:pPr>
            <w:r>
              <w:rPr>
                <w:rFonts w:hint="eastAsia" w:ascii="宋体" w:hAnsi="宋体" w:cs="宋体"/>
                <w:color w:val="000000"/>
                <w:szCs w:val="21"/>
              </w:rPr>
              <w:t>（四）研究方法</w:t>
            </w:r>
          </w:p>
          <w:p w14:paraId="285E3801">
            <w:pPr>
              <w:ind w:firstLine="420" w:firstLineChars="200"/>
              <w:rPr>
                <w:rFonts w:ascii="宋体" w:hAnsi="宋体" w:cs="宋体"/>
                <w:color w:val="000000"/>
                <w:szCs w:val="21"/>
              </w:rPr>
            </w:pPr>
            <w:r>
              <w:rPr>
                <w:rFonts w:hint="eastAsia" w:ascii="宋体" w:hAnsi="宋体" w:cs="宋体"/>
                <w:color w:val="000000"/>
                <w:szCs w:val="21"/>
              </w:rPr>
              <w:t>研究方法包括开发集配置选择、固定训练协议下的 YOLO 实验、标签错误统计、多随机种子复验、隔离测试、人工抽检、时间与计算投入记录以及 Pareto 比较。所有正式结论区分“已证实、待验证、已停止”三种状态。对于 SAM3 补漏等方法，不以单次实验中的小幅提升作为有效结论，而是结合标签变化、下游训练结果和多次复验共同判断。</w:t>
            </w:r>
          </w:p>
          <w:p w14:paraId="285E3801">
            <w:pPr>
              <w:ind w:firstLine="420" w:firstLineChars="200"/>
              <w:rPr>
                <w:rFonts w:ascii="宋体" w:hAnsi="宋体" w:cs="宋体"/>
                <w:color w:val="000000"/>
                <w:szCs w:val="21"/>
              </w:rPr>
            </w:pPr>
            <w:r>
              <w:rPr>
                <w:rFonts w:hint="eastAsia" w:ascii="宋体" w:hAnsi="宋体" w:cs="宋体"/>
                <w:color w:val="000000"/>
                <w:szCs w:val="21"/>
              </w:rPr>
              <w:t>1. 开发集配置选择与提示词、阈值冻结。</w:t>
            </w:r>
          </w:p>
          <w:p w14:paraId="285E3801">
            <w:pPr>
              <w:ind w:firstLine="420" w:firstLineChars="200"/>
              <w:rPr>
                <w:rFonts w:ascii="宋体" w:hAnsi="宋体" w:cs="宋体"/>
                <w:color w:val="000000"/>
                <w:szCs w:val="21"/>
              </w:rPr>
            </w:pPr>
            <w:r>
              <w:rPr>
                <w:rFonts w:hint="eastAsia" w:ascii="宋体" w:hAnsi="宋体" w:cs="宋体"/>
                <w:color w:val="000000"/>
                <w:szCs w:val="21"/>
              </w:rPr>
              <w:t>Grounding DINO 的提示词生态与检测阈值并非由原生推理的默认概率得分（score）决定。 本研究在开发集（Development set）上对候选提示词进行了独立评测，并在连续置信度区间内通过网格搜索，系统评估了精确率、召回率、F1值、边界框 IoU（均值与中位数）以及 COCO 标准的 mAP@0.50:0.95 和 AP75 指标。为评估预测概率的稳定性，我们引入 Bootstrap 重采样技术，计算出 F1 值与平均 IoU 在 95% 置信区间下的经验分布。在此基础上，本文遵循“mAP → AP75 → F1”的优先级收敛路径，筛选出各子类别的最佳提示词及其最优阈值组合，并以 YAML 配置文件形式进行保存。由于开放词汇模型在烟火等特定场景下的文本—视觉匹配度存在波动，本文将提示词与检测阈值均作为超参数进行统一管理。[16,24]。</w:t>
            </w:r>
          </w:p>
          <w:p w14:paraId="285E3801">
            <w:pPr>
              <w:ind w:firstLine="420" w:firstLineChars="200"/>
              <w:rPr>
                <w:rFonts w:ascii="宋体" w:hAnsi="宋体" w:cs="宋体"/>
                <w:color w:val="000000"/>
                <w:szCs w:val="21"/>
              </w:rPr>
            </w:pPr>
            <w:r>
              <w:rPr>
                <w:rFonts w:hint="eastAsia" w:ascii="宋体" w:hAnsi="宋体" w:cs="宋体"/>
                <w:color w:val="000000"/>
                <w:szCs w:val="21"/>
              </w:rPr>
              <w:t>2. 标签级数据质量诊断。</w:t>
            </w:r>
          </w:p>
          <w:p w14:paraId="285E3801">
            <w:pPr>
              <w:ind w:firstLine="420" w:firstLineChars="200"/>
              <w:rPr>
                <w:rFonts w:ascii="宋体" w:hAnsi="宋体" w:cs="宋体"/>
                <w:color w:val="000000"/>
                <w:szCs w:val="21"/>
              </w:rPr>
            </w:pPr>
            <w:r>
              <w:rPr>
                <w:rFonts w:hint="eastAsia" w:ascii="宋体" w:hAnsi="宋体" w:cs="宋体"/>
                <w:color w:val="000000"/>
                <w:szCs w:val="21"/>
              </w:rPr>
              <w:t>配置固化后，主生成模型在目标数据域批量推理，产出 V1 基准伪标签。标签层静态诊断包括漏检率、误检率、类别混淆、空间重复框、IoU 离散度和边界包围框偏差。火焰分散且形态变化大，烟雾边界天然弥散，因此本文不把与人工 GT 形态完全一致作为唯一标准，而是将标注偏离分为语义混淆、关键漏检和标注尺度松紧风格差异[17-18,20,30]。</w:t>
            </w:r>
          </w:p>
          <w:p w14:paraId="285E3801">
            <w:pPr>
              <w:ind w:firstLine="420" w:firstLineChars="200"/>
              <w:rPr>
                <w:rFonts w:ascii="宋体" w:hAnsi="宋体" w:cs="宋体"/>
                <w:color w:val="000000"/>
                <w:szCs w:val="21"/>
              </w:rPr>
            </w:pPr>
            <w:r>
              <w:rPr>
                <w:rFonts w:hint="eastAsia" w:ascii="宋体" w:hAnsi="宋体" w:cs="宋体"/>
                <w:color w:val="000000"/>
                <w:szCs w:val="21"/>
              </w:rPr>
              <w:t>3. 统一 YOLO 训练协议下的下游效用基线。</w:t>
            </w:r>
          </w:p>
          <w:p w14:paraId="285E3801">
            <w:pPr>
              <w:ind w:firstLine="420" w:firstLineChars="200"/>
              <w:rPr>
                <w:rFonts w:ascii="宋体" w:hAnsi="宋体" w:cs="宋体"/>
                <w:color w:val="000000"/>
                <w:szCs w:val="21"/>
              </w:rPr>
            </w:pPr>
            <w:r>
              <w:rPr>
                <w:rFonts w:hint="eastAsia" w:ascii="宋体" w:hAnsi="宋体" w:cs="宋体"/>
                <w:color w:val="000000"/>
                <w:szCs w:val="21"/>
              </w:rPr>
              <w:t>现有文献关于 “伪标签可用性评估应紧密挂钩下游实际学习效应，而非孤立局限于静态预测框几何质量”达成共识[21,31,34]。</w:t>
            </w:r>
          </w:p>
          <w:p w14:paraId="285E3801">
            <w:pPr>
              <w:ind w:firstLine="420" w:firstLineChars="200"/>
              <w:rPr>
                <w:rFonts w:ascii="宋体" w:hAnsi="宋体" w:cs="宋体"/>
                <w:color w:val="000000"/>
                <w:szCs w:val="21"/>
              </w:rPr>
            </w:pPr>
            <w:r>
              <w:rPr>
                <w:rFonts w:hint="eastAsia" w:ascii="宋体" w:hAnsi="宋体" w:cs="宋体"/>
                <w:color w:val="000000"/>
                <w:szCs w:val="21"/>
              </w:rPr>
              <w:t>4. 多随机种子复验与隔离测试。</w:t>
            </w:r>
          </w:p>
          <w:p w14:paraId="285E3801">
            <w:pPr>
              <w:ind w:firstLine="420" w:firstLineChars="200"/>
              <w:rPr>
                <w:rFonts w:ascii="宋体" w:hAnsi="宋体" w:cs="宋体"/>
                <w:color w:val="000000"/>
                <w:szCs w:val="21"/>
              </w:rPr>
            </w:pPr>
            <w:r>
              <w:rPr>
                <w:rFonts w:hint="eastAsia" w:ascii="宋体" w:hAnsi="宋体" w:cs="宋体"/>
                <w:color w:val="000000"/>
                <w:szCs w:val="21"/>
              </w:rPr>
              <w:t>对人工 GT、V1 和最终候选至少进行 3 个随机种子训练，报告均值、标准差和配对差值。只有通过开发集门槛的候选才进入正式隔离测试。隔离测试完成后只做结论和分层分析，不根据测试结果重新调参，以降低单次随机性或反复试验造成的偏差[23]。</w:t>
            </w:r>
          </w:p>
          <w:p w14:paraId="6DC7795E">
            <w:pPr>
              <w:rPr>
                <w:rFonts w:ascii="宋体" w:hAnsi="宋体" w:cs="宋体"/>
                <w:color w:val="000000"/>
                <w:szCs w:val="21"/>
              </w:rPr>
            </w:pPr>
            <w:r>
              <w:rPr>
                <w:rFonts w:hint="eastAsia" w:ascii="宋体" w:hAnsi="宋体" w:cs="宋体"/>
                <w:color w:val="000000"/>
                <w:szCs w:val="21"/>
              </w:rPr>
              <w:t>（五）技术路线</w:t>
            </w:r>
          </w:p>
          <w:p w14:paraId="285E3801">
            <w:pPr>
              <w:ind w:firstLine="420" w:firstLineChars="200"/>
              <w:rPr>
                <w:rFonts w:ascii="宋体" w:hAnsi="宋体" w:cs="宋体"/>
                <w:color w:val="000000"/>
                <w:szCs w:val="21"/>
              </w:rPr>
            </w:pPr>
            <w:r>
              <w:rPr>
                <w:rFonts w:hint="eastAsia" w:ascii="宋体" w:hAnsi="宋体" w:cs="宋体"/>
                <w:color w:val="000000"/>
                <w:szCs w:val="21"/>
              </w:rPr>
              <w:t>本研究整体路线如图 4-1 所示。系统先完成训练集、开发集和隔离测试集的数据谱系划分与元数据版本固化；随后在开发集上搜索 Grounding DINO 最优提示词与阈值配置，批量生成 V1 基准伪标签。V1 直接用于 YOLO 下游基线训练，同时在保持基线的前提下，并行开展 Verifier、Append 和 Refiner 消融验证，其中 Append 加入适合火烟的特定算法。各候选管线通过开发集准入门槛后，进入多随机种子稳定性复验和隔离测试集评估，再推演 1k、10k、100k 规模下的表现，并通过 Pareto 非支配比较完成生产管线选型。全流程中，底层数据、配置指纹和训练记录都通过最小可追溯链管理[13-15,23,26-28]。</w:t>
            </w:r>
          </w:p>
          <w:p w14:paraId="285E3801">
            <w:pPr>
              <w:ind w:firstLine="420" w:firstLineChars="200"/>
              <w:jc w:val="center"/>
              <w:rPr>
                <w:rFonts w:ascii="宋体" w:hAnsi="宋体" w:cs="宋体"/>
                <w:color w:val="000000"/>
                <w:szCs w:val="21"/>
              </w:rPr>
            </w:pPr>
            <w:r>
              <w:drawing>
                <wp:inline xmlns:a="http://schemas.openxmlformats.org/drawingml/2006/main" xmlns:pic="http://schemas.openxmlformats.org/drawingml/2006/picture">
                  <wp:extent cx="4380000" cy="2446641"/>
                  <wp:docPr id="12" name="Picture 12"/>
                  <wp:cNvGraphicFramePr>
                    <a:graphicFrameLocks noChangeAspect="1"/>
                  </wp:cNvGraphicFramePr>
                  <a:graphic>
                    <a:graphicData uri="http://schemas.openxmlformats.org/drawingml/2006/picture">
                      <pic:pic>
                        <pic:nvPicPr>
                          <pic:cNvPr id="0" name="dongxiuli_fig4-1.png"/>
                          <pic:cNvPicPr/>
                        </pic:nvPicPr>
                        <pic:blipFill>
                          <a:blip r:embed="rId10"/>
                          <a:stretch>
                            <a:fillRect/>
                          </a:stretch>
                        </pic:blipFill>
                        <pic:spPr>
                          <a:xfrm>
                            <a:off x="0" y="0"/>
                            <a:ext cx="4380000" cy="2446641"/>
                          </a:xfrm>
                          <a:prstGeom prst="rect"/>
                        </pic:spPr>
                      </pic:pic>
                    </a:graphicData>
                  </a:graphic>
                </wp:inline>
              </w:drawing>
            </w:r>
          </w:p>
          <w:p w14:paraId="285E3801">
            <w:pPr>
              <w:ind w:firstLine="420" w:firstLineChars="200"/>
              <w:rPr>
                <w:rFonts w:ascii="宋体" w:hAnsi="宋体" w:cs="宋体"/>
                <w:color w:val="000000"/>
                <w:szCs w:val="21"/>
              </w:rPr>
            </w:pPr>
            <w:r>
              <w:rPr>
                <w:rFonts w:hint="eastAsia" w:ascii="宋体" w:hAnsi="宋体" w:cs="宋体"/>
                <w:color w:val="000000"/>
                <w:szCs w:val="21"/>
              </w:rPr>
              <w:t>图4-1 整体路线图</w:t>
            </w:r>
          </w:p>
          <w:p w14:paraId="6DC7795E">
            <w:pPr>
              <w:rPr>
                <w:rFonts w:ascii="宋体" w:hAnsi="宋体" w:cs="宋体"/>
                <w:color w:val="000000"/>
                <w:szCs w:val="21"/>
              </w:rPr>
            </w:pPr>
            <w:r>
              <w:rPr>
                <w:rFonts w:hint="eastAsia" w:ascii="宋体" w:hAnsi="宋体" w:cs="宋体"/>
                <w:color w:val="000000"/>
                <w:szCs w:val="21"/>
              </w:rPr>
              <w:t>（六）实施方案与可行性分析</w:t>
            </w:r>
          </w:p>
          <w:p w14:paraId="285E3801">
            <w:pPr>
              <w:ind w:firstLine="420" w:firstLineChars="200"/>
              <w:rPr>
                <w:rFonts w:ascii="宋体" w:hAnsi="宋体" w:cs="宋体"/>
                <w:color w:val="000000"/>
                <w:szCs w:val="21"/>
              </w:rPr>
            </w:pPr>
            <w:r>
              <w:rPr>
                <w:rFonts w:hint="eastAsia" w:ascii="宋体" w:hAnsi="宋体" w:cs="宋体"/>
                <w:color w:val="000000"/>
                <w:szCs w:val="21"/>
              </w:rPr>
              <w:t>工程基础： Grounding DINO 伪标签流水线、YOLO 统一训练基准、SAM3 角色消融模块、IoF 重复候选抑制算法以及逐图审计与配置指纹追溯系统均已开发完毕并跑通。下阶段工作聚焦系统稳定性验证、隔离测试集评测和跨尺度规模推演。</w:t>
            </w:r>
          </w:p>
          <w:p w14:paraId="285E3801">
            <w:pPr>
              <w:ind w:firstLine="420" w:firstLineChars="200"/>
              <w:rPr>
                <w:rFonts w:ascii="宋体" w:hAnsi="宋体" w:cs="宋体"/>
                <w:color w:val="000000"/>
                <w:szCs w:val="21"/>
              </w:rPr>
            </w:pPr>
            <w:r>
              <w:rPr>
                <w:rFonts w:hint="eastAsia" w:ascii="宋体" w:hAnsi="宋体" w:cs="宋体"/>
                <w:color w:val="000000"/>
                <w:szCs w:val="21"/>
              </w:rPr>
              <w:t>数据基础： 现有约 3000 张图像数据，足以支撑前期开发集选型、单点消融和阶段性可比分析。最终学术结论将在全流程冻结后，通过隔离测试集做无污染验证。</w:t>
            </w:r>
          </w:p>
          <w:p w14:paraId="285E3801">
            <w:pPr>
              <w:ind w:firstLine="420" w:firstLineChars="200"/>
              <w:rPr>
                <w:rFonts w:ascii="宋体" w:hAnsi="宋体" w:cs="宋体"/>
                <w:color w:val="000000"/>
                <w:szCs w:val="21"/>
              </w:rPr>
            </w:pPr>
            <w:r>
              <w:rPr>
                <w:rFonts w:hint="eastAsia" w:ascii="宋体" w:hAnsi="宋体" w:cs="宋体"/>
                <w:color w:val="000000"/>
                <w:szCs w:val="21"/>
              </w:rPr>
              <w:t>方法论设计： 实验设计遵循开发、复验和隔离测试三阶段物理隔离。针对小幅实验扰动引入多种子统计检验，通过主动保留负结果降低算法伪增益风险，符合数据过程管理和可复现科学研究规范。[23,26,28]。</w:t>
            </w:r>
          </w:p>
          <w:p w14:paraId="285E3801">
            <w:pPr>
              <w:ind w:firstLine="420" w:firstLineChars="200"/>
              <w:rPr>
                <w:rFonts w:ascii="宋体" w:hAnsi="宋体" w:cs="宋体"/>
                <w:color w:val="000000"/>
                <w:szCs w:val="21"/>
              </w:rPr>
            </w:pPr>
            <w:r>
              <w:rPr>
                <w:rFonts w:hint="eastAsia" w:ascii="宋体" w:hAnsi="宋体" w:cs="宋体"/>
                <w:color w:val="000000"/>
                <w:szCs w:val="21"/>
              </w:rPr>
              <w:t>主要风险与控制措施：</w:t>
            </w:r>
          </w:p>
          <w:p w14:paraId="285E3801">
            <w:pPr>
              <w:ind w:firstLine="420" w:firstLineChars="200"/>
              <w:rPr>
                <w:rFonts w:ascii="宋体" w:hAnsi="宋体" w:cs="宋体"/>
                <w:color w:val="000000"/>
                <w:szCs w:val="21"/>
              </w:rPr>
            </w:pPr>
            <w:r>
              <w:rPr>
                <w:rFonts w:hint="eastAsia" w:ascii="宋体" w:hAnsi="宋体" w:cs="宋体"/>
                <w:color w:val="000000"/>
                <w:szCs w:val="21"/>
              </w:rPr>
              <w:t>1、标签处理引入新错误（影响：Verifier可能误删真目标；Append可能引入FP或重复框；Refiner可能改变标注风格。）——控制措施：三类角色独立验证；候选结果先隔离，不直接覆盖V1；Verifier仅强证据否决；Append先抽检Precision并去重；Refiner当前Stop。</w:t>
            </w:r>
          </w:p>
          <w:p w14:paraId="285E3801">
            <w:pPr>
              <w:ind w:firstLine="420" w:firstLineChars="200"/>
              <w:rPr>
                <w:rFonts w:ascii="宋体" w:hAnsi="宋体" w:cs="宋体"/>
                <w:color w:val="000000"/>
                <w:szCs w:val="21"/>
              </w:rPr>
            </w:pPr>
            <w:r>
              <w:rPr>
                <w:rFonts w:hint="eastAsia" w:ascii="宋体" w:hAnsi="宋体" w:cs="宋体"/>
                <w:color w:val="000000"/>
                <w:szCs w:val="21"/>
              </w:rPr>
              <w:t>2、实验结果不稳定或存在信息泄漏（影响：单次随机性、反复调参或测试集回流可能造成虚假增益。）——控制措施：Development与隔离测试分开；候选先多seed复验；测试后不再调参；保存数据、配置和训练版本[23]。</w:t>
            </w:r>
          </w:p>
          <w:p w14:paraId="285E3801">
            <w:pPr>
              <w:ind w:firstLine="420" w:firstLineChars="200"/>
              <w:rPr>
                <w:rFonts w:ascii="宋体" w:hAnsi="宋体" w:cs="宋体"/>
                <w:color w:val="000000"/>
                <w:szCs w:val="21"/>
              </w:rPr>
            </w:pPr>
            <w:r>
              <w:rPr>
                <w:rFonts w:hint="eastAsia" w:ascii="宋体" w:hAnsi="宋体" w:cs="宋体"/>
                <w:color w:val="000000"/>
                <w:szCs w:val="21"/>
              </w:rPr>
              <w:t>3、规模外推偏差（影响：小样本测得的单位时间或成本可能不能直接代表大规模运行。）——控制措施：同时记录固定启动成本、单位吞吐和人工抽检比例；对人工/GPU单价及吞吐进行敏感性分析；不对未实测部分给出过度精确结论。</w:t>
            </w:r>
          </w:p>
          <w:p w14:paraId="6DC7795E">
            <w:pPr>
              <w:rPr>
                <w:rFonts w:ascii="宋体" w:hAnsi="宋体" w:cs="宋体"/>
                <w:color w:val="000000"/>
                <w:szCs w:val="21"/>
              </w:rPr>
            </w:pPr>
            <w:r>
              <w:rPr>
                <w:rFonts w:hint="eastAsia" w:ascii="宋体" w:hAnsi="宋体" w:cs="宋体"/>
                <w:color w:val="000000"/>
                <w:szCs w:val="21"/>
              </w:rPr>
              <w:t>（七）论文目录</w:t>
            </w:r>
          </w:p>
          <w:p w14:paraId="6DC7795E">
            <w:pPr>
              <w:rPr>
                <w:rFonts w:ascii="宋体" w:hAnsi="宋体" w:cs="宋体"/>
                <w:color w:val="000000"/>
                <w:szCs w:val="21"/>
              </w:rPr>
            </w:pPr>
            <w:r>
              <w:rPr>
                <w:rFonts w:hint="eastAsia" w:ascii="宋体" w:hAnsi="宋体" w:cs="宋体"/>
                <w:color w:val="000000"/>
                <w:szCs w:val="21"/>
              </w:rPr>
              <w:t>第一章 绪论</w:t>
            </w:r>
          </w:p>
          <w:p w14:paraId="6DC7795E">
            <w:pPr>
              <w:rPr>
                <w:rFonts w:ascii="宋体" w:hAnsi="宋体" w:cs="宋体"/>
                <w:color w:val="000000"/>
                <w:szCs w:val="21"/>
              </w:rPr>
            </w:pPr>
            <w:r>
              <w:rPr>
                <w:rFonts w:hint="eastAsia" w:ascii="宋体" w:hAnsi="宋体" w:cs="宋体"/>
                <w:color w:val="000000"/>
                <w:szCs w:val="21"/>
              </w:rPr>
              <w:t>• 研究背景与问题提出</w:t>
            </w:r>
          </w:p>
          <w:p w14:paraId="6DC7795E">
            <w:pPr>
              <w:rPr>
                <w:rFonts w:ascii="宋体" w:hAnsi="宋体" w:cs="宋体"/>
                <w:color w:val="000000"/>
                <w:szCs w:val="21"/>
              </w:rPr>
            </w:pPr>
            <w:r>
              <w:rPr>
                <w:rFonts w:hint="eastAsia" w:ascii="宋体" w:hAnsi="宋体" w:cs="宋体"/>
                <w:color w:val="000000"/>
                <w:szCs w:val="21"/>
              </w:rPr>
              <w:t>• 研究目的与意义</w:t>
            </w:r>
          </w:p>
          <w:p w14:paraId="6DC7795E">
            <w:pPr>
              <w:rPr>
                <w:rFonts w:ascii="宋体" w:hAnsi="宋体" w:cs="宋体"/>
                <w:color w:val="000000"/>
                <w:szCs w:val="21"/>
              </w:rPr>
            </w:pPr>
            <w:r>
              <w:rPr>
                <w:rFonts w:hint="eastAsia" w:ascii="宋体" w:hAnsi="宋体" w:cs="宋体"/>
                <w:color w:val="000000"/>
                <w:szCs w:val="21"/>
              </w:rPr>
              <w:t>• 研究边界与技术路线</w:t>
            </w:r>
          </w:p>
          <w:p w14:paraId="6DC7795E">
            <w:pPr>
              <w:rPr>
                <w:rFonts w:ascii="宋体" w:hAnsi="宋体" w:cs="宋体"/>
                <w:color w:val="000000"/>
                <w:szCs w:val="21"/>
              </w:rPr>
            </w:pPr>
            <w:r>
              <w:rPr>
                <w:rFonts w:hint="eastAsia" w:ascii="宋体" w:hAnsi="宋体" w:cs="宋体"/>
                <w:color w:val="000000"/>
                <w:szCs w:val="21"/>
              </w:rPr>
              <w:t>第二章 国内外研究现状与文献综述</w:t>
            </w:r>
          </w:p>
          <w:p w14:paraId="6DC7795E">
            <w:pPr>
              <w:rPr>
                <w:rFonts w:ascii="宋体" w:hAnsi="宋体" w:cs="宋体"/>
                <w:color w:val="000000"/>
                <w:szCs w:val="21"/>
              </w:rPr>
            </w:pPr>
            <w:r>
              <w:rPr>
                <w:rFonts w:hint="eastAsia" w:ascii="宋体" w:hAnsi="宋体" w:cs="宋体"/>
                <w:color w:val="000000"/>
                <w:szCs w:val="21"/>
              </w:rPr>
              <w:t>• 火焰与烟雾视觉检测研究</w:t>
            </w:r>
          </w:p>
          <w:p w14:paraId="6DC7795E">
            <w:pPr>
              <w:rPr>
                <w:rFonts w:ascii="宋体" w:hAnsi="宋体" w:cs="宋体"/>
                <w:color w:val="000000"/>
                <w:szCs w:val="21"/>
              </w:rPr>
            </w:pPr>
            <w:r>
              <w:rPr>
                <w:rFonts w:hint="eastAsia" w:ascii="宋体" w:hAnsi="宋体" w:cs="宋体"/>
                <w:color w:val="000000"/>
                <w:szCs w:val="21"/>
              </w:rPr>
              <w:t>• 开放词汇检测与提示驱动视觉基础模型</w:t>
            </w:r>
          </w:p>
          <w:p w14:paraId="6DC7795E">
            <w:pPr>
              <w:rPr>
                <w:rFonts w:ascii="宋体" w:hAnsi="宋体" w:cs="宋体"/>
                <w:color w:val="000000"/>
                <w:szCs w:val="21"/>
              </w:rPr>
            </w:pPr>
            <w:r>
              <w:rPr>
                <w:rFonts w:hint="eastAsia" w:ascii="宋体" w:hAnsi="宋体" w:cs="宋体"/>
                <w:color w:val="000000"/>
                <w:szCs w:val="21"/>
              </w:rPr>
              <w:t>• 伪标签、标签噪声与数据质量评价</w:t>
            </w:r>
          </w:p>
          <w:p w14:paraId="6DC7795E">
            <w:pPr>
              <w:rPr>
                <w:rFonts w:ascii="宋体" w:hAnsi="宋体" w:cs="宋体"/>
                <w:color w:val="000000"/>
                <w:szCs w:val="21"/>
              </w:rPr>
            </w:pPr>
            <w:r>
              <w:rPr>
                <w:rFonts w:hint="eastAsia" w:ascii="宋体" w:hAnsi="宋体" w:cs="宋体"/>
                <w:color w:val="000000"/>
                <w:szCs w:val="21"/>
              </w:rPr>
              <w:t>• 级联流程、阶段决策与可复现实验</w:t>
            </w:r>
          </w:p>
          <w:p w14:paraId="6DC7795E">
            <w:pPr>
              <w:rPr>
                <w:rFonts w:ascii="宋体" w:hAnsi="宋体" w:cs="宋体"/>
                <w:color w:val="000000"/>
                <w:szCs w:val="21"/>
              </w:rPr>
            </w:pPr>
            <w:r>
              <w:rPr>
                <w:rFonts w:hint="eastAsia" w:ascii="宋体" w:hAnsi="宋体" w:cs="宋体"/>
                <w:color w:val="000000"/>
                <w:szCs w:val="21"/>
              </w:rPr>
              <w:t>• 文献评述与研究缺口</w:t>
            </w:r>
          </w:p>
          <w:p w14:paraId="6DC7795E">
            <w:pPr>
              <w:rPr>
                <w:rFonts w:ascii="宋体" w:hAnsi="宋体" w:cs="宋体"/>
                <w:color w:val="000000"/>
                <w:szCs w:val="21"/>
              </w:rPr>
            </w:pPr>
            <w:r>
              <w:rPr>
                <w:rFonts w:hint="eastAsia" w:ascii="宋体" w:hAnsi="宋体" w:cs="宋体"/>
                <w:color w:val="000000"/>
                <w:szCs w:val="21"/>
              </w:rPr>
              <w:t>第三章 Grounding DINO V1伪标签构建与效用基线</w:t>
            </w:r>
          </w:p>
          <w:p w14:paraId="6DC7795E">
            <w:pPr>
              <w:rPr>
                <w:rFonts w:ascii="宋体" w:hAnsi="宋体" w:cs="宋体"/>
                <w:color w:val="000000"/>
                <w:szCs w:val="21"/>
              </w:rPr>
            </w:pPr>
            <w:r>
              <w:rPr>
                <w:rFonts w:hint="eastAsia" w:ascii="宋体" w:hAnsi="宋体" w:cs="宋体"/>
                <w:color w:val="000000"/>
                <w:szCs w:val="21"/>
              </w:rPr>
              <w:t>• 数据与开发集设计</w:t>
            </w:r>
          </w:p>
          <w:p w14:paraId="6DC7795E">
            <w:pPr>
              <w:rPr>
                <w:rFonts w:ascii="宋体" w:hAnsi="宋体" w:cs="宋体"/>
                <w:color w:val="000000"/>
                <w:szCs w:val="21"/>
              </w:rPr>
            </w:pPr>
            <w:r>
              <w:rPr>
                <w:rFonts w:hint="eastAsia" w:ascii="宋体" w:hAnsi="宋体" w:cs="宋体"/>
                <w:color w:val="000000"/>
                <w:szCs w:val="21"/>
              </w:rPr>
              <w:t>• Prompt与阈值选择及冻结</w:t>
            </w:r>
          </w:p>
          <w:p w14:paraId="6DC7795E">
            <w:pPr>
              <w:rPr>
                <w:rFonts w:ascii="宋体" w:hAnsi="宋体" w:cs="宋体"/>
                <w:color w:val="000000"/>
                <w:szCs w:val="21"/>
              </w:rPr>
            </w:pPr>
            <w:r>
              <w:rPr>
                <w:rFonts w:hint="eastAsia" w:ascii="宋体" w:hAnsi="宋体" w:cs="宋体"/>
                <w:color w:val="000000"/>
                <w:szCs w:val="21"/>
              </w:rPr>
              <w:t>• V1批量生成与版本管理</w:t>
            </w:r>
          </w:p>
          <w:p w14:paraId="6DC7795E">
            <w:pPr>
              <w:rPr>
                <w:rFonts w:ascii="宋体" w:hAnsi="宋体" w:cs="宋体"/>
                <w:color w:val="000000"/>
                <w:szCs w:val="21"/>
              </w:rPr>
            </w:pPr>
            <w:r>
              <w:rPr>
                <w:rFonts w:hint="eastAsia" w:ascii="宋体" w:hAnsi="宋体" w:cs="宋体"/>
                <w:color w:val="000000"/>
                <w:szCs w:val="21"/>
              </w:rPr>
              <w:t>• V1标签级数据质量诊断</w:t>
            </w:r>
          </w:p>
          <w:p w14:paraId="6DC7795E">
            <w:pPr>
              <w:rPr>
                <w:rFonts w:ascii="宋体" w:hAnsi="宋体" w:cs="宋体"/>
                <w:color w:val="000000"/>
                <w:szCs w:val="21"/>
              </w:rPr>
            </w:pPr>
            <w:r>
              <w:rPr>
                <w:rFonts w:hint="eastAsia" w:ascii="宋体" w:hAnsi="宋体" w:cs="宋体"/>
                <w:color w:val="000000"/>
                <w:szCs w:val="21"/>
              </w:rPr>
              <w:t>• YOLO下游效用基线</w:t>
            </w:r>
          </w:p>
          <w:p w14:paraId="6DC7795E">
            <w:pPr>
              <w:rPr>
                <w:rFonts w:ascii="宋体" w:hAnsi="宋体" w:cs="宋体"/>
                <w:color w:val="000000"/>
                <w:szCs w:val="21"/>
              </w:rPr>
            </w:pPr>
            <w:r>
              <w:rPr>
                <w:rFonts w:hint="eastAsia" w:ascii="宋体" w:hAnsi="宋体" w:cs="宋体"/>
                <w:color w:val="000000"/>
                <w:szCs w:val="21"/>
              </w:rPr>
              <w:t>第四章 SAM3后置节点消融与阶段决策</w:t>
            </w:r>
          </w:p>
          <w:p w14:paraId="6DC7795E">
            <w:pPr>
              <w:rPr>
                <w:rFonts w:ascii="宋体" w:hAnsi="宋体" w:cs="宋体"/>
                <w:color w:val="000000"/>
                <w:szCs w:val="21"/>
              </w:rPr>
            </w:pPr>
            <w:r>
              <w:rPr>
                <w:rFonts w:hint="eastAsia" w:ascii="宋体" w:hAnsi="宋体" w:cs="宋体"/>
                <w:color w:val="000000"/>
                <w:szCs w:val="21"/>
              </w:rPr>
              <w:t>• 级联节点角色与权限边界</w:t>
            </w:r>
          </w:p>
          <w:p w14:paraId="6DC7795E">
            <w:pPr>
              <w:rPr>
                <w:rFonts w:ascii="宋体" w:hAnsi="宋体" w:cs="宋体"/>
                <w:color w:val="000000"/>
                <w:szCs w:val="21"/>
              </w:rPr>
            </w:pPr>
            <w:r>
              <w:rPr>
                <w:rFonts w:hint="eastAsia" w:ascii="宋体" w:hAnsi="宋体" w:cs="宋体"/>
                <w:color w:val="000000"/>
                <w:szCs w:val="21"/>
              </w:rPr>
              <w:t>• Verifier保守审核与误删风险</w:t>
            </w:r>
          </w:p>
          <w:p w14:paraId="6DC7795E">
            <w:pPr>
              <w:rPr>
                <w:rFonts w:ascii="宋体" w:hAnsi="宋体" w:cs="宋体"/>
                <w:color w:val="000000"/>
                <w:szCs w:val="21"/>
              </w:rPr>
            </w:pPr>
            <w:r>
              <w:rPr>
                <w:rFonts w:hint="eastAsia" w:ascii="宋体" w:hAnsi="宋体" w:cs="宋体"/>
                <w:color w:val="000000"/>
                <w:szCs w:val="21"/>
              </w:rPr>
              <w:t>• Append候选补漏与IoF去重</w:t>
            </w:r>
          </w:p>
          <w:p w14:paraId="6DC7795E">
            <w:pPr>
              <w:rPr>
                <w:rFonts w:ascii="宋体" w:hAnsi="宋体" w:cs="宋体"/>
                <w:color w:val="000000"/>
                <w:szCs w:val="21"/>
              </w:rPr>
            </w:pPr>
            <w:r>
              <w:rPr>
                <w:rFonts w:hint="eastAsia" w:ascii="宋体" w:hAnsi="宋体" w:cs="宋体"/>
                <w:color w:val="000000"/>
                <w:szCs w:val="21"/>
              </w:rPr>
              <w:t>• Refiner负消融及停止依据</w:t>
            </w:r>
          </w:p>
          <w:p w14:paraId="6DC7795E">
            <w:pPr>
              <w:rPr>
                <w:rFonts w:ascii="宋体" w:hAnsi="宋体" w:cs="宋体"/>
                <w:color w:val="000000"/>
                <w:szCs w:val="21"/>
              </w:rPr>
            </w:pPr>
            <w:r>
              <w:rPr>
                <w:rFonts w:hint="eastAsia" w:ascii="宋体" w:hAnsi="宋体" w:cs="宋体"/>
                <w:color w:val="000000"/>
                <w:szCs w:val="21"/>
              </w:rPr>
              <w:t>• Go/Hold/Stop阶段决策结果</w:t>
            </w:r>
          </w:p>
          <w:p w14:paraId="6DC7795E">
            <w:pPr>
              <w:rPr>
                <w:rFonts w:ascii="宋体" w:hAnsi="宋体" w:cs="宋体"/>
                <w:color w:val="000000"/>
                <w:szCs w:val="21"/>
              </w:rPr>
            </w:pPr>
            <w:r>
              <w:rPr>
                <w:rFonts w:hint="eastAsia" w:ascii="宋体" w:hAnsi="宋体" w:cs="宋体"/>
                <w:color w:val="000000"/>
                <w:szCs w:val="21"/>
              </w:rPr>
              <w:t>第五章 最终标签方案的下游效用与稳健性验证</w:t>
            </w:r>
          </w:p>
          <w:p w14:paraId="6DC7795E">
            <w:pPr>
              <w:rPr>
                <w:rFonts w:ascii="宋体" w:hAnsi="宋体" w:cs="宋体"/>
                <w:color w:val="000000"/>
                <w:szCs w:val="21"/>
              </w:rPr>
            </w:pPr>
            <w:r>
              <w:rPr>
                <w:rFonts w:hint="eastAsia" w:ascii="宋体" w:hAnsi="宋体" w:cs="宋体"/>
                <w:color w:val="000000"/>
                <w:szCs w:val="21"/>
              </w:rPr>
              <w:t>• 最终标签方案冻结</w:t>
            </w:r>
          </w:p>
          <w:p w14:paraId="6DC7795E">
            <w:pPr>
              <w:rPr>
                <w:rFonts w:ascii="宋体" w:hAnsi="宋体" w:cs="宋体"/>
                <w:color w:val="000000"/>
                <w:szCs w:val="21"/>
              </w:rPr>
            </w:pPr>
            <w:r>
              <w:rPr>
                <w:rFonts w:hint="eastAsia" w:ascii="宋体" w:hAnsi="宋体" w:cs="宋体"/>
                <w:color w:val="000000"/>
                <w:szCs w:val="21"/>
              </w:rPr>
              <w:t>• 统一YOLO多随机种子训练协议</w:t>
            </w:r>
          </w:p>
          <w:p w14:paraId="6DC7795E">
            <w:pPr>
              <w:rPr>
                <w:rFonts w:ascii="宋体" w:hAnsi="宋体" w:cs="宋体"/>
                <w:color w:val="000000"/>
                <w:szCs w:val="21"/>
              </w:rPr>
            </w:pPr>
            <w:r>
              <w:rPr>
                <w:rFonts w:hint="eastAsia" w:ascii="宋体" w:hAnsi="宋体" w:cs="宋体"/>
                <w:color w:val="000000"/>
                <w:szCs w:val="21"/>
              </w:rPr>
              <w:t>• 新隔离测试集与历史Pilot可比性</w:t>
            </w:r>
          </w:p>
          <w:p w14:paraId="6DC7795E">
            <w:pPr>
              <w:rPr>
                <w:rFonts w:ascii="宋体" w:hAnsi="宋体" w:cs="宋体"/>
                <w:color w:val="000000"/>
                <w:szCs w:val="21"/>
              </w:rPr>
            </w:pPr>
            <w:r>
              <w:rPr>
                <w:rFonts w:hint="eastAsia" w:ascii="宋体" w:hAnsi="宋体" w:cs="宋体"/>
                <w:color w:val="000000"/>
                <w:szCs w:val="21"/>
              </w:rPr>
              <w:t>• 核心效用指标与性能保留率</w:t>
            </w:r>
          </w:p>
          <w:p w14:paraId="6DC7795E">
            <w:pPr>
              <w:rPr>
                <w:rFonts w:ascii="宋体" w:hAnsi="宋体" w:cs="宋体"/>
                <w:color w:val="000000"/>
                <w:szCs w:val="21"/>
              </w:rPr>
            </w:pPr>
            <w:r>
              <w:rPr>
                <w:rFonts w:hint="eastAsia" w:ascii="宋体" w:hAnsi="宋体" w:cs="宋体"/>
                <w:color w:val="000000"/>
                <w:szCs w:val="21"/>
              </w:rPr>
              <w:t>• fire/smoke、尺度与来源分层</w:t>
            </w:r>
          </w:p>
          <w:p w14:paraId="6DC7795E">
            <w:pPr>
              <w:rPr>
                <w:rFonts w:ascii="宋体" w:hAnsi="宋体" w:cs="宋体"/>
                <w:color w:val="000000"/>
                <w:szCs w:val="21"/>
              </w:rPr>
            </w:pPr>
            <w:r>
              <w:rPr>
                <w:rFonts w:hint="eastAsia" w:ascii="宋体" w:hAnsi="宋体" w:cs="宋体"/>
                <w:color w:val="000000"/>
                <w:szCs w:val="21"/>
              </w:rPr>
              <w:t>• 非刚性边界风格敏感性分析</w:t>
            </w:r>
          </w:p>
          <w:p w14:paraId="6DC7795E">
            <w:pPr>
              <w:rPr>
                <w:rFonts w:ascii="宋体" w:hAnsi="宋体" w:cs="宋体"/>
                <w:color w:val="000000"/>
                <w:szCs w:val="21"/>
              </w:rPr>
            </w:pPr>
            <w:r>
              <w:rPr>
                <w:rFonts w:hint="eastAsia" w:ascii="宋体" w:hAnsi="宋体" w:cs="宋体"/>
                <w:color w:val="000000"/>
                <w:szCs w:val="21"/>
              </w:rPr>
              <w:t>• 标签级指标与下游效用关系</w:t>
            </w:r>
          </w:p>
          <w:p w14:paraId="6DC7795E">
            <w:pPr>
              <w:rPr>
                <w:rFonts w:ascii="宋体" w:hAnsi="宋体" w:cs="宋体"/>
                <w:color w:val="000000"/>
                <w:szCs w:val="21"/>
              </w:rPr>
            </w:pPr>
            <w:r>
              <w:rPr>
                <w:rFonts w:hint="eastAsia" w:ascii="宋体" w:hAnsi="宋体" w:cs="宋体"/>
                <w:color w:val="000000"/>
                <w:szCs w:val="21"/>
              </w:rPr>
              <w:t>第六章 规模训练数据制备投入与流程选型</w:t>
            </w:r>
          </w:p>
          <w:p w14:paraId="6DC7795E">
            <w:pPr>
              <w:rPr>
                <w:rFonts w:ascii="宋体" w:hAnsi="宋体" w:cs="宋体"/>
                <w:color w:val="000000"/>
                <w:szCs w:val="21"/>
              </w:rPr>
            </w:pPr>
            <w:r>
              <w:rPr>
                <w:rFonts w:hint="eastAsia" w:ascii="宋体" w:hAnsi="宋体" w:cs="宋体"/>
                <w:color w:val="000000"/>
                <w:szCs w:val="21"/>
              </w:rPr>
              <w:t>• 评价对象与投入边界</w:t>
            </w:r>
          </w:p>
          <w:p w14:paraId="6DC7795E">
            <w:pPr>
              <w:rPr>
                <w:rFonts w:ascii="宋体" w:hAnsi="宋体" w:cs="宋体"/>
                <w:color w:val="000000"/>
                <w:szCs w:val="21"/>
              </w:rPr>
            </w:pPr>
            <w:r>
              <w:rPr>
                <w:rFonts w:hint="eastAsia" w:ascii="宋体" w:hAnsi="宋体" w:cs="宋体"/>
                <w:color w:val="000000"/>
                <w:szCs w:val="21"/>
              </w:rPr>
              <w:t>• 人工逐框与模型辅助制备时耗对比</w:t>
            </w:r>
          </w:p>
          <w:p w14:paraId="6DC7795E">
            <w:pPr>
              <w:rPr>
                <w:rFonts w:ascii="宋体" w:hAnsi="宋体" w:cs="宋体"/>
                <w:color w:val="000000"/>
                <w:szCs w:val="21"/>
              </w:rPr>
            </w:pPr>
            <w:r>
              <w:rPr>
                <w:rFonts w:hint="eastAsia" w:ascii="宋体" w:hAnsi="宋体" w:cs="宋体"/>
                <w:color w:val="000000"/>
                <w:szCs w:val="21"/>
              </w:rPr>
              <w:t>• 1千/1万/10万张规模外推</w:t>
            </w:r>
          </w:p>
          <w:p w14:paraId="6DC7795E">
            <w:pPr>
              <w:rPr>
                <w:rFonts w:ascii="宋体" w:hAnsi="宋体" w:cs="宋体"/>
                <w:color w:val="000000"/>
                <w:szCs w:val="21"/>
              </w:rPr>
            </w:pPr>
            <w:r>
              <w:rPr>
                <w:rFonts w:hint="eastAsia" w:ascii="宋体" w:hAnsi="宋体" w:cs="宋体"/>
                <w:color w:val="000000"/>
                <w:szCs w:val="21"/>
              </w:rPr>
              <w:t>• 人工参与程度与级联节点增量投入</w:t>
            </w:r>
          </w:p>
          <w:p w14:paraId="6DC7795E">
            <w:pPr>
              <w:rPr>
                <w:rFonts w:ascii="宋体" w:hAnsi="宋体" w:cs="宋体"/>
                <w:color w:val="000000"/>
                <w:szCs w:val="21"/>
              </w:rPr>
            </w:pPr>
            <w:r>
              <w:rPr>
                <w:rFonts w:hint="eastAsia" w:ascii="宋体" w:hAnsi="宋体" w:cs="宋体"/>
                <w:color w:val="000000"/>
                <w:szCs w:val="21"/>
              </w:rPr>
              <w:t>• Pareto非支配流程候选集</w:t>
            </w:r>
          </w:p>
          <w:p w14:paraId="6DC7795E">
            <w:pPr>
              <w:rPr>
                <w:rFonts w:ascii="宋体" w:hAnsi="宋体" w:cs="宋体"/>
                <w:color w:val="000000"/>
                <w:szCs w:val="21"/>
              </w:rPr>
            </w:pPr>
            <w:r>
              <w:rPr>
                <w:rFonts w:hint="eastAsia" w:ascii="宋体" w:hAnsi="宋体" w:cs="宋体"/>
                <w:color w:val="000000"/>
                <w:szCs w:val="21"/>
              </w:rPr>
              <w:t>• 不同目标约束下的流程选型矩阵</w:t>
            </w:r>
          </w:p>
          <w:p w14:paraId="6DC7795E">
            <w:pPr>
              <w:rPr>
                <w:rFonts w:ascii="宋体" w:hAnsi="宋体" w:cs="宋体"/>
                <w:color w:val="000000"/>
                <w:szCs w:val="21"/>
              </w:rPr>
            </w:pPr>
            <w:r>
              <w:rPr>
                <w:rFonts w:hint="eastAsia" w:ascii="宋体" w:hAnsi="宋体" w:cs="宋体"/>
                <w:color w:val="000000"/>
                <w:szCs w:val="21"/>
              </w:rPr>
              <w:t>• 最小可追溯链与复现建议</w:t>
            </w:r>
          </w:p>
          <w:p w14:paraId="6DC7795E">
            <w:pPr>
              <w:rPr>
                <w:rFonts w:ascii="宋体" w:hAnsi="宋体" w:cs="宋体"/>
                <w:color w:val="000000"/>
                <w:szCs w:val="21"/>
              </w:rPr>
            </w:pPr>
            <w:r>
              <w:rPr>
                <w:rFonts w:hint="eastAsia" w:ascii="宋体" w:hAnsi="宋体" w:cs="宋体"/>
                <w:color w:val="000000"/>
                <w:szCs w:val="21"/>
              </w:rPr>
              <w:t>第七章 结论与展望</w:t>
            </w:r>
          </w:p>
          <w:p w14:paraId="6DC7795E">
            <w:pPr>
              <w:rPr>
                <w:rFonts w:ascii="宋体" w:hAnsi="宋体" w:cs="宋体"/>
                <w:color w:val="000000"/>
                <w:szCs w:val="21"/>
              </w:rPr>
            </w:pPr>
            <w:r>
              <w:rPr>
                <w:rFonts w:hint="eastAsia" w:ascii="宋体" w:hAnsi="宋体" w:cs="宋体"/>
                <w:color w:val="000000"/>
                <w:szCs w:val="21"/>
              </w:rPr>
              <w:t>• 主要研究结论</w:t>
            </w:r>
          </w:p>
          <w:p w14:paraId="6DC7795E">
            <w:pPr>
              <w:rPr>
                <w:rFonts w:ascii="宋体" w:hAnsi="宋体" w:cs="宋体"/>
                <w:color w:val="000000"/>
                <w:szCs w:val="21"/>
              </w:rPr>
            </w:pPr>
            <w:r>
              <w:rPr>
                <w:rFonts w:hint="eastAsia" w:ascii="宋体" w:hAnsi="宋体" w:cs="宋体"/>
                <w:color w:val="000000"/>
                <w:szCs w:val="21"/>
              </w:rPr>
              <w:t>• 工程实践启示</w:t>
            </w:r>
          </w:p>
          <w:p w14:paraId="6DC7795E">
            <w:pPr>
              <w:rPr>
                <w:rFonts w:ascii="宋体" w:hAnsi="宋体" w:cs="宋体"/>
                <w:color w:val="000000"/>
                <w:szCs w:val="21"/>
              </w:rPr>
            </w:pPr>
            <w:r>
              <w:rPr>
                <w:rFonts w:hint="eastAsia" w:ascii="宋体" w:hAnsi="宋体" w:cs="宋体"/>
                <w:color w:val="000000"/>
                <w:szCs w:val="21"/>
              </w:rPr>
              <w:t>• 研究局限</w:t>
            </w:r>
          </w:p>
          <w:p w14:paraId="6DC7795E">
            <w:pPr>
              <w:rPr>
                <w:rFonts w:ascii="宋体" w:hAnsi="宋体" w:cs="宋体"/>
                <w:color w:val="000000"/>
                <w:szCs w:val="21"/>
              </w:rPr>
            </w:pPr>
            <w:r>
              <w:rPr>
                <w:rFonts w:hint="eastAsia" w:ascii="宋体" w:hAnsi="宋体" w:cs="宋体"/>
                <w:color w:val="000000"/>
                <w:szCs w:val="21"/>
              </w:rPr>
              <w:t>• 视频时序场景与持续迭代的后续研究</w:t>
            </w:r>
          </w:p>
        </w:tc>
      </w:tr>
      <w:tr w14:paraId="2325823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44" w:hRule="atLeast"/>
          <w:jc w:val="center"/>
        </w:trPr>
        <w:tc>
          <w:tcPr>
            <w:tcW w:w="897" w:type="dxa"/>
            <w:vMerge w:val="restart"/>
            <w:tcBorders>
              <w:top w:val="single" w:color="auto" w:sz="4" w:space="0"/>
              <w:left w:val="single" w:color="auto" w:sz="4" w:space="0"/>
              <w:right w:val="single" w:color="auto" w:sz="4" w:space="0"/>
            </w:tcBorders>
          </w:tcPr>
          <w:p w14:paraId="688964C4">
            <w:pPr>
              <w:rPr>
                <w:rFonts w:ascii="宋体" w:hAnsi="宋体" w:cs="宋体"/>
                <w:color w:val="000000"/>
                <w:szCs w:val="21"/>
              </w:rPr>
            </w:pPr>
            <w:r>
              <w:rPr>
                <w:rFonts w:hint="eastAsia" w:ascii="宋体" w:hAnsi="宋体" w:cs="宋体"/>
                <w:color w:val="000000"/>
                <w:szCs w:val="21"/>
              </w:rPr>
              <w:t>五、</w:t>
            </w:r>
          </w:p>
          <w:p w14:paraId="3DA09F0C">
            <w:pPr>
              <w:rPr>
                <w:rFonts w:ascii="宋体" w:hAnsi="宋体" w:cs="宋体"/>
                <w:color w:val="000000"/>
                <w:szCs w:val="21"/>
              </w:rPr>
            </w:pPr>
          </w:p>
          <w:p w14:paraId="0A62D063">
            <w:pPr>
              <w:rPr>
                <w:rFonts w:ascii="宋体" w:hAnsi="宋体" w:cs="宋体"/>
                <w:color w:val="000000"/>
                <w:szCs w:val="21"/>
              </w:rPr>
            </w:pPr>
            <w:r>
              <w:rPr>
                <w:rFonts w:hint="eastAsia" w:ascii="宋体" w:hAnsi="宋体" w:cs="宋体"/>
                <w:color w:val="000000"/>
                <w:szCs w:val="21"/>
              </w:rPr>
              <w:t>工</w:t>
            </w:r>
          </w:p>
          <w:p w14:paraId="489CB97C">
            <w:pPr>
              <w:rPr>
                <w:rFonts w:ascii="宋体" w:hAnsi="宋体" w:cs="宋体"/>
                <w:color w:val="000000"/>
                <w:szCs w:val="21"/>
              </w:rPr>
            </w:pPr>
            <w:r>
              <w:rPr>
                <w:rFonts w:hint="eastAsia" w:ascii="宋体" w:hAnsi="宋体" w:cs="宋体"/>
                <w:color w:val="000000"/>
                <w:szCs w:val="21"/>
              </w:rPr>
              <w:t>作</w:t>
            </w:r>
          </w:p>
          <w:p w14:paraId="25251590">
            <w:pPr>
              <w:rPr>
                <w:rFonts w:ascii="宋体" w:hAnsi="宋体" w:cs="宋体"/>
                <w:color w:val="000000"/>
                <w:szCs w:val="21"/>
              </w:rPr>
            </w:pPr>
            <w:r>
              <w:rPr>
                <w:rFonts w:hint="eastAsia" w:ascii="宋体" w:hAnsi="宋体" w:cs="宋体"/>
                <w:color w:val="000000"/>
                <w:szCs w:val="21"/>
              </w:rPr>
              <w:t>计</w:t>
            </w:r>
          </w:p>
          <w:p w14:paraId="0B276560">
            <w:pPr>
              <w:rPr>
                <w:rFonts w:ascii="宋体" w:hAnsi="宋体" w:cs="宋体"/>
                <w:color w:val="000000"/>
                <w:szCs w:val="21"/>
              </w:rPr>
            </w:pPr>
            <w:r>
              <w:rPr>
                <w:rFonts w:hint="eastAsia" w:ascii="宋体" w:hAnsi="宋体" w:cs="宋体"/>
                <w:color w:val="000000"/>
                <w:szCs w:val="21"/>
              </w:rPr>
              <w:t>划</w:t>
            </w:r>
          </w:p>
          <w:p w14:paraId="438CB719">
            <w:pPr>
              <w:rPr>
                <w:rFonts w:ascii="宋体" w:hAnsi="宋体" w:cs="宋体"/>
                <w:color w:val="000000"/>
                <w:szCs w:val="21"/>
              </w:rPr>
            </w:pPr>
          </w:p>
        </w:tc>
        <w:tc>
          <w:tcPr>
            <w:tcW w:w="1845" w:type="dxa"/>
            <w:gridSpan w:val="3"/>
            <w:tcBorders>
              <w:top w:val="single" w:color="auto" w:sz="4" w:space="0"/>
              <w:left w:val="single" w:color="auto" w:sz="4" w:space="0"/>
              <w:right w:val="single" w:color="auto" w:sz="4" w:space="0"/>
            </w:tcBorders>
          </w:tcPr>
          <w:p w14:paraId="3693D478">
            <w:pPr>
              <w:rPr>
                <w:rFonts w:ascii="宋体" w:hAnsi="宋体" w:cs="宋体"/>
                <w:color w:val="000000"/>
                <w:szCs w:val="21"/>
              </w:rPr>
            </w:pPr>
            <w:r>
              <w:rPr>
                <w:rFonts w:hint="eastAsia" w:ascii="宋体" w:hAnsi="宋体" w:cs="宋体"/>
                <w:color w:val="000000"/>
                <w:szCs w:val="21"/>
              </w:rPr>
              <w:t>1</w:t>
            </w:r>
          </w:p>
        </w:tc>
        <w:tc>
          <w:tcPr>
            <w:tcW w:w="1846" w:type="dxa"/>
            <w:tcBorders>
              <w:top w:val="single" w:color="auto" w:sz="4" w:space="0"/>
              <w:left w:val="single" w:color="auto" w:sz="4" w:space="0"/>
              <w:right w:val="single" w:color="auto" w:sz="4" w:space="0"/>
            </w:tcBorders>
          </w:tcPr>
          <w:p w14:paraId="5C122788">
            <w:pPr>
              <w:rPr>
                <w:rFonts w:ascii="宋体" w:hAnsi="宋体" w:cs="宋体"/>
                <w:color w:val="000000"/>
                <w:szCs w:val="21"/>
              </w:rPr>
            </w:pPr>
            <w:r>
              <w:rPr>
                <w:rFonts w:hint="eastAsia" w:ascii="宋体" w:hAnsi="宋体" w:cs="宋体"/>
                <w:color w:val="000000"/>
                <w:szCs w:val="21"/>
              </w:rPr>
              <w:t>实践中发现问题；相关资料的学习；数据的收集；文献综述与开题报告撰写</w:t>
            </w:r>
          </w:p>
        </w:tc>
        <w:tc>
          <w:tcPr>
            <w:tcW w:w="1846" w:type="dxa"/>
            <w:gridSpan w:val="4"/>
            <w:tcBorders>
              <w:top w:val="single" w:color="auto" w:sz="4" w:space="0"/>
              <w:left w:val="single" w:color="auto" w:sz="4" w:space="0"/>
              <w:right w:val="single" w:color="auto" w:sz="4" w:space="0"/>
            </w:tcBorders>
          </w:tcPr>
          <w:p w14:paraId="426822B0">
            <w:pPr>
              <w:rPr>
                <w:rFonts w:ascii="宋体" w:hAnsi="宋体" w:cs="宋体"/>
                <w:color w:val="000000"/>
                <w:szCs w:val="21"/>
              </w:rPr>
            </w:pPr>
            <w:r>
              <w:rPr>
                <w:rFonts w:hint="eastAsia" w:ascii="宋体" w:hAnsi="宋体" w:cs="宋体"/>
                <w:color w:val="000000"/>
                <w:szCs w:val="21"/>
              </w:rPr>
              <w:t>2026年3月-6月</w:t>
            </w:r>
          </w:p>
        </w:tc>
        <w:tc>
          <w:tcPr>
            <w:tcW w:w="1846" w:type="dxa"/>
            <w:tcBorders>
              <w:top w:val="single" w:color="auto" w:sz="4" w:space="0"/>
              <w:left w:val="single" w:color="auto" w:sz="4" w:space="0"/>
              <w:right w:val="single" w:color="auto" w:sz="4" w:space="0"/>
            </w:tcBorders>
          </w:tcPr>
          <w:p w14:paraId="660CE100">
            <w:pPr>
              <w:rPr>
                <w:rFonts w:ascii="宋体" w:hAnsi="宋体" w:cs="宋体"/>
                <w:color w:val="000000"/>
                <w:szCs w:val="21"/>
              </w:rPr>
            </w:pPr>
            <w:r>
              <w:rPr>
                <w:rFonts w:hint="eastAsia" w:ascii="宋体" w:hAnsi="宋体" w:cs="宋体"/>
                <w:color w:val="000000"/>
                <w:szCs w:val="21"/>
              </w:rPr>
              <w:t>完成数据版本整理与文献综述，确定研究方向与技术路线，提交开题报告</w:t>
            </w:r>
          </w:p>
        </w:tc>
      </w:tr>
      <w:tr w14:paraId="7A245B2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38" w:hRule="atLeast"/>
          <w:jc w:val="center"/>
        </w:trPr>
        <w:tc>
          <w:tcPr>
            <w:tcW w:w="897" w:type="dxa"/>
            <w:vMerge w:val="continue"/>
            <w:tcBorders>
              <w:left w:val="single" w:color="auto" w:sz="4" w:space="0"/>
              <w:right w:val="single" w:color="auto" w:sz="4" w:space="0"/>
            </w:tcBorders>
          </w:tcPr>
          <w:p w14:paraId="53633FC0">
            <w:pPr>
              <w:rPr>
                <w:rFonts w:ascii="宋体" w:hAnsi="宋体" w:cs="宋体"/>
                <w:color w:val="000000"/>
                <w:szCs w:val="21"/>
              </w:rPr>
            </w:pPr>
          </w:p>
        </w:tc>
        <w:tc>
          <w:tcPr>
            <w:tcW w:w="1845" w:type="dxa"/>
            <w:gridSpan w:val="3"/>
            <w:tcBorders>
              <w:top w:val="single" w:color="auto" w:sz="4" w:space="0"/>
              <w:left w:val="single" w:color="auto" w:sz="4" w:space="0"/>
              <w:right w:val="single" w:color="auto" w:sz="4" w:space="0"/>
            </w:tcBorders>
          </w:tcPr>
          <w:p w14:paraId="2B8EF183">
            <w:pPr>
              <w:rPr>
                <w:rFonts w:ascii="宋体" w:hAnsi="宋体" w:cs="宋体"/>
                <w:color w:val="000000"/>
                <w:szCs w:val="21"/>
              </w:rPr>
            </w:pPr>
            <w:r>
              <w:rPr>
                <w:rFonts w:hint="eastAsia" w:ascii="宋体" w:hAnsi="宋体" w:cs="宋体"/>
                <w:color w:val="000000"/>
                <w:szCs w:val="21"/>
              </w:rPr>
              <w:t>2</w:t>
            </w:r>
          </w:p>
        </w:tc>
        <w:tc>
          <w:tcPr>
            <w:tcW w:w="1846" w:type="dxa"/>
            <w:tcBorders>
              <w:top w:val="single" w:color="auto" w:sz="4" w:space="0"/>
              <w:left w:val="single" w:color="auto" w:sz="4" w:space="0"/>
              <w:right w:val="single" w:color="auto" w:sz="4" w:space="0"/>
            </w:tcBorders>
          </w:tcPr>
          <w:p w14:paraId="7B228100">
            <w:pPr>
              <w:rPr>
                <w:rFonts w:ascii="宋体" w:hAnsi="宋体" w:cs="宋体"/>
                <w:color w:val="000000"/>
                <w:szCs w:val="21"/>
              </w:rPr>
            </w:pPr>
            <w:r>
              <w:rPr>
                <w:rFonts w:hint="eastAsia" w:ascii="宋体" w:hAnsi="宋体" w:cs="宋体"/>
                <w:color w:val="000000"/>
                <w:szCs w:val="21"/>
              </w:rPr>
              <w:t>阶段一：V1基准冻结（伪标签生成与方案矩阵选定）</w:t>
            </w:r>
          </w:p>
        </w:tc>
        <w:tc>
          <w:tcPr>
            <w:tcW w:w="1846" w:type="dxa"/>
            <w:gridSpan w:val="4"/>
            <w:tcBorders>
              <w:top w:val="single" w:color="auto" w:sz="4" w:space="0"/>
              <w:left w:val="single" w:color="auto" w:sz="4" w:space="0"/>
              <w:right w:val="single" w:color="auto" w:sz="4" w:space="0"/>
            </w:tcBorders>
          </w:tcPr>
          <w:p w14:paraId="0E2E0D58">
            <w:pPr>
              <w:rPr>
                <w:rFonts w:ascii="宋体" w:hAnsi="宋体" w:cs="宋体"/>
                <w:color w:val="000000"/>
                <w:szCs w:val="21"/>
              </w:rPr>
            </w:pPr>
            <w:r>
              <w:rPr>
                <w:rFonts w:hint="eastAsia" w:ascii="宋体" w:hAnsi="宋体" w:cs="宋体"/>
                <w:color w:val="000000"/>
                <w:szCs w:val="21"/>
              </w:rPr>
              <w:t>2026年9月-12月</w:t>
            </w:r>
          </w:p>
        </w:tc>
        <w:tc>
          <w:tcPr>
            <w:tcW w:w="1846" w:type="dxa"/>
            <w:tcBorders>
              <w:top w:val="single" w:color="auto" w:sz="4" w:space="0"/>
              <w:left w:val="single" w:color="auto" w:sz="4" w:space="0"/>
              <w:right w:val="single" w:color="auto" w:sz="4" w:space="0"/>
            </w:tcBorders>
          </w:tcPr>
          <w:p w14:paraId="5E73C079">
            <w:pPr>
              <w:rPr>
                <w:rFonts w:ascii="宋体" w:hAnsi="宋体" w:cs="宋体"/>
                <w:color w:val="000000"/>
                <w:szCs w:val="21"/>
              </w:rPr>
            </w:pPr>
            <w:r>
              <w:rPr>
                <w:rFonts w:hint="eastAsia" w:ascii="宋体" w:hAnsi="宋体" w:cs="宋体"/>
                <w:color w:val="000000"/>
                <w:szCs w:val="21"/>
              </w:rPr>
              <w:t>冻结V1配置、标签版本和V1下游基线</w:t>
            </w:r>
          </w:p>
        </w:tc>
      </w:tr>
      <w:tr w14:paraId="5A08349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38" w:hRule="atLeast"/>
          <w:jc w:val="center"/>
        </w:trPr>
        <w:tc>
          <w:tcPr>
            <w:tcW w:w="897" w:type="dxa"/>
            <w:vMerge w:val="continue"/>
            <w:tcBorders>
              <w:left w:val="single" w:color="auto" w:sz="4" w:space="0"/>
              <w:right w:val="single" w:color="auto" w:sz="4" w:space="0"/>
            </w:tcBorders>
          </w:tcPr>
          <w:p w14:paraId="429EFBE3">
            <w:pPr>
              <w:rPr>
                <w:rFonts w:ascii="宋体" w:hAnsi="宋体" w:cs="宋体"/>
                <w:color w:val="000000"/>
                <w:szCs w:val="21"/>
              </w:rPr>
            </w:pPr>
          </w:p>
        </w:tc>
        <w:tc>
          <w:tcPr>
            <w:tcW w:w="1845" w:type="dxa"/>
            <w:gridSpan w:val="3"/>
            <w:tcBorders>
              <w:top w:val="single" w:color="auto" w:sz="4" w:space="0"/>
              <w:left w:val="single" w:color="auto" w:sz="4" w:space="0"/>
              <w:right w:val="single" w:color="auto" w:sz="4" w:space="0"/>
            </w:tcBorders>
          </w:tcPr>
          <w:p w14:paraId="39282B32">
            <w:pPr>
              <w:rPr>
                <w:rFonts w:ascii="宋体" w:hAnsi="宋体" w:cs="宋体"/>
                <w:color w:val="000000"/>
                <w:szCs w:val="21"/>
              </w:rPr>
            </w:pPr>
            <w:r>
              <w:rPr>
                <w:rFonts w:hint="eastAsia" w:ascii="宋体" w:hAnsi="宋体" w:cs="宋体"/>
                <w:color w:val="000000"/>
                <w:szCs w:val="21"/>
              </w:rPr>
              <w:t>3</w:t>
            </w:r>
          </w:p>
        </w:tc>
        <w:tc>
          <w:tcPr>
            <w:tcW w:w="1846" w:type="dxa"/>
            <w:tcBorders>
              <w:top w:val="single" w:color="auto" w:sz="4" w:space="0"/>
              <w:left w:val="single" w:color="auto" w:sz="4" w:space="0"/>
              <w:right w:val="single" w:color="auto" w:sz="4" w:space="0"/>
            </w:tcBorders>
          </w:tcPr>
          <w:p w14:paraId="1DD06BAA">
            <w:pPr>
              <w:rPr>
                <w:rFonts w:ascii="宋体" w:hAnsi="宋体" w:cs="宋体"/>
                <w:color w:val="000000"/>
                <w:szCs w:val="21"/>
              </w:rPr>
            </w:pPr>
            <w:r>
              <w:rPr>
                <w:rFonts w:hint="eastAsia" w:ascii="宋体" w:hAnsi="宋体" w:cs="宋体"/>
                <w:color w:val="000000"/>
                <w:szCs w:val="21"/>
              </w:rPr>
              <w:t>阶段二：SAM3角色复验（伪标签验证体系搭建与测试）</w:t>
            </w:r>
          </w:p>
        </w:tc>
        <w:tc>
          <w:tcPr>
            <w:tcW w:w="1846" w:type="dxa"/>
            <w:gridSpan w:val="4"/>
            <w:tcBorders>
              <w:top w:val="single" w:color="auto" w:sz="4" w:space="0"/>
              <w:left w:val="single" w:color="auto" w:sz="4" w:space="0"/>
              <w:right w:val="single" w:color="auto" w:sz="4" w:space="0"/>
            </w:tcBorders>
          </w:tcPr>
          <w:p w14:paraId="2A5AA236">
            <w:pPr>
              <w:rPr>
                <w:rFonts w:ascii="宋体" w:hAnsi="宋体" w:cs="宋体"/>
                <w:color w:val="000000"/>
                <w:szCs w:val="21"/>
              </w:rPr>
            </w:pPr>
            <w:r>
              <w:rPr>
                <w:rFonts w:hint="eastAsia" w:ascii="宋体" w:hAnsi="宋体" w:cs="宋体"/>
                <w:color w:val="000000"/>
                <w:szCs w:val="21"/>
              </w:rPr>
              <w:t>2027年1月-2月</w:t>
            </w:r>
          </w:p>
        </w:tc>
        <w:tc>
          <w:tcPr>
            <w:tcW w:w="1846" w:type="dxa"/>
            <w:tcBorders>
              <w:top w:val="single" w:color="auto" w:sz="4" w:space="0"/>
              <w:left w:val="single" w:color="auto" w:sz="4" w:space="0"/>
              <w:right w:val="single" w:color="auto" w:sz="4" w:space="0"/>
            </w:tcBorders>
          </w:tcPr>
          <w:p w14:paraId="0FC9867C">
            <w:pPr>
              <w:rPr>
                <w:rFonts w:ascii="宋体" w:hAnsi="宋体" w:cs="宋体"/>
                <w:color w:val="000000"/>
                <w:szCs w:val="21"/>
              </w:rPr>
            </w:pPr>
            <w:r>
              <w:rPr>
                <w:rFonts w:hint="eastAsia" w:ascii="宋体" w:hAnsi="宋体" w:cs="宋体"/>
                <w:color w:val="000000"/>
                <w:szCs w:val="21"/>
              </w:rPr>
              <w:t>形成Go/Hold/Stop结果和最终V2候选</w:t>
            </w:r>
          </w:p>
        </w:tc>
      </w:tr>
      <w:tr w14:paraId="5133FDE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38" w:hRule="atLeast"/>
          <w:jc w:val="center"/>
        </w:trPr>
        <w:tc>
          <w:tcPr>
            <w:tcW w:w="897" w:type="dxa"/>
            <w:vMerge w:val="continue"/>
            <w:tcBorders>
              <w:left w:val="single" w:color="auto" w:sz="4" w:space="0"/>
              <w:right w:val="single" w:color="auto" w:sz="4" w:space="0"/>
            </w:tcBorders>
          </w:tcPr>
          <w:p w14:paraId="4D1C4AAB">
            <w:pPr>
              <w:rPr>
                <w:rFonts w:ascii="宋体" w:hAnsi="宋体" w:cs="宋体"/>
                <w:color w:val="000000"/>
                <w:szCs w:val="21"/>
              </w:rPr>
            </w:pPr>
          </w:p>
        </w:tc>
        <w:tc>
          <w:tcPr>
            <w:tcW w:w="1845" w:type="dxa"/>
            <w:gridSpan w:val="3"/>
            <w:tcBorders>
              <w:top w:val="single" w:color="auto" w:sz="4" w:space="0"/>
              <w:left w:val="single" w:color="auto" w:sz="4" w:space="0"/>
              <w:right w:val="single" w:color="auto" w:sz="4" w:space="0"/>
            </w:tcBorders>
          </w:tcPr>
          <w:p w14:paraId="17BB7E27">
            <w:pPr>
              <w:rPr>
                <w:rFonts w:ascii="宋体" w:hAnsi="宋体" w:cs="宋体"/>
                <w:color w:val="000000"/>
                <w:szCs w:val="21"/>
              </w:rPr>
            </w:pPr>
            <w:r>
              <w:rPr>
                <w:rFonts w:hint="eastAsia" w:ascii="宋体" w:hAnsi="宋体" w:cs="宋体"/>
                <w:color w:val="000000"/>
                <w:szCs w:val="21"/>
              </w:rPr>
              <w:t>4</w:t>
            </w:r>
          </w:p>
        </w:tc>
        <w:tc>
          <w:tcPr>
            <w:tcW w:w="1846" w:type="dxa"/>
            <w:tcBorders>
              <w:top w:val="single" w:color="auto" w:sz="4" w:space="0"/>
              <w:left w:val="single" w:color="auto" w:sz="4" w:space="0"/>
              <w:right w:val="single" w:color="auto" w:sz="4" w:space="0"/>
            </w:tcBorders>
          </w:tcPr>
          <w:p w14:paraId="2AAD6097">
            <w:pPr>
              <w:rPr>
                <w:rFonts w:ascii="宋体" w:hAnsi="宋体" w:cs="宋体"/>
                <w:color w:val="000000"/>
                <w:szCs w:val="21"/>
              </w:rPr>
            </w:pPr>
            <w:r>
              <w:rPr>
                <w:rFonts w:hint="eastAsia" w:ascii="宋体" w:hAnsi="宋体" w:cs="宋体"/>
                <w:color w:val="000000"/>
                <w:szCs w:val="21"/>
              </w:rPr>
              <w:t>阶段三、四：正式效用验证与规模投入分析；论文初稿撰写</w:t>
            </w:r>
          </w:p>
        </w:tc>
        <w:tc>
          <w:tcPr>
            <w:tcW w:w="1846" w:type="dxa"/>
            <w:gridSpan w:val="4"/>
            <w:tcBorders>
              <w:top w:val="single" w:color="auto" w:sz="4" w:space="0"/>
              <w:left w:val="single" w:color="auto" w:sz="4" w:space="0"/>
              <w:right w:val="single" w:color="auto" w:sz="4" w:space="0"/>
            </w:tcBorders>
          </w:tcPr>
          <w:p w14:paraId="7704CFC8">
            <w:pPr>
              <w:rPr>
                <w:rFonts w:ascii="宋体" w:hAnsi="宋体" w:cs="宋体"/>
                <w:color w:val="000000"/>
                <w:szCs w:val="21"/>
              </w:rPr>
            </w:pPr>
            <w:r>
              <w:rPr>
                <w:rFonts w:hint="eastAsia" w:ascii="宋体" w:hAnsi="宋体" w:cs="宋体"/>
                <w:color w:val="000000"/>
                <w:szCs w:val="21"/>
              </w:rPr>
              <w:t>2027年3月</w:t>
            </w:r>
          </w:p>
        </w:tc>
        <w:tc>
          <w:tcPr>
            <w:tcW w:w="1846" w:type="dxa"/>
            <w:tcBorders>
              <w:top w:val="single" w:color="auto" w:sz="4" w:space="0"/>
              <w:left w:val="single" w:color="auto" w:sz="4" w:space="0"/>
              <w:right w:val="single" w:color="auto" w:sz="4" w:space="0"/>
            </w:tcBorders>
          </w:tcPr>
          <w:p w14:paraId="35779871">
            <w:pPr>
              <w:rPr>
                <w:rFonts w:ascii="宋体" w:hAnsi="宋体" w:cs="宋体"/>
                <w:color w:val="000000"/>
                <w:szCs w:val="21"/>
              </w:rPr>
            </w:pPr>
            <w:r>
              <w:rPr>
                <w:rFonts w:hint="eastAsia" w:ascii="宋体" w:hAnsi="宋体" w:cs="宋体"/>
                <w:color w:val="000000"/>
                <w:szCs w:val="21"/>
              </w:rPr>
              <w:t>形成核心效用结果与Pareto流程选型矩阵；完成论文初稿</w:t>
            </w:r>
          </w:p>
        </w:tc>
      </w:tr>
      <w:tr w14:paraId="4B1833F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38" w:hRule="atLeast"/>
          <w:jc w:val="center"/>
        </w:trPr>
        <w:tc>
          <w:tcPr>
            <w:tcW w:w="897" w:type="dxa"/>
            <w:vMerge w:val="continue"/>
            <w:tcBorders>
              <w:left w:val="single" w:color="auto" w:sz="4" w:space="0"/>
              <w:right w:val="single" w:color="auto" w:sz="4" w:space="0"/>
            </w:tcBorders>
          </w:tcPr>
          <w:p w14:paraId="4228B3D4">
            <w:pPr>
              <w:rPr>
                <w:rFonts w:ascii="宋体" w:hAnsi="宋体" w:cs="宋体"/>
                <w:color w:val="000000"/>
                <w:szCs w:val="21"/>
              </w:rPr>
            </w:pPr>
          </w:p>
        </w:tc>
        <w:tc>
          <w:tcPr>
            <w:tcW w:w="1845" w:type="dxa"/>
            <w:gridSpan w:val="3"/>
            <w:tcBorders>
              <w:top w:val="single" w:color="auto" w:sz="4" w:space="0"/>
              <w:left w:val="single" w:color="auto" w:sz="4" w:space="0"/>
              <w:right w:val="single" w:color="auto" w:sz="4" w:space="0"/>
            </w:tcBorders>
          </w:tcPr>
          <w:p w14:paraId="1C2D3FA3">
            <w:pPr>
              <w:rPr>
                <w:rFonts w:ascii="宋体" w:hAnsi="宋体" w:cs="宋体"/>
                <w:color w:val="000000"/>
                <w:szCs w:val="21"/>
              </w:rPr>
            </w:pPr>
            <w:r>
              <w:rPr>
                <w:rFonts w:hint="eastAsia" w:ascii="宋体" w:hAnsi="宋体" w:cs="宋体"/>
                <w:color w:val="000000"/>
                <w:szCs w:val="21"/>
              </w:rPr>
              <w:t>5</w:t>
            </w:r>
          </w:p>
        </w:tc>
        <w:tc>
          <w:tcPr>
            <w:tcW w:w="1846" w:type="dxa"/>
            <w:tcBorders>
              <w:top w:val="single" w:color="auto" w:sz="4" w:space="0"/>
              <w:left w:val="single" w:color="auto" w:sz="4" w:space="0"/>
              <w:right w:val="single" w:color="auto" w:sz="4" w:space="0"/>
            </w:tcBorders>
          </w:tcPr>
          <w:p w14:paraId="410DDEA1">
            <w:pPr>
              <w:rPr>
                <w:rFonts w:ascii="宋体" w:hAnsi="宋体" w:cs="宋体"/>
                <w:color w:val="000000"/>
                <w:szCs w:val="21"/>
              </w:rPr>
            </w:pPr>
            <w:r>
              <w:rPr>
                <w:rFonts w:hint="eastAsia" w:ascii="宋体" w:hAnsi="宋体" w:cs="宋体"/>
                <w:color w:val="000000"/>
                <w:szCs w:val="21"/>
              </w:rPr>
              <w:t>阶段五：论文修改、定稿与答辩准备</w:t>
            </w:r>
          </w:p>
        </w:tc>
        <w:tc>
          <w:tcPr>
            <w:tcW w:w="1846" w:type="dxa"/>
            <w:gridSpan w:val="4"/>
            <w:tcBorders>
              <w:top w:val="single" w:color="auto" w:sz="4" w:space="0"/>
              <w:left w:val="single" w:color="auto" w:sz="4" w:space="0"/>
              <w:right w:val="single" w:color="auto" w:sz="4" w:space="0"/>
            </w:tcBorders>
          </w:tcPr>
          <w:p w14:paraId="754E73F6">
            <w:pPr>
              <w:rPr>
                <w:rFonts w:ascii="宋体" w:hAnsi="宋体" w:cs="宋体"/>
                <w:color w:val="000000"/>
                <w:szCs w:val="21"/>
              </w:rPr>
            </w:pPr>
            <w:r>
              <w:rPr>
                <w:rFonts w:hint="eastAsia" w:ascii="宋体" w:hAnsi="宋体" w:cs="宋体"/>
                <w:color w:val="000000"/>
                <w:szCs w:val="21"/>
              </w:rPr>
              <w:t>2027年4月</w:t>
            </w:r>
          </w:p>
        </w:tc>
        <w:tc>
          <w:tcPr>
            <w:tcW w:w="1846" w:type="dxa"/>
            <w:tcBorders>
              <w:top w:val="single" w:color="auto" w:sz="4" w:space="0"/>
              <w:left w:val="single" w:color="auto" w:sz="4" w:space="0"/>
              <w:right w:val="single" w:color="auto" w:sz="4" w:space="0"/>
            </w:tcBorders>
          </w:tcPr>
          <w:p w14:paraId="5A352731">
            <w:pPr>
              <w:rPr>
                <w:rFonts w:ascii="宋体" w:hAnsi="宋体" w:cs="宋体"/>
                <w:color w:val="000000"/>
                <w:szCs w:val="21"/>
              </w:rPr>
            </w:pPr>
            <w:r>
              <w:rPr>
                <w:rFonts w:hint="eastAsia" w:ascii="宋体" w:hAnsi="宋体" w:cs="宋体"/>
                <w:color w:val="000000"/>
                <w:szCs w:val="21"/>
              </w:rPr>
              <w:t>完善论文；准备论文预答辩</w:t>
            </w:r>
          </w:p>
        </w:tc>
      </w:tr>
      <w:tr w14:paraId="4D40EDF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600" w:hRule="atLeast"/>
          <w:jc w:val="center"/>
        </w:trPr>
        <w:tc>
          <w:tcPr>
            <w:tcW w:w="897" w:type="dxa"/>
            <w:tcBorders>
              <w:top w:val="single" w:color="auto" w:sz="4" w:space="0"/>
              <w:left w:val="single" w:color="auto" w:sz="4" w:space="0"/>
              <w:right w:val="single" w:color="auto" w:sz="4" w:space="0"/>
            </w:tcBorders>
          </w:tcPr>
          <w:p w14:paraId="46A35D49">
            <w:pPr>
              <w:jc w:val="center"/>
              <w:rPr>
                <w:rFonts w:ascii="宋体" w:hAnsi="宋体" w:cs="宋体"/>
                <w:color w:val="000000"/>
                <w:szCs w:val="21"/>
              </w:rPr>
            </w:pPr>
            <w:r>
              <w:rPr>
                <w:rFonts w:hint="eastAsia" w:ascii="宋体" w:hAnsi="宋体" w:cs="宋体"/>
                <w:color w:val="000000"/>
                <w:szCs w:val="21"/>
              </w:rPr>
              <w:t>六、</w:t>
            </w:r>
          </w:p>
          <w:p w14:paraId="2D33804D">
            <w:pPr>
              <w:jc w:val="center"/>
              <w:rPr>
                <w:rFonts w:ascii="宋体" w:hAnsi="宋体" w:cs="宋体"/>
                <w:color w:val="000000"/>
                <w:szCs w:val="21"/>
              </w:rPr>
            </w:pPr>
          </w:p>
          <w:p w14:paraId="41371655">
            <w:pPr>
              <w:jc w:val="center"/>
              <w:rPr>
                <w:rFonts w:ascii="宋体" w:hAnsi="宋体" w:cs="宋体"/>
                <w:color w:val="000000"/>
                <w:szCs w:val="21"/>
              </w:rPr>
            </w:pPr>
            <w:r>
              <w:rPr>
                <w:rFonts w:hint="eastAsia" w:ascii="宋体" w:hAnsi="宋体" w:cs="宋体"/>
                <w:color w:val="000000"/>
                <w:szCs w:val="21"/>
              </w:rPr>
              <w:t>主</w:t>
            </w:r>
          </w:p>
          <w:p w14:paraId="75C19242">
            <w:pPr>
              <w:jc w:val="center"/>
              <w:rPr>
                <w:rFonts w:ascii="宋体" w:hAnsi="宋体" w:cs="宋体"/>
                <w:color w:val="000000"/>
                <w:szCs w:val="21"/>
              </w:rPr>
            </w:pPr>
            <w:r>
              <w:rPr>
                <w:rFonts w:hint="eastAsia" w:ascii="宋体" w:hAnsi="宋体" w:cs="宋体"/>
                <w:color w:val="000000"/>
                <w:szCs w:val="21"/>
              </w:rPr>
              <w:t>要</w:t>
            </w:r>
          </w:p>
          <w:p w14:paraId="74861B46">
            <w:pPr>
              <w:jc w:val="center"/>
              <w:rPr>
                <w:rFonts w:ascii="宋体" w:hAnsi="宋体" w:cs="宋体"/>
                <w:color w:val="000000"/>
                <w:szCs w:val="21"/>
              </w:rPr>
            </w:pPr>
            <w:r>
              <w:rPr>
                <w:rFonts w:hint="eastAsia" w:ascii="宋体" w:hAnsi="宋体" w:cs="宋体"/>
                <w:color w:val="000000"/>
                <w:szCs w:val="21"/>
              </w:rPr>
              <w:t>参</w:t>
            </w:r>
          </w:p>
          <w:p w14:paraId="630075FE">
            <w:pPr>
              <w:jc w:val="center"/>
              <w:rPr>
                <w:rFonts w:ascii="宋体" w:hAnsi="宋体" w:cs="宋体"/>
                <w:color w:val="000000"/>
                <w:szCs w:val="21"/>
              </w:rPr>
            </w:pPr>
            <w:r>
              <w:rPr>
                <w:rFonts w:hint="eastAsia" w:ascii="宋体" w:hAnsi="宋体" w:cs="宋体"/>
                <w:color w:val="000000"/>
                <w:szCs w:val="21"/>
              </w:rPr>
              <w:t>考</w:t>
            </w:r>
          </w:p>
          <w:p w14:paraId="721A54EB">
            <w:pPr>
              <w:jc w:val="center"/>
              <w:rPr>
                <w:rFonts w:ascii="宋体" w:hAnsi="宋体" w:cs="宋体"/>
                <w:color w:val="000000"/>
                <w:szCs w:val="21"/>
              </w:rPr>
            </w:pPr>
            <w:r>
              <w:rPr>
                <w:rFonts w:hint="eastAsia" w:ascii="宋体" w:hAnsi="宋体" w:cs="宋体"/>
                <w:color w:val="000000"/>
                <w:szCs w:val="21"/>
              </w:rPr>
              <w:t>文</w:t>
            </w:r>
          </w:p>
          <w:p w14:paraId="06F2DCE6">
            <w:pPr>
              <w:spacing w:line="240" w:lineRule="exact"/>
              <w:jc w:val="center"/>
              <w:rPr>
                <w:rFonts w:ascii="宋体" w:hAnsi="宋体" w:cs="宋体"/>
                <w:color w:val="000000"/>
                <w:szCs w:val="21"/>
              </w:rPr>
            </w:pPr>
            <w:r>
              <w:rPr>
                <w:rFonts w:hint="eastAsia" w:ascii="宋体" w:hAnsi="宋体" w:cs="宋体"/>
                <w:color w:val="000000"/>
                <w:szCs w:val="21"/>
              </w:rPr>
              <w:t>献</w:t>
            </w:r>
          </w:p>
        </w:tc>
        <w:tc>
          <w:tcPr>
            <w:tcW w:w="7383" w:type="dxa"/>
            <w:gridSpan w:val="9"/>
            <w:tcBorders>
              <w:top w:val="single" w:color="auto" w:sz="4" w:space="0"/>
              <w:left w:val="single" w:color="auto" w:sz="4" w:space="0"/>
              <w:bottom w:val="single" w:color="auto" w:sz="4" w:space="0"/>
              <w:right w:val="single" w:color="auto" w:sz="4" w:space="0"/>
            </w:tcBorders>
          </w:tcPr>
          <w:p w14:paraId="793C58BA">
            <w:pPr>
              <w:ind w:firstLine="210" w:firstLineChars="100"/>
              <w:rPr>
                <w:szCs w:val="21"/>
              </w:rPr>
            </w:pPr>
            <w:r>
              <w:rPr>
                <w:rFonts w:hint="eastAsia"/>
                <w:szCs w:val="21"/>
              </w:rPr>
              <w:t>所阅文献的查阅范围及手段，附参考文献（不少于20篇，其中近3年英文文献不少于10篇，全部按照学校要求的标准格式列出，并在文中顺序标注）</w:t>
            </w:r>
          </w:p>
          <w:p w14:paraId="793C58BA">
            <w:pPr>
              <w:ind w:firstLine="210" w:firstLineChars="100"/>
              <w:rPr>
                <w:szCs w:val="21"/>
              </w:rPr>
            </w:pPr>
            <w:r>
              <w:rPr>
                <w:rFonts w:hint="eastAsia"/>
                <w:szCs w:val="21"/>
              </w:rPr>
              <w:t>[1] 邓力, 周进, 刘全义. 基于改进YOLOv8的火焰与烟雾检测算法[J]. 清华大学学报(自然科学版), 2025, 65(4): 681-689. DOI:10.16511/j.cnki.qhdxxb.2024.27.036.</w:t>
            </w:r>
          </w:p>
          <w:p w14:paraId="793C58BA">
            <w:pPr>
              <w:ind w:firstLine="210" w:firstLineChars="100"/>
              <w:rPr>
                <w:szCs w:val="21"/>
              </w:rPr>
            </w:pPr>
            <w:r>
              <w:rPr>
                <w:rFonts w:hint="eastAsia"/>
                <w:szCs w:val="21"/>
              </w:rPr>
              <w:t>[2] 郭震, 张宁伟, 闫秋艳, 高扬. 基于改进YOLOv8的火灾早期烟雾检测算法[J]. 湖南大学学报(自然科学版), 2026, 53(6): 36-49. DOI:10.16339/j.cnki.hdxbzkb.2026270.</w:t>
            </w:r>
          </w:p>
          <w:p w14:paraId="793C58BA">
            <w:pPr>
              <w:ind w:firstLine="210" w:firstLineChars="100"/>
              <w:rPr>
                <w:szCs w:val="21"/>
              </w:rPr>
            </w:pPr>
            <w:r>
              <w:rPr>
                <w:rFonts w:hint="eastAsia"/>
                <w:szCs w:val="21"/>
              </w:rPr>
              <w:t>[3] 丁燕, 王磊, 袁英. 基于改进YOLOv8n模型的小目标火焰检测[J]. 安全与环境工程, 2026, 33(1): 169-180. DOI:10.13578/j.cnki.issn.1671-1556.20250088.</w:t>
            </w:r>
          </w:p>
          <w:p w14:paraId="793C58BA">
            <w:pPr>
              <w:ind w:firstLine="210" w:firstLineChars="100"/>
              <w:rPr>
                <w:szCs w:val="21"/>
              </w:rPr>
            </w:pPr>
            <w:r>
              <w:rPr>
                <w:rFonts w:hint="eastAsia"/>
                <w:szCs w:val="21"/>
              </w:rPr>
              <w:t>[4] Liu S, Zeng Z, Ren T, et al. Grounding DINO: Marrying DINO with Grounded Pre-Training for Open-Set Object Detection[C]//European Conference on Computer Vision. Springer, 2024: 38-55. DOI:10.1007/978-3-031-72970-6_3.</w:t>
            </w:r>
          </w:p>
          <w:p w14:paraId="793C58BA">
            <w:pPr>
              <w:ind w:firstLine="210" w:firstLineChars="100"/>
              <w:rPr>
                <w:szCs w:val="21"/>
              </w:rPr>
            </w:pPr>
            <w:r>
              <w:rPr>
                <w:rFonts w:hint="eastAsia"/>
                <w:szCs w:val="21"/>
              </w:rPr>
              <w:t>[5] Kirillov A, Mintun E, Ravi N, et al. Segment Anything[C]//Proceedings of the IEEE/CVF International Conference on Computer Vision. 2023: 4015-4026. DOI:10.1109/ICCV51070.2023.00371.</w:t>
            </w:r>
          </w:p>
          <w:p w14:paraId="793C58BA">
            <w:pPr>
              <w:ind w:firstLine="210" w:firstLineChars="100"/>
              <w:rPr>
                <w:szCs w:val="21"/>
              </w:rPr>
            </w:pPr>
            <w:r>
              <w:rPr>
                <w:rFonts w:hint="eastAsia"/>
                <w:szCs w:val="21"/>
              </w:rPr>
              <w:t>[6] Ravi N, Gabeur V, Hu Y T, et al. SAM 2: Segment Anything in Images and Videos[C]//International Conference on Learning Representations. 2025.</w:t>
            </w:r>
          </w:p>
          <w:p w14:paraId="793C58BA">
            <w:pPr>
              <w:ind w:firstLine="210" w:firstLineChars="100"/>
              <w:rPr>
                <w:szCs w:val="21"/>
              </w:rPr>
            </w:pPr>
            <w:r>
              <w:rPr>
                <w:rFonts w:hint="eastAsia"/>
                <w:szCs w:val="21"/>
              </w:rPr>
              <w:t>[7] Carion N, Gustafson L, Hu Y T, et al. SAM 3: Segment Anything with Concepts[C]//International Conference on Learning Representations. 2026.</w:t>
            </w:r>
          </w:p>
          <w:p w14:paraId="793C58BA">
            <w:pPr>
              <w:ind w:firstLine="210" w:firstLineChars="100"/>
              <w:rPr>
                <w:szCs w:val="21"/>
              </w:rPr>
            </w:pPr>
            <w:r>
              <w:rPr>
                <w:rFonts w:hint="eastAsia"/>
                <w:szCs w:val="21"/>
              </w:rPr>
              <w:t>[8] Frénay B, Verleysen M. Classification in the Presence of Label Noise: A Survey[J]. IEEE Transactions on Neural Networks and Learning Systems, 2014, 25(5): 845-869. DOI:10.1109/TNNLS.2013.2292894.</w:t>
            </w:r>
          </w:p>
          <w:p w14:paraId="793C58BA">
            <w:pPr>
              <w:ind w:firstLine="210" w:firstLineChars="100"/>
              <w:rPr>
                <w:szCs w:val="21"/>
              </w:rPr>
            </w:pPr>
            <w:r>
              <w:rPr>
                <w:rFonts w:hint="eastAsia"/>
                <w:szCs w:val="21"/>
              </w:rPr>
              <w:t>[9] Northcutt C G, Athalye A, Mueller J. Pervasive Label Errors in Test Sets Destabilize Machine Learning Benchmarks[C]//Proceedings of the Neural Information Processing Systems Track on Datasets and Benchmarks. 2021, 1.</w:t>
            </w:r>
          </w:p>
          <w:p w14:paraId="793C58BA">
            <w:pPr>
              <w:ind w:firstLine="210" w:firstLineChars="100"/>
              <w:rPr>
                <w:szCs w:val="21"/>
              </w:rPr>
            </w:pPr>
            <w:r>
              <w:rPr>
                <w:rFonts w:hint="eastAsia"/>
                <w:szCs w:val="21"/>
              </w:rPr>
              <w:t>[10] Song H, Kim M, Park D, Shin Y, Lee J G. Learning From Noisy Labels With Deep Neural Networks: A Survey[J]. IEEE Transactions on Neural Networks and Learning Systems, 2023, 34(11): 8135-8153. DOI:10.1109/TNNLS.2022.3152527.</w:t>
            </w:r>
          </w:p>
          <w:p w14:paraId="793C58BA">
            <w:pPr>
              <w:ind w:firstLine="210" w:firstLineChars="100"/>
              <w:rPr>
                <w:szCs w:val="21"/>
              </w:rPr>
            </w:pPr>
            <w:r>
              <w:rPr>
                <w:rFonts w:hint="eastAsia"/>
                <w:szCs w:val="21"/>
              </w:rPr>
              <w:t>[11] Cooper R G. Stage-Gate Systems: A New Tool for Managing New Products[J]. Business Horizons, 1990, 33(3): 44-54. DOI:10.1016/0007-6813(90)90040-I.</w:t>
            </w:r>
          </w:p>
          <w:p w14:paraId="793C58BA">
            <w:pPr>
              <w:ind w:firstLine="210" w:firstLineChars="100"/>
              <w:rPr>
                <w:szCs w:val="21"/>
              </w:rPr>
            </w:pPr>
            <w:r>
              <w:rPr>
                <w:rFonts w:hint="eastAsia"/>
                <w:szCs w:val="21"/>
              </w:rPr>
              <w:t>[12] Miettinen K. Nonlinear Multiobjective Optimization[M]. Boston: Kluwer Academic Publishers, 1999.</w:t>
            </w:r>
          </w:p>
          <w:p w14:paraId="793C58BA">
            <w:pPr>
              <w:ind w:firstLine="210" w:firstLineChars="100"/>
              <w:rPr>
                <w:szCs w:val="21"/>
              </w:rPr>
            </w:pPr>
            <w:r>
              <w:rPr>
                <w:rFonts w:hint="eastAsia"/>
                <w:szCs w:val="21"/>
              </w:rPr>
              <w:t>[13] Gebru T, Morgenstern J, Vecchione B, et al. Datasheets for Datasets[J]. Communications of the ACM, 2021, 64(12): 86-92. DOI:10.1145/3458723.</w:t>
            </w:r>
          </w:p>
          <w:p w14:paraId="793C58BA">
            <w:pPr>
              <w:ind w:firstLine="210" w:firstLineChars="100"/>
              <w:rPr>
                <w:szCs w:val="21"/>
              </w:rPr>
            </w:pPr>
            <w:r>
              <w:rPr>
                <w:rFonts w:hint="eastAsia"/>
                <w:szCs w:val="21"/>
              </w:rPr>
              <w:t>[14] Mitchell M, Wu S, Zaldivar A, et al. Model Cards for Model Reporting[C]//Proceedings of the Conference on Fairness, Accountability, and Transparency. 2019: 220-229. DOI:10.1145/3287560.3287596.</w:t>
            </w:r>
          </w:p>
          <w:p w14:paraId="793C58BA">
            <w:pPr>
              <w:ind w:firstLine="210" w:firstLineChars="100"/>
              <w:rPr>
                <w:szCs w:val="21"/>
              </w:rPr>
            </w:pPr>
            <w:r>
              <w:rPr>
                <w:rFonts w:hint="eastAsia"/>
                <w:szCs w:val="21"/>
              </w:rPr>
              <w:t>[15] Sculley D, Holt G, Golovin D, et al. Hidden Technical Debt in Machine Learning Systems[C]//Advances in Neural Information Processing Systems. 2015, 28: 2503-2511.</w:t>
            </w:r>
          </w:p>
          <w:p w14:paraId="793C58BA">
            <w:pPr>
              <w:ind w:firstLine="210" w:firstLineChars="100"/>
              <w:rPr>
                <w:szCs w:val="21"/>
              </w:rPr>
            </w:pPr>
            <w:r>
              <w:rPr>
                <w:rFonts w:hint="eastAsia"/>
                <w:szCs w:val="21"/>
              </w:rPr>
              <w:t>[16] Huseljic D, Herde M, Hahn P, et al. Systematic Evaluation of Uncertainty Calibration in Pretrained Object Detectors[J]. International Journal of Computer Vision, 2025, 133: 1033-1047. DOI:10.1007/s11263-024-02219-z.</w:t>
            </w:r>
          </w:p>
          <w:p w14:paraId="793C58BA">
            <w:pPr>
              <w:ind w:firstLine="210" w:firstLineChars="100"/>
              <w:rPr>
                <w:szCs w:val="21"/>
              </w:rPr>
            </w:pPr>
            <w:r>
              <w:rPr>
                <w:rFonts w:hint="eastAsia"/>
                <w:szCs w:val="21"/>
              </w:rPr>
              <w:t>[17] Joshi K, Li X, Windisch T, König M. From Detection to Segmentation: Combining Foundation Model with Bounding Boxes for Efficient Fire Detection[J]. Neurocomputing, 2025, 647: 130513. DOI:10.1016/j.neucom.2025.130513.</w:t>
            </w:r>
          </w:p>
          <w:p w14:paraId="793C58BA">
            <w:pPr>
              <w:ind w:firstLine="210" w:firstLineChars="100"/>
              <w:rPr>
                <w:szCs w:val="21"/>
              </w:rPr>
            </w:pPr>
            <w:r>
              <w:rPr>
                <w:rFonts w:hint="eastAsia"/>
                <w:szCs w:val="21"/>
              </w:rPr>
              <w:t>[18] Cao Y, Yang F, Li X, et al. Refining the Granularity of Smoke Representation: SAM-Powered Density-Aware Progressive Smoke Segmentation Framework[J]. Pattern Recognition, 2026, 172: 112517. DOI:10.1016/j.patcog.2025.112517.</w:t>
            </w:r>
          </w:p>
          <w:p w14:paraId="793C58BA">
            <w:pPr>
              <w:ind w:firstLine="210" w:firstLineChars="100"/>
              <w:rPr>
                <w:szCs w:val="21"/>
              </w:rPr>
            </w:pPr>
            <w:r>
              <w:rPr>
                <w:rFonts w:hint="eastAsia"/>
                <w:szCs w:val="21"/>
              </w:rPr>
              <w:t>[19] Lan L, Wang J, Wu X, et al. Continuous Review and Timely Correction: Enhancing the Resistance to Noisy Labels via Self-Not-True and Class-Wise Distillation[J]. IEEE Transactions on Pattern Analysis and Machine Intelligence, 2026, 48(5): 5165-5179. DOI:10.1109/TPAMI.2025.3649111.</w:t>
            </w:r>
          </w:p>
          <w:p w14:paraId="793C58BA">
            <w:pPr>
              <w:ind w:firstLine="210" w:firstLineChars="100"/>
              <w:rPr>
                <w:szCs w:val="21"/>
              </w:rPr>
            </w:pPr>
            <w:r>
              <w:rPr>
                <w:rFonts w:hint="eastAsia"/>
                <w:szCs w:val="21"/>
              </w:rPr>
              <w:t>[20] Sun H, Yang L, Chen R, et al. Noise-Robust Tiny Object Localization with Flows[J]. Pattern Recognition, 2026, 175: 113041. DOI:10.1016/j.patcog.2026.113041.</w:t>
            </w:r>
          </w:p>
          <w:p w14:paraId="793C58BA">
            <w:pPr>
              <w:ind w:firstLine="210" w:firstLineChars="100"/>
              <w:rPr>
                <w:szCs w:val="21"/>
              </w:rPr>
            </w:pPr>
            <w:r>
              <w:rPr>
                <w:rFonts w:hint="eastAsia"/>
                <w:szCs w:val="21"/>
              </w:rPr>
              <w:t>[21] Dinh T Q K, Thirion-Moreau N, Nguyen T P, Simon J J, Escoubas L. Multi-Scale Tiling for Pseudo-Labeling in Dense Scene Object Detection[J]. Pattern Recognition, 2026, 179: 113436. DOI:10.1016/j.patcog.2026.113436.</w:t>
            </w:r>
          </w:p>
          <w:p w14:paraId="793C58BA">
            <w:pPr>
              <w:ind w:firstLine="210" w:firstLineChars="100"/>
              <w:rPr>
                <w:szCs w:val="21"/>
              </w:rPr>
            </w:pPr>
            <w:r>
              <w:rPr>
                <w:rFonts w:hint="eastAsia"/>
                <w:szCs w:val="21"/>
              </w:rPr>
              <w:t>[22] Kim M J, Munsif M, Hussain A, Yar H, Baik S W. Pseudo-Labeling Driven Refinement of Benchmark Object Detection Datasets via Analysis of Learning Patterns[J]. Neurocomputing, 2026, 677: 133046. DOI:10.1016/j.neucom.2026.133046.</w:t>
            </w:r>
          </w:p>
          <w:p w14:paraId="793C58BA">
            <w:pPr>
              <w:ind w:firstLine="210" w:firstLineChars="100"/>
              <w:rPr>
                <w:szCs w:val="21"/>
              </w:rPr>
            </w:pPr>
            <w:r>
              <w:rPr>
                <w:rFonts w:hint="eastAsia"/>
                <w:szCs w:val="21"/>
              </w:rPr>
              <w:t>[23] Semmelrock H, Ross-Hellauer T, Kopeinik S, et al. Reproducibility in Machine-Learning-Based Research: Overview, Barriers, and Drivers[J]. AI Magazine, 2025, 46(2): e70002. DOI:10.1002/aaai.70002.</w:t>
            </w:r>
          </w:p>
          <w:p w14:paraId="793C58BA">
            <w:pPr>
              <w:ind w:firstLine="210" w:firstLineChars="100"/>
              <w:rPr>
                <w:szCs w:val="21"/>
              </w:rPr>
            </w:pPr>
            <w:r>
              <w:rPr>
                <w:rFonts w:hint="eastAsia"/>
                <w:szCs w:val="21"/>
              </w:rPr>
              <w:t>[24] Fu W, Li J, Gao B B, et al. PET-DINO: Unifying Visual Cues into Grounding DINO with Prompt-Enriched Training[C]//Proceedings of the IEEE/CVF Conference on Computer Vision and Pattern Recognition. 2026: 13039-13048.</w:t>
            </w:r>
          </w:p>
          <w:p w14:paraId="793C58BA">
            <w:pPr>
              <w:ind w:firstLine="210" w:firstLineChars="100"/>
              <w:rPr>
                <w:szCs w:val="21"/>
              </w:rPr>
            </w:pPr>
            <w:r>
              <w:rPr>
                <w:rFonts w:hint="eastAsia"/>
                <w:szCs w:val="21"/>
              </w:rPr>
              <w:t>[25] Burges M, Dias P A, Woody C, et al. Active Learning Meets Foundation Models: Fast Remote Sensing Data Annotation for Object Detection[C]//Proceedings of the IEEE/CVF International Conference on Computer Vision. 2025: 6058-6068.</w:t>
            </w:r>
          </w:p>
          <w:p w14:paraId="793C58BA">
            <w:pPr>
              <w:ind w:firstLine="210" w:firstLineChars="100"/>
              <w:rPr>
                <w:szCs w:val="21"/>
              </w:rPr>
            </w:pPr>
            <w:r>
              <w:rPr>
                <w:rFonts w:hint="eastAsia"/>
                <w:szCs w:val="21"/>
              </w:rPr>
              <w:t>[26] ISO/IEC 5259-4:2024. Artificial Intelligence—Data Quality for Analytics and Machine Learning (ML)—Part 4: Data Quality Process Framework[S]. Geneva: ISO, 2024.</w:t>
            </w:r>
          </w:p>
          <w:p w14:paraId="793C58BA">
            <w:pPr>
              <w:ind w:firstLine="210" w:firstLineChars="100"/>
              <w:rPr>
                <w:szCs w:val="21"/>
              </w:rPr>
            </w:pPr>
            <w:r>
              <w:rPr>
                <w:rFonts w:hint="eastAsia"/>
                <w:szCs w:val="21"/>
              </w:rPr>
              <w:t>[27] Tabassi E. Artificial Intelligence Risk Management Framework (AI RMF 1.0)[R]. NIST AI 100-1. Gaithersburg: NIST, 2023. DOI:10.6028/NIST.AI.100-1.</w:t>
            </w:r>
          </w:p>
          <w:p w14:paraId="793C58BA">
            <w:pPr>
              <w:ind w:firstLine="210" w:firstLineChars="100"/>
              <w:rPr>
                <w:szCs w:val="21"/>
              </w:rPr>
            </w:pPr>
            <w:r>
              <w:rPr>
                <w:rFonts w:hint="eastAsia"/>
                <w:szCs w:val="21"/>
              </w:rPr>
              <w:t>[28] Amershi S, Begel A, Bird C, et al. Software Engineering for Machine Learning: A Case Study[C]//2019 IEEE/ACM 41st International Conference on Software Engineering: Software Engineering in Practice (ICSE-SEIP). IEEE, 2019: 291-300. DOI:10.1109/ICSE-SEIP.2019.00042.</w:t>
            </w:r>
          </w:p>
          <w:p w14:paraId="793C58BA">
            <w:pPr>
              <w:ind w:firstLine="210" w:firstLineChars="100"/>
              <w:rPr>
                <w:szCs w:val="21"/>
              </w:rPr>
            </w:pPr>
            <w:r>
              <w:rPr>
                <w:rFonts w:hint="eastAsia"/>
                <w:szCs w:val="21"/>
              </w:rPr>
              <w:t>[29] Vial G, Cameron A F, Giannelia T, Jiang J. Managing Artificial Intelligence Projects: Key Insights from an AI Consulting Firm[J]. Information Systems Journal, 2023, 33(3): 669-691. DOI:10.1111/isj.12420.</w:t>
            </w:r>
          </w:p>
          <w:p w14:paraId="793C58BA">
            <w:pPr>
              <w:ind w:firstLine="210" w:firstLineChars="100"/>
              <w:rPr>
                <w:szCs w:val="21"/>
              </w:rPr>
            </w:pPr>
            <w:r>
              <w:rPr>
                <w:rFonts w:hint="eastAsia"/>
                <w:szCs w:val="21"/>
              </w:rPr>
              <w:t>[30] Cheng B, et al. Boundary IoU: Improving Object-Centric Image Segmentation Evaluation[C]//Proceedings of the IEEE/CVF Conference on Computer Vision and Pattern Recognition. 2021: 15334-15342.</w:t>
            </w:r>
          </w:p>
          <w:p w14:paraId="793C58BA">
            <w:pPr>
              <w:ind w:firstLine="210" w:firstLineChars="100"/>
              <w:rPr>
                <w:szCs w:val="21"/>
              </w:rPr>
            </w:pPr>
            <w:r>
              <w:rPr>
                <w:rFonts w:hint="eastAsia"/>
                <w:szCs w:val="21"/>
              </w:rPr>
              <w:t>[31] Zhang J, Li J, Lin X, et al. Toward Efficient Semi-Supervised Object Detection With Detection Transformer[J]. IEEE Transactions on Pattern Analysis and Machine Intelligence, 2026, 48(3): 3765-3782. DOI:10.1109/TPAMI.2025.3642123.</w:t>
            </w:r>
          </w:p>
          <w:p w14:paraId="793C58BA">
            <w:pPr>
              <w:ind w:firstLine="210" w:firstLineChars="100"/>
              <w:rPr>
                <w:szCs w:val="21"/>
              </w:rPr>
            </w:pPr>
            <w:r>
              <w:rPr>
                <w:rFonts w:hint="eastAsia"/>
                <w:szCs w:val="21"/>
              </w:rPr>
              <w:t>[32] Allabadi G, Lucic A, Wang Y X, Adve V. Learning to Detect Novel Species with SAM in the Wild[J]. International Journal of Computer Vision, 2025, 133: 2247-2258. DOI:10.1007/s11263-024-02234-0.</w:t>
            </w:r>
          </w:p>
          <w:p w14:paraId="793C58BA">
            <w:pPr>
              <w:ind w:firstLine="210" w:firstLineChars="100"/>
              <w:rPr>
                <w:szCs w:val="21"/>
              </w:rPr>
            </w:pPr>
            <w:r>
              <w:rPr>
                <w:rFonts w:hint="eastAsia"/>
                <w:szCs w:val="21"/>
              </w:rPr>
              <w:t>[33] Xin C, Hartel A, Kasneci E. DART: An Automated End-to-End Object Detection Pipeline with Data Diversification, Open-Vocabulary Bounding Box Annotation, Pseudo-Label Review, and Model Training[J]. Expert Systems with Applications, 2024, 258: 125124. DOI:10.1016/j.eswa.2024.125124.</w:t>
            </w:r>
          </w:p>
          <w:p w14:paraId="793C58BA">
            <w:pPr>
              <w:ind w:firstLine="210" w:firstLineChars="100"/>
              <w:rPr>
                <w:szCs w:val="21"/>
              </w:rPr>
            </w:pPr>
            <w:r>
              <w:rPr>
                <w:rFonts w:hint="eastAsia"/>
                <w:szCs w:val="21"/>
              </w:rPr>
              <w:t>[34] Shehzadi T, Hashmi K A, Sarode S, Stricker D, Afzal M Z. STEP-DETR: Advancing DETR-Based Semi-Supervised Object Detection with Super Teacher and Pseudo-Label Guided Text Queries[C]//Proceedings of the IEEE/CVF International Conference on Computer Vision. 2025: 3069-3079. DOI:10.1109/ICCV51701.2025.00294.</w:t>
            </w:r>
          </w:p>
          <w:p w14:paraId="793C58BA">
            <w:pPr>
              <w:ind w:firstLine="210" w:firstLineChars="100"/>
              <w:rPr>
                <w:szCs w:val="21"/>
              </w:rPr>
            </w:pPr>
            <w:r>
              <w:rPr>
                <w:rFonts w:hint="eastAsia"/>
                <w:szCs w:val="21"/>
              </w:rPr>
              <w:t>[35] HabileData. Data Annotation Cost: Pricing Models &amp; Rates (2026)[EB/OL]. https://www.habiledata.com/blog/data-annotation-cost/, 2026.</w:t>
            </w:r>
          </w:p>
          <w:p w14:paraId="793C58BA">
            <w:pPr>
              <w:ind w:firstLine="210" w:firstLineChars="100"/>
              <w:rPr>
                <w:szCs w:val="21"/>
              </w:rPr>
            </w:pPr>
            <w:r>
              <w:rPr>
                <w:rFonts w:hint="eastAsia"/>
                <w:szCs w:val="21"/>
              </w:rPr>
              <w:t>[36] Parikh D, Zitnick C L, Chen X. Extreme clicking for efficient object annotation[C]//Proceedings of the IEEE International Conference on Computer Vision. 2017: 3418-3426.</w:t>
            </w:r>
          </w:p>
          <w:p w14:paraId="793C58BA">
            <w:pPr>
              <w:ind w:firstLine="210" w:firstLineChars="100"/>
              <w:rPr>
                <w:szCs w:val="21"/>
              </w:rPr>
            </w:pPr>
            <w:r>
              <w:rPr>
                <w:rFonts w:hint="eastAsia"/>
                <w:szCs w:val="21"/>
              </w:rPr>
              <w:t>[37] Wang G, et al. A Multi-Faceted synthetic dataset for remote sensing forest fire and smoke detection[J]. ScienceDirect, 2024.</w:t>
            </w:r>
          </w:p>
        </w:tc>
      </w:tr>
      <w:tr w14:paraId="3B265E2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600" w:hRule="atLeast"/>
          <w:jc w:val="center"/>
        </w:trPr>
        <w:tc>
          <w:tcPr>
            <w:tcW w:w="897" w:type="dxa"/>
            <w:vMerge w:val="restart"/>
            <w:tcBorders>
              <w:top w:val="single" w:color="auto" w:sz="4" w:space="0"/>
              <w:left w:val="single" w:color="auto" w:sz="4" w:space="0"/>
              <w:right w:val="single" w:color="auto" w:sz="4" w:space="0"/>
            </w:tcBorders>
          </w:tcPr>
          <w:p w14:paraId="5DDBDCAD">
            <w:pPr>
              <w:spacing w:line="240" w:lineRule="exact"/>
              <w:jc w:val="center"/>
              <w:rPr>
                <w:rFonts w:ascii="宋体" w:hAnsi="宋体" w:cs="宋体"/>
                <w:color w:val="000000"/>
                <w:szCs w:val="21"/>
              </w:rPr>
            </w:pPr>
          </w:p>
          <w:p w14:paraId="55113A5F">
            <w:pPr>
              <w:spacing w:line="240" w:lineRule="exact"/>
              <w:jc w:val="center"/>
              <w:rPr>
                <w:rFonts w:ascii="宋体" w:hAnsi="宋体" w:cs="宋体"/>
                <w:color w:val="000000"/>
                <w:szCs w:val="21"/>
              </w:rPr>
            </w:pPr>
          </w:p>
          <w:p w14:paraId="345639C5">
            <w:pPr>
              <w:spacing w:line="240" w:lineRule="exact"/>
              <w:jc w:val="center"/>
              <w:rPr>
                <w:rFonts w:ascii="宋体" w:hAnsi="宋体" w:cs="宋体"/>
                <w:color w:val="000000"/>
                <w:szCs w:val="21"/>
              </w:rPr>
            </w:pPr>
          </w:p>
          <w:p w14:paraId="458B3B07">
            <w:pPr>
              <w:spacing w:line="240" w:lineRule="exact"/>
              <w:jc w:val="center"/>
              <w:rPr>
                <w:rFonts w:ascii="宋体" w:hAnsi="宋体" w:cs="宋体"/>
                <w:color w:val="000000"/>
                <w:szCs w:val="21"/>
              </w:rPr>
            </w:pPr>
            <w:r>
              <w:rPr>
                <w:rFonts w:hint="eastAsia" w:ascii="宋体" w:hAnsi="宋体" w:cs="宋体"/>
                <w:color w:val="000000"/>
                <w:szCs w:val="21"/>
              </w:rPr>
              <w:t>开</w:t>
            </w:r>
          </w:p>
          <w:p w14:paraId="658343B9">
            <w:pPr>
              <w:spacing w:line="240" w:lineRule="exact"/>
              <w:jc w:val="center"/>
              <w:rPr>
                <w:rFonts w:ascii="宋体" w:hAnsi="宋体" w:cs="宋体"/>
                <w:color w:val="000000"/>
                <w:szCs w:val="21"/>
              </w:rPr>
            </w:pPr>
            <w:r>
              <w:rPr>
                <w:rFonts w:hint="eastAsia" w:ascii="宋体" w:hAnsi="宋体" w:cs="宋体"/>
                <w:color w:val="000000"/>
                <w:szCs w:val="21"/>
              </w:rPr>
              <w:t>题</w:t>
            </w:r>
          </w:p>
          <w:p w14:paraId="31284A80">
            <w:pPr>
              <w:spacing w:line="240" w:lineRule="exact"/>
              <w:jc w:val="center"/>
              <w:rPr>
                <w:rFonts w:ascii="宋体" w:hAnsi="宋体" w:cs="宋体"/>
                <w:color w:val="000000"/>
                <w:szCs w:val="21"/>
              </w:rPr>
            </w:pPr>
            <w:r>
              <w:rPr>
                <w:rFonts w:hint="eastAsia" w:ascii="宋体" w:hAnsi="宋体" w:cs="宋体"/>
                <w:color w:val="000000"/>
                <w:szCs w:val="21"/>
              </w:rPr>
              <w:t>报</w:t>
            </w:r>
          </w:p>
          <w:p w14:paraId="33380ADA">
            <w:pPr>
              <w:spacing w:line="240" w:lineRule="exact"/>
              <w:jc w:val="center"/>
              <w:rPr>
                <w:rFonts w:ascii="宋体" w:hAnsi="宋体" w:cs="宋体"/>
                <w:color w:val="000000"/>
                <w:szCs w:val="21"/>
              </w:rPr>
            </w:pPr>
            <w:r>
              <w:rPr>
                <w:rFonts w:hint="eastAsia" w:ascii="宋体" w:hAnsi="宋体" w:cs="宋体"/>
                <w:color w:val="000000"/>
                <w:szCs w:val="21"/>
              </w:rPr>
              <w:t>告</w:t>
            </w:r>
          </w:p>
          <w:p w14:paraId="3844D9B8">
            <w:pPr>
              <w:spacing w:line="240" w:lineRule="exact"/>
              <w:jc w:val="center"/>
              <w:rPr>
                <w:rFonts w:ascii="宋体" w:hAnsi="宋体" w:cs="宋体"/>
                <w:color w:val="000000"/>
                <w:szCs w:val="21"/>
              </w:rPr>
            </w:pPr>
            <w:r>
              <w:rPr>
                <w:rFonts w:hint="eastAsia" w:ascii="宋体" w:hAnsi="宋体" w:cs="宋体"/>
                <w:color w:val="000000"/>
                <w:szCs w:val="21"/>
              </w:rPr>
              <w:t>审</w:t>
            </w:r>
          </w:p>
          <w:p w14:paraId="6B22B98E">
            <w:pPr>
              <w:spacing w:line="240" w:lineRule="exact"/>
              <w:jc w:val="center"/>
              <w:rPr>
                <w:rFonts w:ascii="宋体" w:hAnsi="宋体" w:cs="宋体"/>
                <w:color w:val="000000"/>
                <w:szCs w:val="21"/>
              </w:rPr>
            </w:pPr>
            <w:r>
              <w:rPr>
                <w:rFonts w:hint="eastAsia" w:ascii="宋体" w:hAnsi="宋体" w:cs="宋体"/>
                <w:color w:val="000000"/>
                <w:szCs w:val="21"/>
              </w:rPr>
              <w:t>核</w:t>
            </w:r>
          </w:p>
          <w:p w14:paraId="23532410">
            <w:pPr>
              <w:spacing w:line="240" w:lineRule="exact"/>
              <w:jc w:val="center"/>
              <w:rPr>
                <w:rFonts w:ascii="宋体" w:hAnsi="宋体" w:cs="宋体"/>
                <w:color w:val="000000"/>
                <w:szCs w:val="21"/>
              </w:rPr>
            </w:pPr>
            <w:r>
              <w:rPr>
                <w:rFonts w:hint="eastAsia" w:ascii="宋体" w:hAnsi="宋体" w:cs="宋体"/>
                <w:color w:val="000000"/>
                <w:szCs w:val="21"/>
              </w:rPr>
              <w:t>小</w:t>
            </w:r>
          </w:p>
          <w:p w14:paraId="5D4A3C15">
            <w:pPr>
              <w:spacing w:line="240" w:lineRule="exact"/>
              <w:jc w:val="center"/>
              <w:rPr>
                <w:rFonts w:ascii="宋体" w:hAnsi="宋体" w:cs="宋体"/>
                <w:color w:val="000000"/>
                <w:szCs w:val="21"/>
              </w:rPr>
            </w:pPr>
            <w:r>
              <w:rPr>
                <w:rFonts w:hint="eastAsia" w:ascii="宋体" w:hAnsi="宋体" w:cs="宋体"/>
                <w:color w:val="000000"/>
                <w:szCs w:val="21"/>
              </w:rPr>
              <w:t>组</w:t>
            </w:r>
          </w:p>
          <w:p w14:paraId="7D028852">
            <w:pPr>
              <w:spacing w:line="240" w:lineRule="exact"/>
              <w:jc w:val="center"/>
              <w:rPr>
                <w:rFonts w:ascii="宋体" w:hAnsi="宋体" w:cs="宋体"/>
                <w:color w:val="000000"/>
                <w:szCs w:val="21"/>
              </w:rPr>
            </w:pPr>
            <w:r>
              <w:rPr>
                <w:rFonts w:hint="eastAsia" w:ascii="宋体" w:hAnsi="宋体" w:cs="宋体"/>
                <w:color w:val="000000"/>
                <w:szCs w:val="21"/>
              </w:rPr>
              <w:t>成</w:t>
            </w:r>
          </w:p>
          <w:p w14:paraId="46456F97">
            <w:pPr>
              <w:spacing w:line="240" w:lineRule="exact"/>
              <w:jc w:val="center"/>
              <w:rPr>
                <w:rFonts w:ascii="宋体" w:hAnsi="宋体" w:cs="宋体"/>
                <w:color w:val="000000"/>
                <w:szCs w:val="21"/>
              </w:rPr>
            </w:pPr>
            <w:r>
              <w:rPr>
                <w:rFonts w:hint="eastAsia" w:ascii="宋体" w:hAnsi="宋体" w:cs="宋体"/>
                <w:color w:val="000000"/>
                <w:szCs w:val="21"/>
              </w:rPr>
              <w:t>员</w:t>
            </w:r>
          </w:p>
        </w:tc>
        <w:tc>
          <w:tcPr>
            <w:tcW w:w="1818" w:type="dxa"/>
            <w:gridSpan w:val="2"/>
            <w:tcBorders>
              <w:top w:val="single" w:color="auto" w:sz="4" w:space="0"/>
              <w:left w:val="single" w:color="auto" w:sz="4" w:space="0"/>
              <w:bottom w:val="single" w:color="auto" w:sz="4" w:space="0"/>
              <w:right w:val="single" w:color="auto" w:sz="4" w:space="0"/>
            </w:tcBorders>
            <w:vAlign w:val="center"/>
          </w:tcPr>
          <w:p w14:paraId="109D52CF">
            <w:pPr>
              <w:spacing w:line="280" w:lineRule="exact"/>
              <w:jc w:val="center"/>
              <w:rPr>
                <w:rFonts w:ascii="宋体" w:hAnsi="宋体" w:cs="宋体"/>
                <w:color w:val="000000"/>
                <w:szCs w:val="21"/>
              </w:rPr>
            </w:pPr>
            <w:r>
              <w:rPr>
                <w:rFonts w:hint="eastAsia" w:ascii="宋体" w:hAnsi="宋体" w:cs="宋体"/>
                <w:color w:val="000000"/>
                <w:szCs w:val="21"/>
              </w:rPr>
              <w:t>姓    名</w:t>
            </w:r>
          </w:p>
        </w:tc>
        <w:tc>
          <w:tcPr>
            <w:tcW w:w="2361" w:type="dxa"/>
            <w:gridSpan w:val="4"/>
            <w:tcBorders>
              <w:top w:val="single" w:color="auto" w:sz="4" w:space="0"/>
              <w:left w:val="single" w:color="auto" w:sz="4" w:space="0"/>
              <w:bottom w:val="single" w:color="auto" w:sz="4" w:space="0"/>
              <w:right w:val="single" w:color="auto" w:sz="4" w:space="0"/>
            </w:tcBorders>
            <w:vAlign w:val="center"/>
          </w:tcPr>
          <w:p w14:paraId="56CB3B05">
            <w:pPr>
              <w:spacing w:line="280" w:lineRule="exact"/>
              <w:jc w:val="center"/>
              <w:rPr>
                <w:rFonts w:ascii="宋体" w:hAnsi="宋体" w:cs="宋体"/>
                <w:color w:val="000000"/>
                <w:szCs w:val="21"/>
              </w:rPr>
            </w:pPr>
            <w:r>
              <w:rPr>
                <w:rFonts w:hint="eastAsia" w:ascii="宋体" w:hAnsi="宋体" w:cs="宋体"/>
                <w:color w:val="000000"/>
                <w:szCs w:val="21"/>
              </w:rPr>
              <w:t>职    称</w:t>
            </w:r>
          </w:p>
        </w:tc>
        <w:tc>
          <w:tcPr>
            <w:tcW w:w="3204" w:type="dxa"/>
            <w:gridSpan w:val="3"/>
            <w:tcBorders>
              <w:top w:val="single" w:color="auto" w:sz="4" w:space="0"/>
              <w:left w:val="single" w:color="auto" w:sz="4" w:space="0"/>
              <w:bottom w:val="single" w:color="auto" w:sz="4" w:space="0"/>
              <w:right w:val="single" w:color="auto" w:sz="4" w:space="0"/>
            </w:tcBorders>
            <w:vAlign w:val="center"/>
          </w:tcPr>
          <w:p w14:paraId="227E4F44">
            <w:pPr>
              <w:spacing w:line="280" w:lineRule="exact"/>
              <w:jc w:val="center"/>
              <w:rPr>
                <w:rFonts w:ascii="宋体" w:hAnsi="宋体" w:cs="宋体"/>
                <w:color w:val="000000"/>
                <w:szCs w:val="21"/>
              </w:rPr>
            </w:pPr>
            <w:r>
              <w:rPr>
                <w:rFonts w:hint="eastAsia" w:ascii="宋体" w:hAnsi="宋体" w:cs="宋体"/>
                <w:color w:val="000000"/>
                <w:szCs w:val="21"/>
              </w:rPr>
              <w:t>是否硕士生导师</w:t>
            </w:r>
          </w:p>
        </w:tc>
      </w:tr>
      <w:tr w14:paraId="6391E65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600" w:hRule="atLeast"/>
          <w:jc w:val="center"/>
        </w:trPr>
        <w:tc>
          <w:tcPr>
            <w:tcW w:w="897" w:type="dxa"/>
            <w:vMerge w:val="continue"/>
            <w:tcBorders>
              <w:left w:val="single" w:color="auto" w:sz="4" w:space="0"/>
              <w:right w:val="single" w:color="auto" w:sz="4" w:space="0"/>
            </w:tcBorders>
          </w:tcPr>
          <w:p w14:paraId="6214B933">
            <w:pPr>
              <w:jc w:val="center"/>
              <w:rPr>
                <w:rFonts w:ascii="宋体" w:hAnsi="宋体" w:cs="宋体"/>
                <w:color w:val="000000"/>
                <w:szCs w:val="21"/>
              </w:rPr>
            </w:pPr>
          </w:p>
        </w:tc>
        <w:tc>
          <w:tcPr>
            <w:tcW w:w="1818" w:type="dxa"/>
            <w:gridSpan w:val="2"/>
            <w:tcBorders>
              <w:top w:val="single" w:color="auto" w:sz="4" w:space="0"/>
              <w:left w:val="single" w:color="auto" w:sz="4" w:space="0"/>
              <w:bottom w:val="single" w:color="auto" w:sz="4" w:space="0"/>
              <w:right w:val="single" w:color="auto" w:sz="4" w:space="0"/>
            </w:tcBorders>
          </w:tcPr>
          <w:p w14:paraId="2448ACAD">
            <w:pPr>
              <w:rPr>
                <w:rFonts w:ascii="宋体" w:hAnsi="宋体" w:cs="宋体"/>
                <w:color w:val="000000"/>
                <w:szCs w:val="21"/>
              </w:rPr>
            </w:pPr>
            <w:r>
              <w:rPr>
                <w:rFonts w:hint="eastAsia" w:ascii="宋体" w:hAnsi="宋体" w:cs="宋体"/>
                <w:color w:val="000000"/>
                <w:szCs w:val="21"/>
              </w:rPr>
              <w:t/>
            </w:r>
          </w:p>
        </w:tc>
        <w:tc>
          <w:tcPr>
            <w:tcW w:w="2361" w:type="dxa"/>
            <w:gridSpan w:val="4"/>
            <w:tcBorders>
              <w:top w:val="single" w:color="auto" w:sz="4" w:space="0"/>
              <w:left w:val="single" w:color="auto" w:sz="4" w:space="0"/>
              <w:bottom w:val="single" w:color="auto" w:sz="4" w:space="0"/>
              <w:right w:val="single" w:color="auto" w:sz="4" w:space="0"/>
            </w:tcBorders>
          </w:tcPr>
          <w:p w14:paraId="2674308F">
            <w:pPr>
              <w:rPr>
                <w:rFonts w:ascii="宋体" w:hAnsi="宋体" w:cs="宋体"/>
                <w:color w:val="000000"/>
                <w:szCs w:val="21"/>
              </w:rPr>
            </w:pPr>
            <w:r>
              <w:rPr>
                <w:rFonts w:hint="eastAsia" w:ascii="宋体" w:hAnsi="宋体" w:cs="宋体"/>
                <w:color w:val="000000"/>
                <w:szCs w:val="21"/>
              </w:rPr>
              <w:t/>
            </w:r>
          </w:p>
        </w:tc>
        <w:tc>
          <w:tcPr>
            <w:tcW w:w="3204" w:type="dxa"/>
            <w:gridSpan w:val="3"/>
            <w:tcBorders>
              <w:top w:val="single" w:color="auto" w:sz="4" w:space="0"/>
              <w:left w:val="single" w:color="auto" w:sz="4" w:space="0"/>
              <w:bottom w:val="single" w:color="auto" w:sz="4" w:space="0"/>
              <w:right w:val="single" w:color="auto" w:sz="4" w:space="0"/>
            </w:tcBorders>
          </w:tcPr>
          <w:p w14:paraId="7ED92D02">
            <w:pPr>
              <w:rPr>
                <w:rFonts w:ascii="宋体" w:hAnsi="宋体" w:cs="宋体"/>
                <w:color w:val="000000"/>
                <w:szCs w:val="21"/>
              </w:rPr>
            </w:pPr>
            <w:r>
              <w:rPr>
                <w:rFonts w:hint="eastAsia" w:ascii="宋体" w:hAnsi="宋体" w:cs="宋体"/>
                <w:color w:val="000000"/>
                <w:szCs w:val="21"/>
              </w:rPr>
              <w:t/>
            </w:r>
          </w:p>
        </w:tc>
      </w:tr>
      <w:tr w14:paraId="6408D22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608" w:hRule="atLeast"/>
          <w:jc w:val="center"/>
        </w:trPr>
        <w:tc>
          <w:tcPr>
            <w:tcW w:w="897" w:type="dxa"/>
            <w:vMerge w:val="continue"/>
            <w:tcBorders>
              <w:left w:val="single" w:color="auto" w:sz="4" w:space="0"/>
              <w:right w:val="single" w:color="auto" w:sz="4" w:space="0"/>
            </w:tcBorders>
          </w:tcPr>
          <w:p w14:paraId="5670A8A6">
            <w:pPr>
              <w:jc w:val="center"/>
              <w:rPr>
                <w:rFonts w:ascii="宋体" w:hAnsi="宋体" w:cs="宋体"/>
                <w:color w:val="000000"/>
                <w:szCs w:val="21"/>
              </w:rPr>
            </w:pPr>
          </w:p>
        </w:tc>
        <w:tc>
          <w:tcPr>
            <w:tcW w:w="1818" w:type="dxa"/>
            <w:gridSpan w:val="2"/>
            <w:tcBorders>
              <w:top w:val="single" w:color="auto" w:sz="4" w:space="0"/>
              <w:left w:val="single" w:color="auto" w:sz="4" w:space="0"/>
              <w:bottom w:val="single" w:color="auto" w:sz="4" w:space="0"/>
              <w:right w:val="single" w:color="auto" w:sz="4" w:space="0"/>
            </w:tcBorders>
          </w:tcPr>
          <w:p w14:paraId="40C8EADC">
            <w:pPr>
              <w:rPr>
                <w:rFonts w:ascii="宋体" w:hAnsi="宋体" w:cs="宋体"/>
                <w:color w:val="000000"/>
                <w:szCs w:val="21"/>
              </w:rPr>
            </w:pPr>
            <w:r>
              <w:rPr>
                <w:rFonts w:hint="eastAsia" w:ascii="宋体" w:hAnsi="宋体" w:cs="宋体"/>
                <w:color w:val="000000"/>
                <w:szCs w:val="21"/>
              </w:rPr>
              <w:t/>
            </w:r>
          </w:p>
        </w:tc>
        <w:tc>
          <w:tcPr>
            <w:tcW w:w="2361" w:type="dxa"/>
            <w:gridSpan w:val="4"/>
            <w:tcBorders>
              <w:top w:val="single" w:color="auto" w:sz="4" w:space="0"/>
              <w:left w:val="single" w:color="auto" w:sz="4" w:space="0"/>
              <w:bottom w:val="single" w:color="auto" w:sz="4" w:space="0"/>
              <w:right w:val="single" w:color="auto" w:sz="4" w:space="0"/>
            </w:tcBorders>
          </w:tcPr>
          <w:p w14:paraId="3F9645F4">
            <w:pPr>
              <w:rPr>
                <w:rFonts w:ascii="宋体" w:hAnsi="宋体" w:cs="宋体"/>
                <w:color w:val="000000"/>
                <w:szCs w:val="21"/>
              </w:rPr>
            </w:pPr>
            <w:r>
              <w:rPr>
                <w:rFonts w:hint="eastAsia" w:ascii="宋体" w:hAnsi="宋体" w:cs="宋体"/>
                <w:color w:val="000000"/>
                <w:szCs w:val="21"/>
              </w:rPr>
              <w:t/>
            </w:r>
          </w:p>
        </w:tc>
        <w:tc>
          <w:tcPr>
            <w:tcW w:w="3204" w:type="dxa"/>
            <w:gridSpan w:val="3"/>
            <w:tcBorders>
              <w:top w:val="single" w:color="auto" w:sz="4" w:space="0"/>
              <w:left w:val="single" w:color="auto" w:sz="4" w:space="0"/>
              <w:bottom w:val="single" w:color="auto" w:sz="4" w:space="0"/>
              <w:right w:val="single" w:color="auto" w:sz="4" w:space="0"/>
            </w:tcBorders>
          </w:tcPr>
          <w:p w14:paraId="58D5F57D">
            <w:pPr>
              <w:rPr>
                <w:rFonts w:ascii="宋体" w:hAnsi="宋体" w:cs="宋体"/>
                <w:color w:val="000000"/>
                <w:szCs w:val="21"/>
              </w:rPr>
            </w:pPr>
            <w:r>
              <w:rPr>
                <w:rFonts w:hint="eastAsia" w:ascii="宋体" w:hAnsi="宋体" w:cs="宋体"/>
                <w:color w:val="000000"/>
                <w:szCs w:val="21"/>
              </w:rPr>
              <w:t/>
            </w:r>
          </w:p>
        </w:tc>
      </w:tr>
      <w:tr w14:paraId="112E87C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630" w:hRule="atLeast"/>
          <w:jc w:val="center"/>
        </w:trPr>
        <w:tc>
          <w:tcPr>
            <w:tcW w:w="897" w:type="dxa"/>
            <w:vMerge w:val="continue"/>
            <w:tcBorders>
              <w:left w:val="single" w:color="auto" w:sz="4" w:space="0"/>
              <w:right w:val="single" w:color="auto" w:sz="4" w:space="0"/>
            </w:tcBorders>
          </w:tcPr>
          <w:p w14:paraId="4BB1EBF8">
            <w:pPr>
              <w:jc w:val="center"/>
              <w:rPr>
                <w:rFonts w:ascii="宋体" w:hAnsi="宋体" w:cs="宋体"/>
                <w:color w:val="000000"/>
                <w:szCs w:val="21"/>
              </w:rPr>
            </w:pPr>
          </w:p>
        </w:tc>
        <w:tc>
          <w:tcPr>
            <w:tcW w:w="1818" w:type="dxa"/>
            <w:gridSpan w:val="2"/>
            <w:tcBorders>
              <w:top w:val="single" w:color="auto" w:sz="4" w:space="0"/>
              <w:left w:val="single" w:color="auto" w:sz="4" w:space="0"/>
              <w:bottom w:val="single" w:color="auto" w:sz="4" w:space="0"/>
              <w:right w:val="single" w:color="auto" w:sz="4" w:space="0"/>
            </w:tcBorders>
          </w:tcPr>
          <w:p w14:paraId="6B5B6756">
            <w:pPr>
              <w:rPr>
                <w:rFonts w:ascii="宋体" w:hAnsi="宋体" w:cs="宋体"/>
                <w:color w:val="000000"/>
                <w:szCs w:val="21"/>
              </w:rPr>
            </w:pPr>
            <w:r>
              <w:rPr>
                <w:rFonts w:hint="eastAsia" w:ascii="宋体" w:hAnsi="宋体" w:cs="宋体"/>
                <w:color w:val="000000"/>
                <w:szCs w:val="21"/>
              </w:rPr>
              <w:t/>
            </w:r>
          </w:p>
        </w:tc>
        <w:tc>
          <w:tcPr>
            <w:tcW w:w="2361" w:type="dxa"/>
            <w:gridSpan w:val="4"/>
            <w:tcBorders>
              <w:top w:val="single" w:color="auto" w:sz="4" w:space="0"/>
              <w:left w:val="single" w:color="auto" w:sz="4" w:space="0"/>
              <w:bottom w:val="single" w:color="auto" w:sz="4" w:space="0"/>
              <w:right w:val="single" w:color="auto" w:sz="4" w:space="0"/>
            </w:tcBorders>
          </w:tcPr>
          <w:p w14:paraId="7D158353">
            <w:pPr>
              <w:rPr>
                <w:rFonts w:ascii="宋体" w:hAnsi="宋体" w:cs="宋体"/>
                <w:color w:val="000000"/>
                <w:szCs w:val="21"/>
              </w:rPr>
            </w:pPr>
            <w:r>
              <w:rPr>
                <w:rFonts w:hint="eastAsia" w:ascii="宋体" w:hAnsi="宋体" w:cs="宋体"/>
                <w:color w:val="000000"/>
                <w:szCs w:val="21"/>
              </w:rPr>
              <w:t/>
            </w:r>
          </w:p>
        </w:tc>
        <w:tc>
          <w:tcPr>
            <w:tcW w:w="3204" w:type="dxa"/>
            <w:gridSpan w:val="3"/>
            <w:tcBorders>
              <w:top w:val="single" w:color="auto" w:sz="4" w:space="0"/>
              <w:left w:val="single" w:color="auto" w:sz="4" w:space="0"/>
              <w:bottom w:val="single" w:color="auto" w:sz="4" w:space="0"/>
              <w:right w:val="single" w:color="auto" w:sz="4" w:space="0"/>
            </w:tcBorders>
          </w:tcPr>
          <w:p w14:paraId="6D7A3160">
            <w:pPr>
              <w:rPr>
                <w:rFonts w:ascii="宋体" w:hAnsi="宋体" w:cs="宋体"/>
                <w:color w:val="000000"/>
                <w:szCs w:val="21"/>
              </w:rPr>
            </w:pPr>
            <w:r>
              <w:rPr>
                <w:rFonts w:hint="eastAsia" w:ascii="宋体" w:hAnsi="宋体" w:cs="宋体"/>
                <w:color w:val="000000"/>
                <w:szCs w:val="21"/>
              </w:rPr>
              <w:t/>
            </w:r>
          </w:p>
        </w:tc>
      </w:tr>
      <w:tr w14:paraId="6BCA4EB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645" w:hRule="atLeast"/>
          <w:jc w:val="center"/>
        </w:trPr>
        <w:tc>
          <w:tcPr>
            <w:tcW w:w="897" w:type="dxa"/>
            <w:vMerge w:val="continue"/>
            <w:tcBorders>
              <w:left w:val="single" w:color="auto" w:sz="4" w:space="0"/>
              <w:bottom w:val="single" w:color="auto" w:sz="4" w:space="0"/>
              <w:right w:val="single" w:color="auto" w:sz="4" w:space="0"/>
            </w:tcBorders>
          </w:tcPr>
          <w:p w14:paraId="42975B71">
            <w:pPr>
              <w:jc w:val="center"/>
              <w:rPr>
                <w:rFonts w:ascii="宋体" w:hAnsi="宋体" w:cs="宋体"/>
                <w:color w:val="000000"/>
                <w:szCs w:val="21"/>
              </w:rPr>
            </w:pPr>
          </w:p>
        </w:tc>
        <w:tc>
          <w:tcPr>
            <w:tcW w:w="1818" w:type="dxa"/>
            <w:gridSpan w:val="2"/>
            <w:tcBorders>
              <w:top w:val="single" w:color="auto" w:sz="4" w:space="0"/>
              <w:left w:val="single" w:color="auto" w:sz="4" w:space="0"/>
              <w:bottom w:val="single" w:color="auto" w:sz="4" w:space="0"/>
              <w:right w:val="single" w:color="auto" w:sz="4" w:space="0"/>
            </w:tcBorders>
          </w:tcPr>
          <w:p w14:paraId="11F3A5AA">
            <w:pPr>
              <w:rPr>
                <w:rFonts w:ascii="宋体" w:hAnsi="宋体" w:cs="宋体"/>
                <w:color w:val="000000"/>
                <w:szCs w:val="21"/>
              </w:rPr>
            </w:pPr>
            <w:r>
              <w:t/>
            </w:r>
          </w:p>
        </w:tc>
        <w:tc>
          <w:tcPr>
            <w:tcW w:w="2361" w:type="dxa"/>
            <w:gridSpan w:val="4"/>
            <w:tcBorders>
              <w:top w:val="single" w:color="auto" w:sz="4" w:space="0"/>
              <w:left w:val="single" w:color="auto" w:sz="4" w:space="0"/>
              <w:bottom w:val="single" w:color="auto" w:sz="4" w:space="0"/>
              <w:right w:val="single" w:color="auto" w:sz="4" w:space="0"/>
            </w:tcBorders>
          </w:tcPr>
          <w:p w14:paraId="74069110">
            <w:pPr>
              <w:rPr>
                <w:rFonts w:ascii="宋体" w:hAnsi="宋体" w:cs="宋体"/>
                <w:color w:val="000000"/>
                <w:szCs w:val="21"/>
              </w:rPr>
            </w:pPr>
            <w:r>
              <w:t/>
            </w:r>
          </w:p>
        </w:tc>
        <w:tc>
          <w:tcPr>
            <w:tcW w:w="3204" w:type="dxa"/>
            <w:gridSpan w:val="3"/>
            <w:tcBorders>
              <w:top w:val="single" w:color="auto" w:sz="4" w:space="0"/>
              <w:left w:val="single" w:color="auto" w:sz="4" w:space="0"/>
              <w:bottom w:val="single" w:color="auto" w:sz="4" w:space="0"/>
              <w:right w:val="single" w:color="auto" w:sz="4" w:space="0"/>
            </w:tcBorders>
          </w:tcPr>
          <w:p w14:paraId="75955CB9">
            <w:pPr>
              <w:rPr>
                <w:rFonts w:ascii="宋体" w:hAnsi="宋体" w:cs="宋体"/>
                <w:color w:val="000000"/>
                <w:szCs w:val="21"/>
              </w:rPr>
            </w:pPr>
            <w:r>
              <w:t/>
            </w:r>
          </w:p>
        </w:tc>
      </w:tr>
      <w:tr w14:paraId="7B3F324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27" w:hRule="atLeast"/>
          <w:jc w:val="center"/>
        </w:trPr>
        <w:tc>
          <w:tcPr>
            <w:tcW w:w="897" w:type="dxa"/>
            <w:vMerge w:val="continue"/>
            <w:tcBorders>
              <w:left w:val="single" w:color="auto" w:sz="4" w:space="0"/>
              <w:bottom w:val="single" w:color="auto" w:sz="4" w:space="0"/>
              <w:right w:val="single" w:color="auto" w:sz="4" w:space="0"/>
            </w:tcBorders>
          </w:tcPr>
          <w:p w14:paraId="1B2A1769">
            <w:pPr>
              <w:jc w:val="center"/>
              <w:rPr>
                <w:rFonts w:ascii="宋体" w:hAnsi="宋体" w:cs="宋体"/>
                <w:color w:val="000000"/>
                <w:szCs w:val="21"/>
              </w:rPr>
            </w:pPr>
          </w:p>
        </w:tc>
        <w:tc>
          <w:tcPr>
            <w:tcW w:w="1818" w:type="dxa"/>
            <w:gridSpan w:val="2"/>
            <w:tcBorders>
              <w:top w:val="single" w:color="auto" w:sz="4" w:space="0"/>
              <w:left w:val="single" w:color="auto" w:sz="4" w:space="0"/>
              <w:bottom w:val="single" w:color="auto" w:sz="4" w:space="0"/>
              <w:right w:val="single" w:color="auto" w:sz="4" w:space="0"/>
            </w:tcBorders>
          </w:tcPr>
          <w:p w14:paraId="7565B9F1">
            <w:pPr>
              <w:rPr>
                <w:rFonts w:ascii="宋体" w:hAnsi="宋体" w:cs="宋体"/>
                <w:color w:val="000000"/>
                <w:szCs w:val="21"/>
              </w:rPr>
            </w:pPr>
            <w:r>
              <w:t/>
            </w:r>
          </w:p>
        </w:tc>
        <w:tc>
          <w:tcPr>
            <w:tcW w:w="2361" w:type="dxa"/>
            <w:gridSpan w:val="4"/>
            <w:tcBorders>
              <w:top w:val="single" w:color="auto" w:sz="4" w:space="0"/>
              <w:left w:val="single" w:color="auto" w:sz="4" w:space="0"/>
              <w:bottom w:val="single" w:color="auto" w:sz="4" w:space="0"/>
              <w:right w:val="single" w:color="auto" w:sz="4" w:space="0"/>
            </w:tcBorders>
          </w:tcPr>
          <w:p w14:paraId="320F1ED0">
            <w:pPr>
              <w:rPr>
                <w:rFonts w:ascii="宋体" w:hAnsi="宋体" w:cs="宋体"/>
                <w:color w:val="000000"/>
                <w:szCs w:val="21"/>
              </w:rPr>
            </w:pPr>
            <w:r>
              <w:t/>
            </w:r>
          </w:p>
        </w:tc>
        <w:tc>
          <w:tcPr>
            <w:tcW w:w="3204" w:type="dxa"/>
            <w:gridSpan w:val="3"/>
            <w:tcBorders>
              <w:top w:val="single" w:color="auto" w:sz="4" w:space="0"/>
              <w:left w:val="single" w:color="auto" w:sz="4" w:space="0"/>
              <w:bottom w:val="single" w:color="auto" w:sz="4" w:space="0"/>
              <w:right w:val="single" w:color="auto" w:sz="4" w:space="0"/>
            </w:tcBorders>
          </w:tcPr>
          <w:p w14:paraId="7B332AFF">
            <w:pPr>
              <w:rPr>
                <w:rFonts w:ascii="宋体" w:hAnsi="宋体" w:cs="宋体"/>
                <w:color w:val="000000"/>
                <w:szCs w:val="21"/>
              </w:rPr>
            </w:pPr>
            <w:r>
              <w:t/>
            </w:r>
          </w:p>
        </w:tc>
      </w:tr>
      <w:tr w14:paraId="0458762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3988" w:hRule="atLeast"/>
          <w:jc w:val="center"/>
        </w:trPr>
        <w:tc>
          <w:tcPr>
            <w:tcW w:w="897" w:type="dxa"/>
            <w:vMerge w:val="restart"/>
            <w:tcBorders>
              <w:top w:val="single" w:color="auto" w:sz="4" w:space="0"/>
              <w:left w:val="single" w:color="auto" w:sz="4" w:space="0"/>
              <w:right w:val="single" w:color="auto" w:sz="4" w:space="0"/>
            </w:tcBorders>
          </w:tcPr>
          <w:p w14:paraId="1408F8DD">
            <w:pPr>
              <w:jc w:val="center"/>
              <w:rPr>
                <w:rFonts w:ascii="宋体" w:hAnsi="宋体" w:cs="宋体"/>
                <w:color w:val="000000"/>
                <w:szCs w:val="21"/>
              </w:rPr>
            </w:pPr>
          </w:p>
          <w:p w14:paraId="67822436">
            <w:pPr>
              <w:jc w:val="center"/>
              <w:rPr>
                <w:rFonts w:ascii="宋体" w:hAnsi="宋体" w:cs="宋体"/>
                <w:color w:val="000000"/>
                <w:szCs w:val="21"/>
              </w:rPr>
            </w:pPr>
          </w:p>
          <w:p w14:paraId="3BDA54D1">
            <w:pPr>
              <w:jc w:val="center"/>
              <w:rPr>
                <w:rFonts w:ascii="宋体" w:hAnsi="宋体" w:cs="宋体"/>
                <w:color w:val="000000"/>
                <w:szCs w:val="21"/>
              </w:rPr>
            </w:pPr>
          </w:p>
          <w:p w14:paraId="06A69724">
            <w:pPr>
              <w:jc w:val="center"/>
              <w:rPr>
                <w:rFonts w:ascii="宋体" w:hAnsi="宋体" w:cs="宋体"/>
                <w:color w:val="000000"/>
                <w:szCs w:val="21"/>
              </w:rPr>
            </w:pPr>
          </w:p>
          <w:p w14:paraId="70F55F87">
            <w:pPr>
              <w:jc w:val="center"/>
              <w:rPr>
                <w:rFonts w:ascii="宋体" w:hAnsi="宋体" w:cs="宋体"/>
                <w:color w:val="000000"/>
                <w:szCs w:val="21"/>
              </w:rPr>
            </w:pPr>
          </w:p>
          <w:p w14:paraId="4EE335B6">
            <w:pPr>
              <w:jc w:val="center"/>
              <w:rPr>
                <w:rFonts w:ascii="宋体" w:hAnsi="宋体" w:cs="宋体"/>
                <w:color w:val="000000"/>
                <w:szCs w:val="21"/>
              </w:rPr>
            </w:pPr>
          </w:p>
          <w:p w14:paraId="703EFC73">
            <w:pPr>
              <w:jc w:val="center"/>
              <w:rPr>
                <w:rFonts w:ascii="宋体" w:hAnsi="宋体" w:cs="宋体"/>
                <w:color w:val="000000"/>
                <w:szCs w:val="21"/>
              </w:rPr>
            </w:pPr>
            <w:r>
              <w:rPr>
                <w:rFonts w:hint="eastAsia" w:ascii="宋体" w:hAnsi="宋体" w:cs="宋体"/>
                <w:color w:val="000000"/>
                <w:szCs w:val="21"/>
              </w:rPr>
              <w:t>开</w:t>
            </w:r>
          </w:p>
          <w:p w14:paraId="544FE3F5">
            <w:pPr>
              <w:jc w:val="center"/>
              <w:rPr>
                <w:rFonts w:ascii="宋体" w:hAnsi="宋体" w:cs="宋体"/>
                <w:color w:val="000000"/>
                <w:szCs w:val="21"/>
              </w:rPr>
            </w:pPr>
            <w:r>
              <w:rPr>
                <w:rFonts w:hint="eastAsia" w:ascii="宋体" w:hAnsi="宋体" w:cs="宋体"/>
                <w:color w:val="000000"/>
                <w:szCs w:val="21"/>
              </w:rPr>
              <w:t>题</w:t>
            </w:r>
          </w:p>
          <w:p w14:paraId="36953D33">
            <w:pPr>
              <w:jc w:val="center"/>
              <w:rPr>
                <w:rFonts w:ascii="宋体" w:hAnsi="宋体" w:cs="宋体"/>
                <w:color w:val="000000"/>
                <w:szCs w:val="21"/>
              </w:rPr>
            </w:pPr>
            <w:r>
              <w:rPr>
                <w:rFonts w:hint="eastAsia" w:ascii="宋体" w:hAnsi="宋体" w:cs="宋体"/>
                <w:color w:val="000000"/>
                <w:szCs w:val="21"/>
              </w:rPr>
              <w:t>报</w:t>
            </w:r>
          </w:p>
          <w:p w14:paraId="638F7C6D">
            <w:pPr>
              <w:jc w:val="center"/>
              <w:rPr>
                <w:rFonts w:ascii="宋体" w:hAnsi="宋体" w:cs="宋体"/>
                <w:color w:val="000000"/>
                <w:szCs w:val="21"/>
              </w:rPr>
            </w:pPr>
            <w:r>
              <w:rPr>
                <w:rFonts w:hint="eastAsia" w:ascii="宋体" w:hAnsi="宋体" w:cs="宋体"/>
                <w:color w:val="000000"/>
                <w:szCs w:val="21"/>
              </w:rPr>
              <w:t>告</w:t>
            </w:r>
          </w:p>
          <w:p w14:paraId="5177FE4D">
            <w:pPr>
              <w:jc w:val="center"/>
              <w:rPr>
                <w:rFonts w:ascii="宋体" w:hAnsi="宋体" w:cs="宋体"/>
                <w:color w:val="000000"/>
                <w:szCs w:val="21"/>
              </w:rPr>
            </w:pPr>
            <w:r>
              <w:rPr>
                <w:rFonts w:hint="eastAsia" w:ascii="宋体" w:hAnsi="宋体" w:cs="宋体"/>
                <w:color w:val="000000"/>
                <w:szCs w:val="21"/>
              </w:rPr>
              <w:t>评</w:t>
            </w:r>
          </w:p>
          <w:p w14:paraId="7B1AAF82">
            <w:pPr>
              <w:jc w:val="center"/>
              <w:rPr>
                <w:rFonts w:ascii="宋体" w:hAnsi="宋体" w:cs="宋体"/>
                <w:color w:val="000000"/>
                <w:szCs w:val="21"/>
              </w:rPr>
            </w:pPr>
            <w:r>
              <w:rPr>
                <w:rFonts w:hint="eastAsia" w:ascii="宋体" w:hAnsi="宋体" w:cs="宋体"/>
                <w:color w:val="000000"/>
                <w:szCs w:val="21"/>
              </w:rPr>
              <w:t>语</w:t>
            </w:r>
          </w:p>
        </w:tc>
        <w:tc>
          <w:tcPr>
            <w:tcW w:w="7383" w:type="dxa"/>
            <w:gridSpan w:val="9"/>
            <w:tcBorders>
              <w:top w:val="single" w:color="auto" w:sz="4" w:space="0"/>
              <w:left w:val="single" w:color="auto" w:sz="4" w:space="0"/>
              <w:bottom w:val="single" w:color="auto" w:sz="4" w:space="0"/>
              <w:right w:val="single" w:color="auto" w:sz="4" w:space="0"/>
            </w:tcBorders>
          </w:tcPr>
          <w:p w14:paraId="30BF05C8">
            <w:pPr>
              <w:rPr>
                <w:rFonts w:ascii="宋体" w:hAnsi="宋体" w:cs="宋体"/>
                <w:color w:val="000000"/>
                <w:szCs w:val="21"/>
              </w:rPr>
            </w:pPr>
            <w:r>
              <w:rPr>
                <w:rFonts w:hint="eastAsia" w:ascii="宋体" w:hAnsi="宋体" w:cs="宋体"/>
                <w:color w:val="000000"/>
                <w:szCs w:val="21"/>
              </w:rPr>
              <w:t>与会人员主要意见：</w:t>
            </w:r>
          </w:p>
        </w:tc>
      </w:tr>
      <w:tr w14:paraId="53C2ABE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601" w:hRule="atLeast"/>
          <w:jc w:val="center"/>
        </w:trPr>
        <w:tc>
          <w:tcPr>
            <w:tcW w:w="897" w:type="dxa"/>
            <w:vMerge w:val="continue"/>
            <w:tcBorders>
              <w:left w:val="single" w:color="auto" w:sz="4" w:space="0"/>
              <w:bottom w:val="single" w:color="auto" w:sz="4" w:space="0"/>
              <w:right w:val="single" w:color="auto" w:sz="4" w:space="0"/>
            </w:tcBorders>
          </w:tcPr>
          <w:p w14:paraId="02EEDCE1">
            <w:pPr>
              <w:jc w:val="center"/>
              <w:rPr>
                <w:rFonts w:ascii="宋体" w:hAnsi="宋体" w:cs="宋体"/>
                <w:color w:val="000000"/>
                <w:szCs w:val="21"/>
              </w:rPr>
            </w:pPr>
          </w:p>
        </w:tc>
        <w:tc>
          <w:tcPr>
            <w:tcW w:w="1443" w:type="dxa"/>
            <w:tcBorders>
              <w:top w:val="single" w:color="auto" w:sz="4" w:space="0"/>
              <w:left w:val="single" w:color="auto" w:sz="4" w:space="0"/>
              <w:bottom w:val="single" w:color="auto" w:sz="4" w:space="0"/>
              <w:right w:val="single" w:color="auto" w:sz="4" w:space="0"/>
            </w:tcBorders>
          </w:tcPr>
          <w:p w14:paraId="7A111CB7">
            <w:pPr>
              <w:spacing w:before="156" w:beforeLines="50"/>
              <w:ind w:firstLine="210" w:firstLineChars="100"/>
              <w:rPr>
                <w:rFonts w:ascii="宋体" w:hAnsi="宋体" w:cs="宋体"/>
                <w:color w:val="000000"/>
                <w:szCs w:val="21"/>
              </w:rPr>
            </w:pPr>
            <w:r>
              <w:rPr>
                <w:rFonts w:hint="eastAsia" w:ascii="宋体" w:hAnsi="宋体" w:cs="宋体"/>
                <w:color w:val="000000"/>
                <w:szCs w:val="21"/>
              </w:rPr>
              <w:t>评议结果</w:t>
            </w:r>
          </w:p>
        </w:tc>
        <w:tc>
          <w:tcPr>
            <w:tcW w:w="2340" w:type="dxa"/>
            <w:gridSpan w:val="4"/>
            <w:tcBorders>
              <w:top w:val="single" w:color="auto" w:sz="4" w:space="0"/>
              <w:left w:val="single" w:color="auto" w:sz="4" w:space="0"/>
              <w:bottom w:val="single" w:color="auto" w:sz="4" w:space="0"/>
              <w:right w:val="single" w:color="auto" w:sz="4" w:space="0"/>
            </w:tcBorders>
          </w:tcPr>
          <w:p w14:paraId="5AF681AF">
            <w:pPr>
              <w:spacing w:before="156" w:beforeLines="50"/>
              <w:rPr>
                <w:rFonts w:ascii="宋体" w:hAnsi="宋体" w:cs="宋体"/>
                <w:color w:val="000000"/>
                <w:szCs w:val="21"/>
              </w:rPr>
            </w:pPr>
            <w:r>
              <w:rPr>
                <w:rFonts w:hint="eastAsia" w:ascii="宋体" w:hAnsi="宋体" w:cs="宋体"/>
                <w:color w:val="000000"/>
                <w:szCs w:val="21"/>
              </w:rPr>
              <w:t>□合格   □不合格</w:t>
            </w:r>
          </w:p>
        </w:tc>
        <w:tc>
          <w:tcPr>
            <w:tcW w:w="1620" w:type="dxa"/>
            <w:gridSpan w:val="2"/>
            <w:tcBorders>
              <w:top w:val="single" w:color="auto" w:sz="4" w:space="0"/>
              <w:left w:val="single" w:color="auto" w:sz="4" w:space="0"/>
              <w:bottom w:val="single" w:color="auto" w:sz="4" w:space="0"/>
              <w:right w:val="single" w:color="auto" w:sz="4" w:space="0"/>
            </w:tcBorders>
          </w:tcPr>
          <w:p w14:paraId="7F6DE550">
            <w:pPr>
              <w:spacing w:before="156" w:beforeLines="50"/>
              <w:ind w:firstLine="210" w:firstLineChars="100"/>
              <w:rPr>
                <w:rFonts w:ascii="宋体" w:hAnsi="宋体" w:cs="宋体"/>
                <w:color w:val="000000"/>
                <w:szCs w:val="21"/>
              </w:rPr>
            </w:pPr>
            <w:r>
              <w:rPr>
                <w:rFonts w:hint="eastAsia" w:ascii="宋体" w:hAnsi="宋体" w:cs="宋体"/>
                <w:color w:val="000000"/>
                <w:szCs w:val="21"/>
              </w:rPr>
              <w:t>负责人签字</w:t>
            </w:r>
          </w:p>
        </w:tc>
        <w:tc>
          <w:tcPr>
            <w:tcW w:w="1980" w:type="dxa"/>
            <w:gridSpan w:val="2"/>
            <w:tcBorders>
              <w:top w:val="single" w:color="auto" w:sz="4" w:space="0"/>
              <w:left w:val="single" w:color="auto" w:sz="4" w:space="0"/>
              <w:bottom w:val="single" w:color="auto" w:sz="4" w:space="0"/>
              <w:right w:val="single" w:color="auto" w:sz="4" w:space="0"/>
            </w:tcBorders>
          </w:tcPr>
          <w:p w14:paraId="6BC28FE2">
            <w:pPr>
              <w:spacing w:before="156" w:beforeLines="50"/>
              <w:rPr>
                <w:rFonts w:ascii="宋体" w:hAnsi="宋体" w:cs="宋体"/>
                <w:color w:val="000000"/>
                <w:szCs w:val="21"/>
              </w:rPr>
            </w:pPr>
          </w:p>
        </w:tc>
      </w:tr>
      <w:tr w14:paraId="046E737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1351" w:hRule="atLeast"/>
          <w:jc w:val="center"/>
        </w:trPr>
        <w:tc>
          <w:tcPr>
            <w:tcW w:w="897" w:type="dxa"/>
            <w:vMerge w:val="restart"/>
            <w:tcBorders>
              <w:top w:val="single" w:color="auto" w:sz="4" w:space="0"/>
              <w:left w:val="single" w:color="auto" w:sz="4" w:space="0"/>
              <w:right w:val="single" w:color="auto" w:sz="4" w:space="0"/>
            </w:tcBorders>
          </w:tcPr>
          <w:p w14:paraId="0B7C3B4E">
            <w:pPr>
              <w:spacing w:line="220" w:lineRule="exact"/>
              <w:jc w:val="center"/>
              <w:rPr>
                <w:rFonts w:ascii="宋体" w:hAnsi="宋体" w:cs="宋体"/>
                <w:color w:val="000000"/>
                <w:szCs w:val="21"/>
              </w:rPr>
            </w:pPr>
          </w:p>
          <w:p w14:paraId="7B4B6803">
            <w:pPr>
              <w:spacing w:line="220" w:lineRule="exact"/>
              <w:jc w:val="center"/>
              <w:rPr>
                <w:rFonts w:ascii="宋体" w:hAnsi="宋体" w:cs="宋体"/>
                <w:color w:val="000000"/>
                <w:szCs w:val="21"/>
              </w:rPr>
            </w:pPr>
            <w:r>
              <w:rPr>
                <w:rFonts w:hint="eastAsia" w:ascii="宋体" w:hAnsi="宋体" w:cs="宋体"/>
                <w:color w:val="000000"/>
                <w:szCs w:val="21"/>
              </w:rPr>
              <w:t>是</w:t>
            </w:r>
          </w:p>
          <w:p w14:paraId="00B51DEE">
            <w:pPr>
              <w:spacing w:line="220" w:lineRule="exact"/>
              <w:jc w:val="center"/>
              <w:rPr>
                <w:rFonts w:ascii="宋体" w:hAnsi="宋体" w:cs="宋体"/>
                <w:color w:val="000000"/>
                <w:szCs w:val="21"/>
              </w:rPr>
            </w:pPr>
            <w:r>
              <w:rPr>
                <w:rFonts w:hint="eastAsia" w:ascii="宋体" w:hAnsi="宋体" w:cs="宋体"/>
                <w:color w:val="000000"/>
                <w:szCs w:val="21"/>
              </w:rPr>
              <w:t>否</w:t>
            </w:r>
          </w:p>
          <w:p w14:paraId="1887E582">
            <w:pPr>
              <w:spacing w:line="220" w:lineRule="exact"/>
              <w:jc w:val="center"/>
              <w:rPr>
                <w:rFonts w:ascii="宋体" w:hAnsi="宋体" w:cs="宋体"/>
                <w:color w:val="000000"/>
                <w:szCs w:val="21"/>
              </w:rPr>
            </w:pPr>
            <w:r>
              <w:rPr>
                <w:rFonts w:hint="eastAsia" w:ascii="宋体" w:hAnsi="宋体" w:cs="宋体"/>
                <w:color w:val="000000"/>
                <w:szCs w:val="21"/>
              </w:rPr>
              <w:t>同</w:t>
            </w:r>
          </w:p>
          <w:p w14:paraId="1D67AFD2">
            <w:pPr>
              <w:spacing w:line="220" w:lineRule="exact"/>
              <w:jc w:val="center"/>
              <w:rPr>
                <w:rFonts w:ascii="宋体" w:hAnsi="宋体" w:cs="宋体"/>
                <w:color w:val="000000"/>
                <w:szCs w:val="21"/>
              </w:rPr>
            </w:pPr>
            <w:r>
              <w:rPr>
                <w:rFonts w:hint="eastAsia" w:ascii="宋体" w:hAnsi="宋体" w:cs="宋体"/>
                <w:color w:val="000000"/>
                <w:szCs w:val="21"/>
              </w:rPr>
              <w:t>意</w:t>
            </w:r>
          </w:p>
          <w:p w14:paraId="1144876C">
            <w:pPr>
              <w:spacing w:line="220" w:lineRule="exact"/>
              <w:jc w:val="center"/>
              <w:rPr>
                <w:rFonts w:ascii="宋体" w:hAnsi="宋体" w:cs="宋体"/>
                <w:color w:val="000000"/>
                <w:szCs w:val="21"/>
              </w:rPr>
            </w:pPr>
            <w:r>
              <w:rPr>
                <w:rFonts w:hint="eastAsia" w:ascii="宋体" w:hAnsi="宋体" w:cs="宋体"/>
                <w:color w:val="000000"/>
                <w:szCs w:val="21"/>
              </w:rPr>
              <w:t>进</w:t>
            </w:r>
          </w:p>
          <w:p w14:paraId="027F3674">
            <w:pPr>
              <w:spacing w:line="220" w:lineRule="exact"/>
              <w:jc w:val="center"/>
              <w:rPr>
                <w:rFonts w:ascii="宋体" w:hAnsi="宋体" w:cs="宋体"/>
                <w:color w:val="000000"/>
                <w:szCs w:val="21"/>
              </w:rPr>
            </w:pPr>
            <w:r>
              <w:rPr>
                <w:rFonts w:hint="eastAsia" w:ascii="宋体" w:hAnsi="宋体" w:cs="宋体"/>
                <w:color w:val="000000"/>
                <w:szCs w:val="21"/>
              </w:rPr>
              <w:t>入</w:t>
            </w:r>
          </w:p>
          <w:p w14:paraId="4D7917CE">
            <w:pPr>
              <w:spacing w:line="220" w:lineRule="exact"/>
              <w:jc w:val="center"/>
              <w:rPr>
                <w:rFonts w:ascii="宋体" w:hAnsi="宋体" w:cs="宋体"/>
                <w:color w:val="000000"/>
                <w:szCs w:val="21"/>
              </w:rPr>
            </w:pPr>
            <w:r>
              <w:rPr>
                <w:rFonts w:hint="eastAsia" w:ascii="宋体" w:hAnsi="宋体" w:cs="宋体"/>
                <w:color w:val="000000"/>
                <w:szCs w:val="21"/>
              </w:rPr>
              <w:t>论</w:t>
            </w:r>
          </w:p>
          <w:p w14:paraId="0F30D121">
            <w:pPr>
              <w:spacing w:line="220" w:lineRule="exact"/>
              <w:jc w:val="center"/>
              <w:rPr>
                <w:rFonts w:ascii="宋体" w:hAnsi="宋体" w:cs="宋体"/>
                <w:color w:val="000000"/>
                <w:szCs w:val="21"/>
              </w:rPr>
            </w:pPr>
            <w:r>
              <w:rPr>
                <w:rFonts w:hint="eastAsia" w:ascii="宋体" w:hAnsi="宋体" w:cs="宋体"/>
                <w:color w:val="000000"/>
                <w:szCs w:val="21"/>
              </w:rPr>
              <w:t>文</w:t>
            </w:r>
          </w:p>
          <w:p w14:paraId="31327C40">
            <w:pPr>
              <w:spacing w:line="220" w:lineRule="exact"/>
              <w:jc w:val="center"/>
              <w:rPr>
                <w:rFonts w:ascii="宋体" w:hAnsi="宋体" w:cs="宋体"/>
                <w:color w:val="000000"/>
                <w:szCs w:val="21"/>
              </w:rPr>
            </w:pPr>
            <w:r>
              <w:rPr>
                <w:rFonts w:hint="eastAsia" w:ascii="宋体" w:hAnsi="宋体" w:cs="宋体"/>
                <w:color w:val="000000"/>
                <w:szCs w:val="21"/>
              </w:rPr>
              <w:t>工</w:t>
            </w:r>
          </w:p>
          <w:p w14:paraId="6B15AB40">
            <w:pPr>
              <w:spacing w:line="220" w:lineRule="exact"/>
              <w:jc w:val="center"/>
              <w:rPr>
                <w:rFonts w:ascii="宋体" w:hAnsi="宋体" w:cs="宋体"/>
                <w:color w:val="000000"/>
                <w:szCs w:val="21"/>
              </w:rPr>
            </w:pPr>
            <w:r>
              <w:rPr>
                <w:rFonts w:hint="eastAsia" w:ascii="宋体" w:hAnsi="宋体" w:cs="宋体"/>
                <w:color w:val="000000"/>
                <w:szCs w:val="21"/>
              </w:rPr>
              <w:t>作</w:t>
            </w:r>
          </w:p>
          <w:p w14:paraId="3EF7B28B">
            <w:pPr>
              <w:spacing w:line="220" w:lineRule="exact"/>
              <w:jc w:val="center"/>
              <w:rPr>
                <w:rFonts w:ascii="宋体" w:hAnsi="宋体" w:cs="宋体"/>
                <w:color w:val="000000"/>
                <w:szCs w:val="21"/>
              </w:rPr>
            </w:pPr>
            <w:r>
              <w:rPr>
                <w:rFonts w:hint="eastAsia" w:ascii="宋体" w:hAnsi="宋体" w:cs="宋体"/>
                <w:color w:val="000000"/>
                <w:szCs w:val="21"/>
              </w:rPr>
              <w:t>阶</w:t>
            </w:r>
          </w:p>
          <w:p w14:paraId="508406E2">
            <w:pPr>
              <w:spacing w:line="220" w:lineRule="exact"/>
              <w:jc w:val="center"/>
              <w:rPr>
                <w:rFonts w:ascii="宋体" w:hAnsi="宋体" w:cs="宋体"/>
                <w:color w:val="000000"/>
                <w:szCs w:val="21"/>
              </w:rPr>
            </w:pPr>
            <w:r>
              <w:rPr>
                <w:rFonts w:hint="eastAsia" w:ascii="宋体" w:hAnsi="宋体" w:cs="宋体"/>
                <w:color w:val="000000"/>
                <w:szCs w:val="21"/>
              </w:rPr>
              <w:t>段</w:t>
            </w:r>
          </w:p>
        </w:tc>
        <w:tc>
          <w:tcPr>
            <w:tcW w:w="7383" w:type="dxa"/>
            <w:gridSpan w:val="9"/>
            <w:tcBorders>
              <w:top w:val="single" w:color="auto" w:sz="4" w:space="0"/>
              <w:left w:val="single" w:color="auto" w:sz="4" w:space="0"/>
              <w:bottom w:val="single" w:color="auto" w:sz="4" w:space="0"/>
              <w:right w:val="single" w:color="auto" w:sz="4" w:space="0"/>
            </w:tcBorders>
          </w:tcPr>
          <w:p w14:paraId="7B99B576">
            <w:pPr>
              <w:rPr>
                <w:rFonts w:ascii="宋体" w:hAnsi="宋体" w:cs="宋体"/>
                <w:color w:val="000000"/>
                <w:szCs w:val="21"/>
              </w:rPr>
            </w:pPr>
            <w:r>
              <w:rPr>
                <w:rFonts w:hint="eastAsia" w:ascii="宋体" w:hAnsi="宋体" w:cs="宋体"/>
                <w:color w:val="000000"/>
                <w:szCs w:val="21"/>
              </w:rPr>
              <w:t>导师意见：</w:t>
            </w:r>
          </w:p>
          <w:p w14:paraId="366107B8">
            <w:pPr>
              <w:rPr>
                <w:rFonts w:ascii="宋体" w:hAnsi="宋体" w:cs="宋体"/>
                <w:color w:val="000000"/>
                <w:szCs w:val="21"/>
              </w:rPr>
            </w:pPr>
            <w:r>
              <w:rPr>
                <w:rFonts w:hint="eastAsia" w:ascii="宋体" w:hAnsi="宋体" w:cs="宋体"/>
                <w:color w:val="000000"/>
                <w:szCs w:val="21"/>
              </w:rPr>
              <w:t xml:space="preserve">签   字：       </w:t>
            </w:r>
            <w:r>
              <w:rPr>
                <w:rFonts w:hint="eastAsia" w:ascii="宋体" w:hAnsi="宋体" w:cs="宋体"/>
                <w:color w:val="000000"/>
                <w:szCs w:val="21"/>
              </w:rPr>
              <w:t xml:space="preserve">                  </w:t>
            </w:r>
            <w:r>
              <w:rPr>
                <w:rFonts w:ascii="宋体" w:hAnsi="宋体" w:cs="宋体"/>
                <w:color w:val="000000"/>
                <w:szCs w:val="21"/>
              </w:rPr>
              <w:t/>
            </w:r>
            <w:r>
              <w:rPr>
                <w:rFonts w:hint="eastAsia" w:ascii="宋体" w:hAnsi="宋体" w:cs="宋体"/>
                <w:color w:val="000000"/>
                <w:szCs w:val="21"/>
              </w:rPr>
              <w:t xml:space="preserve">  年  </w:t>
            </w:r>
            <w:r>
              <w:rPr>
                <w:rFonts w:ascii="宋体" w:hAnsi="宋体" w:cs="宋体"/>
                <w:color w:val="000000"/>
                <w:szCs w:val="21"/>
              </w:rPr>
              <w:t/>
            </w:r>
            <w:r>
              <w:rPr>
                <w:rFonts w:hint="eastAsia" w:ascii="宋体" w:hAnsi="宋体" w:cs="宋体"/>
                <w:color w:val="000000"/>
                <w:szCs w:val="21"/>
              </w:rPr>
              <w:t xml:space="preserve"> 月 </w:t>
            </w:r>
            <w:r>
              <w:rPr>
                <w:rFonts w:ascii="宋体" w:hAnsi="宋体" w:cs="宋体"/>
                <w:color w:val="000000"/>
                <w:szCs w:val="21"/>
              </w:rPr>
              <w:t/>
            </w:r>
            <w:r>
              <w:rPr>
                <w:rFonts w:hint="eastAsia" w:ascii="宋体" w:hAnsi="宋体" w:cs="宋体"/>
                <w:color w:val="000000"/>
                <w:szCs w:val="21"/>
              </w:rPr>
              <w:t xml:space="preserve">  日</w:t>
            </w:r>
          </w:p>
        </w:tc>
      </w:tr>
      <w:tr w14:paraId="3E4E76B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1484" w:hRule="atLeast"/>
          <w:jc w:val="center"/>
        </w:trPr>
        <w:tc>
          <w:tcPr>
            <w:tcW w:w="897" w:type="dxa"/>
            <w:vMerge w:val="continue"/>
            <w:tcBorders>
              <w:left w:val="single" w:color="auto" w:sz="4" w:space="0"/>
              <w:bottom w:val="single" w:color="auto" w:sz="4" w:space="0"/>
              <w:right w:val="single" w:color="auto" w:sz="4" w:space="0"/>
            </w:tcBorders>
          </w:tcPr>
          <w:p w14:paraId="5A44FF0A">
            <w:pPr>
              <w:jc w:val="center"/>
              <w:rPr>
                <w:rFonts w:ascii="宋体" w:hAnsi="宋体" w:cs="宋体"/>
                <w:color w:val="000000"/>
                <w:szCs w:val="21"/>
              </w:rPr>
            </w:pPr>
          </w:p>
        </w:tc>
        <w:tc>
          <w:tcPr>
            <w:tcW w:w="7383" w:type="dxa"/>
            <w:gridSpan w:val="9"/>
            <w:tcBorders>
              <w:top w:val="single" w:color="auto" w:sz="4" w:space="0"/>
              <w:left w:val="single" w:color="auto" w:sz="4" w:space="0"/>
              <w:bottom w:val="single" w:color="auto" w:sz="4" w:space="0"/>
              <w:right w:val="single" w:color="auto" w:sz="4" w:space="0"/>
            </w:tcBorders>
          </w:tcPr>
          <w:p w14:paraId="5D654806">
            <w:pPr>
              <w:rPr>
                <w:rFonts w:ascii="宋体" w:hAnsi="宋体" w:cs="宋体"/>
                <w:color w:val="000000"/>
                <w:szCs w:val="21"/>
              </w:rPr>
            </w:pPr>
            <w:r>
              <w:rPr>
                <w:rFonts w:hint="eastAsia" w:ascii="宋体" w:hAnsi="宋体" w:cs="宋体"/>
                <w:color w:val="000000"/>
                <w:szCs w:val="21"/>
              </w:rPr>
              <w:t>院、系审查意见：</w:t>
            </w:r>
          </w:p>
          <w:p w14:paraId="4C14C21A">
            <w:pPr>
              <w:ind w:firstLine="840" w:firstLineChars="400"/>
              <w:rPr>
                <w:rFonts w:ascii="宋体" w:hAnsi="宋体" w:cs="宋体"/>
                <w:color w:val="000000"/>
                <w:szCs w:val="21"/>
              </w:rPr>
            </w:pPr>
          </w:p>
          <w:p w14:paraId="31AA4603">
            <w:pPr>
              <w:rPr>
                <w:rFonts w:ascii="宋体" w:hAnsi="宋体" w:cs="宋体"/>
                <w:color w:val="000000"/>
                <w:szCs w:val="21"/>
              </w:rPr>
            </w:pPr>
            <w:bookmarkStart w:id="13" w:name="_GoBack"/>
            <w:bookmarkEnd w:id="13"/>
          </w:p>
          <w:p w14:paraId="7A010445">
            <w:pPr>
              <w:ind w:firstLine="5040" w:firstLineChars="2400"/>
              <w:rPr>
                <w:rFonts w:ascii="宋体" w:hAnsi="宋体" w:cs="宋体"/>
                <w:color w:val="000000"/>
                <w:szCs w:val="21"/>
              </w:rPr>
            </w:pPr>
          </w:p>
          <w:p w14:paraId="215D5E4A">
            <w:pPr>
              <w:ind w:firstLine="5040" w:firstLineChars="2400"/>
              <w:rPr>
                <w:rFonts w:ascii="宋体" w:hAnsi="宋体" w:cs="宋体"/>
                <w:color w:val="000000"/>
                <w:szCs w:val="21"/>
              </w:rPr>
            </w:pPr>
            <w:r>
              <w:rPr>
                <w:rFonts w:hint="eastAsia" w:ascii="宋体" w:hAnsi="宋体" w:cs="宋体"/>
                <w:color w:val="000000"/>
                <w:szCs w:val="21"/>
              </w:rPr>
              <w:t>公章</w:t>
            </w:r>
          </w:p>
          <w:p w14:paraId="10B3E3EE">
            <w:pPr>
              <w:ind w:firstLine="840" w:firstLineChars="400"/>
              <w:rPr>
                <w:rFonts w:ascii="宋体" w:hAnsi="宋体" w:cs="宋体"/>
                <w:color w:val="000000"/>
                <w:szCs w:val="21"/>
              </w:rPr>
            </w:pPr>
            <w:r>
              <w:rPr>
                <w:rFonts w:hint="eastAsia" w:ascii="宋体" w:hAnsi="宋体" w:cs="宋体"/>
                <w:color w:val="000000"/>
                <w:szCs w:val="21"/>
              </w:rPr>
              <w:t>主管领导签字：                      年   月   日</w:t>
            </w:r>
          </w:p>
        </w:tc>
      </w:tr>
    </w:tbl>
    <w:p w14:paraId="155B5AA5"/>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FB30CD4F-A6D4-40A2-BF16-5EAEA905F839}"/>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embedRegular r:id="rId2" w:fontKey="{62855F05-C1B2-4841-A406-0E36CB41EACA}"/>
  </w:font>
  <w:font w:name="Cambria">
    <w:panose1 w:val="02040503050406030204"/>
    <w:charset w:val="00"/>
    <w:family w:val="roman"/>
    <w:pitch w:val="default"/>
    <w:sig w:usb0="E00006FF" w:usb1="420024FF" w:usb2="02000000" w:usb3="00000000" w:csb0="2000019F" w:csb1="00000000"/>
    <w:embedRegular r:id="rId3" w:fontKey="{470F26B2-8301-4C58-988C-52711E605FC2}"/>
  </w:font>
  <w:font w:name="Segoe UI">
    <w:panose1 w:val="020B0502040204020203"/>
    <w:charset w:val="00"/>
    <w:family w:val="swiss"/>
    <w:pitch w:val="default"/>
    <w:sig w:usb0="E4002EFF" w:usb1="C000E47F" w:usb2="00000009" w:usb3="00000000" w:csb0="200001FF" w:csb1="00000000"/>
    <w:embedRegular r:id="rId4" w:fontKey="{2FC60D52-5036-4219-BF94-AFC3D4A320B5}"/>
  </w:font>
  <w:font w:name="Courier New">
    <w:panose1 w:val="02070309020205020404"/>
    <w:charset w:val="00"/>
    <w:family w:val="modern"/>
    <w:pitch w:val="default"/>
    <w:sig w:usb0="E0002EFF" w:usb1="C0007843" w:usb2="00000009" w:usb3="00000000" w:csb0="400001FF" w:csb1="FFFF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5A0FDE"/>
    <w:multiLevelType w:val="multilevel"/>
    <w:tmpl w:val="055A0FDE"/>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2D23621C"/>
    <w:multiLevelType w:val="multilevel"/>
    <w:tmpl w:val="2D23621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6A3F"/>
    <w:rsid w:val="002766D8"/>
    <w:rsid w:val="002C4D88"/>
    <w:rsid w:val="00304E8E"/>
    <w:rsid w:val="00337D0C"/>
    <w:rsid w:val="007414B2"/>
    <w:rsid w:val="00935708"/>
    <w:rsid w:val="00A70D08"/>
    <w:rsid w:val="00B21DC3"/>
    <w:rsid w:val="00BA2487"/>
    <w:rsid w:val="00D36A3F"/>
    <w:rsid w:val="00F27A6A"/>
    <w:rsid w:val="59201F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6"/>
    <w:autoRedefine/>
    <w:qFormat/>
    <w:uiPriority w:val="9"/>
    <w:pPr>
      <w:keepNext/>
      <w:keepLines/>
      <w:adjustRightInd w:val="0"/>
      <w:snapToGrid w:val="0"/>
      <w:spacing w:before="360" w:beforeLines="150" w:after="360" w:afterLines="150" w:line="420" w:lineRule="atLeast"/>
      <w:jc w:val="center"/>
      <w:outlineLvl w:val="0"/>
    </w:pPr>
    <w:rPr>
      <w:rFonts w:ascii="宋体" w:hAnsi="宋体"/>
      <w:b/>
      <w:bCs/>
      <w:color w:val="000000"/>
      <w:kern w:val="0"/>
      <w:sz w:val="32"/>
      <w:szCs w:val="32"/>
      <w:lang w:val="zh-CN"/>
    </w:rPr>
  </w:style>
  <w:style w:type="character" w:default="1" w:styleId="4">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5">
    <w:name w:val="Strong"/>
    <w:basedOn w:val="4"/>
    <w:qFormat/>
    <w:uiPriority w:val="22"/>
    <w:rPr>
      <w:b/>
      <w:bCs/>
    </w:rPr>
  </w:style>
  <w:style w:type="character" w:customStyle="1" w:styleId="6">
    <w:name w:val="标题 1 字符"/>
    <w:basedOn w:val="4"/>
    <w:link w:val="2"/>
    <w:uiPriority w:val="9"/>
    <w:rPr>
      <w:rFonts w:ascii="宋体" w:hAnsi="宋体" w:eastAsia="宋体" w:cs="Times New Roman"/>
      <w:b/>
      <w:bCs/>
      <w:color w:val="000000"/>
      <w:kern w:val="0"/>
      <w:sz w:val="32"/>
      <w:szCs w:val="32"/>
      <w:lang w:val="zh-CN"/>
    </w:rPr>
  </w:style>
  <w:style w:type="paragraph" w:customStyle="1" w:styleId="7">
    <w:name w:val="ds-markdown-paragraph"/>
    <w:basedOn w:val="1"/>
    <w:qFormat/>
    <w:uiPriority w:val="0"/>
    <w:pPr>
      <w:widowControl/>
      <w:spacing w:before="100" w:beforeAutospacing="1" w:after="100" w:afterAutospacing="1"/>
      <w:jc w:val="left"/>
    </w:pPr>
    <w:rPr>
      <w:rFonts w:ascii="宋体" w:hAnsi="宋体" w:cs="宋体"/>
      <w:kern w:val="0"/>
      <w:sz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image" Target="media/image4.png"/></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10906</Words>
  <Characters>15403</Characters>
  <Lines>121</Lines>
  <Paragraphs>34</Paragraphs>
  <TotalTime>41</TotalTime>
  <ScaleCrop>false</ScaleCrop>
  <LinksUpToDate>false</LinksUpToDate>
  <CharactersWithSpaces>16435</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2025-10-13T09:03:00Z</dcterms:created>
  <dc:creator>Administered</dc:creator>
  <cp:lastModifiedBy>蝈蝈</cp:lastModifiedBy>
  <dcterms:modified xsi:type="dcterms:W3CDTF">2026-09-10T14:36:16Z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eyJoZGlkIjoiYzMzNjdiODEzOGMyYjM5ODIxNTE2YmQ5ZTZjMzljZWQiLCJ1c2VySWQiOiIyNzU3Mjk3NTUifQ==</vt:lpwstr>
  </property>
  <property fmtid="{D5CDD505-2E9C-101B-9397-08002B2CF9AE}" pid="3" name="KSOProductBuildVer">
    <vt:lpwstr>2052-12.1.0.28505</vt:lpwstr>
  </property>
  <property fmtid="{D5CDD505-2E9C-101B-9397-08002B2CF9AE}" pid="4" name="ICV">
    <vt:lpwstr>EA6BDB7BE2B94C5F986D91A931555BB2_12</vt:lpwstr>
  </property>
</Properties>
</file>