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0C4E2"/>
    <w:p w14:paraId="378CA5DC">
      <w:pPr>
        <w:rPr>
          <w:rFonts w:eastAsia="黑体"/>
          <w:b/>
          <w:bCs/>
          <w:color w:val="000000"/>
          <w:sz w:val="36"/>
          <w:szCs w:val="20"/>
        </w:rPr>
      </w:pPr>
    </w:p>
    <w:p w14:paraId="15CAE280">
      <w:pPr>
        <w:rPr>
          <w:rFonts w:eastAsia="黑体"/>
          <w:b/>
          <w:bCs/>
          <w:color w:val="000000"/>
          <w:sz w:val="36"/>
          <w:szCs w:val="20"/>
        </w:rPr>
      </w:pPr>
    </w:p>
    <w:p w14:paraId="2CD9F840">
      <w:pPr>
        <w:rPr>
          <w:rFonts w:eastAsia="黑体"/>
          <w:b/>
          <w:bCs/>
          <w:color w:val="000000"/>
          <w:sz w:val="36"/>
          <w:szCs w:val="20"/>
        </w:rPr>
      </w:pPr>
    </w:p>
    <w:p w14:paraId="369D39D6">
      <w:pPr>
        <w:pStyle w:val="2"/>
        <w:spacing w:before="468" w:after="468"/>
        <w:rPr>
          <w:shd w:val="clear" w:color="auto" w:fill="FFFFFF"/>
        </w:rPr>
      </w:pPr>
      <w:bookmarkStart w:id="0" w:name="_Toc523917423"/>
      <w:bookmarkStart w:id="1" w:name="_Toc18406549"/>
      <w:bookmarkStart w:id="2" w:name="_Toc18404966"/>
      <w:bookmarkStart w:id="3" w:name="_Toc18405910"/>
      <w:bookmarkStart w:id="4" w:name="_Toc18405013"/>
      <w:r>
        <w:rPr>
          <w:rFonts w:hint="eastAsia"/>
          <w:shd w:val="clear" w:color="auto" w:fill="FFFFFF"/>
        </w:rPr>
        <w:t>东北财经大学硕士学位论文开题报告</w:t>
      </w:r>
      <w:bookmarkEnd w:id="0"/>
      <w:bookmarkEnd w:id="1"/>
      <w:bookmarkEnd w:id="2"/>
      <w:bookmarkEnd w:id="3"/>
      <w:bookmarkEnd w:id="4"/>
    </w:p>
    <w:p w14:paraId="77146092">
      <w:pPr>
        <w:rPr>
          <w:color w:val="000000"/>
          <w:szCs w:val="20"/>
        </w:rPr>
      </w:pPr>
    </w:p>
    <w:p w14:paraId="110A93ED">
      <w:pPr>
        <w:rPr>
          <w:color w:val="000000"/>
          <w:szCs w:val="20"/>
        </w:rPr>
      </w:pPr>
    </w:p>
    <w:p w14:paraId="599A197D">
      <w:pPr>
        <w:rPr>
          <w:color w:val="000000"/>
          <w:szCs w:val="20"/>
        </w:rPr>
      </w:pPr>
    </w:p>
    <w:p w14:paraId="2BC9D627">
      <w:pPr>
        <w:rPr>
          <w:color w:val="000000"/>
          <w:szCs w:val="20"/>
        </w:rPr>
      </w:pPr>
    </w:p>
    <w:p w14:paraId="3C2B1284">
      <w:pPr>
        <w:rPr>
          <w:color w:val="000000"/>
          <w:szCs w:val="20"/>
        </w:rPr>
      </w:pPr>
    </w:p>
    <w:p w14:paraId="18E7D331">
      <w:pPr>
        <w:rPr>
          <w:color w:val="000000"/>
          <w:szCs w:val="20"/>
        </w:rPr>
      </w:pPr>
    </w:p>
    <w:p w14:paraId="533390A7">
      <w:pPr>
        <w:rPr>
          <w:color w:val="000000"/>
          <w:szCs w:val="20"/>
        </w:rPr>
      </w:pPr>
    </w:p>
    <w:p w14:paraId="3CA601D0">
      <w:pPr>
        <w:spacing w:after="312" w:afterLines="100"/>
        <w:ind w:firstLine="1800"/>
        <w:rPr>
          <w:color w:val="000000"/>
          <w:sz w:val="30"/>
        </w:rPr>
      </w:pPr>
      <w:r>
        <w:rPr>
          <w:rFonts w:hint="eastAsia"/>
          <w:color w:val="000000"/>
          <w:sz w:val="30"/>
        </w:rPr>
        <mc:AlternateContent>
          <mc:Choice Requires="wps">
            <w:drawing>
              <wp:anchor distT="0" distB="0" distL="114300" distR="114300" simplePos="0" relativeHeight="251659264" behindDoc="0" locked="0" layoutInCell="1" allowOverlap="1">
                <wp:simplePos x="0" y="0"/>
                <wp:positionH relativeFrom="column">
                  <wp:posOffset>2303780</wp:posOffset>
                </wp:positionH>
                <wp:positionV relativeFrom="paragraph">
                  <wp:posOffset>304800</wp:posOffset>
                </wp:positionV>
                <wp:extent cx="1943100" cy="0"/>
                <wp:effectExtent l="5080" t="13335" r="13970" b="5715"/>
                <wp:wrapNone/>
                <wp:docPr id="7" name="直接连接符 7"/>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1.4pt;margin-top:24pt;height:0pt;width:153pt;z-index:251659264;mso-width-relative:page;mso-height-relative:page;" filled="f" stroked="t" coordsize="21600,21600" o:gfxdata="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y1fE/&#10;1QAAAAkBAAAPAAAAAAAAAAEAIAAAACIAAABkcnMvZG93bnJldi54bWxQSwECFAAUAAAACACHTuJA&#10;iIvlvesBAAC0AwAADgAAAAAAAAABACAAAAAkAQAAZHJzL2Uyb0RvYy54bWxQSwUGAAAAAAYABgBZ&#10;AQAAgQUAAAAA&#10;">
                <v:fill on="f" focussize="0,0"/>
                <v:stroke color="#000000" joinstyle="round"/>
                <v:imagedata o:title=""/>
                <o:lock v:ext="edit" aspectratio="f"/>
              </v:line>
            </w:pict>
          </mc:Fallback>
        </mc:AlternateContent>
      </w:r>
      <w:r>
        <w:rPr>
          <w:rFonts w:hint="eastAsia"/>
          <w:color w:val="000000"/>
          <w:sz w:val="30"/>
        </w:rPr>
        <w:t>学</w:t>
      </w:r>
      <w:r>
        <w:rPr>
          <w:color w:val="000000"/>
          <w:sz w:val="30"/>
        </w:rPr>
        <w:t xml:space="preserve">       </w:t>
      </w:r>
      <w:r>
        <w:rPr>
          <w:rFonts w:hint="eastAsia"/>
          <w:color w:val="000000"/>
          <w:sz w:val="30"/>
        </w:rPr>
        <w:t xml:space="preserve">号： 2024120310   </w:t>
      </w:r>
    </w:p>
    <w:p w14:paraId="245D1C76">
      <w:pPr>
        <w:spacing w:after="312" w:afterLines="100"/>
        <w:ind w:firstLine="1800"/>
        <w:rPr>
          <w:color w:val="000000"/>
          <w:sz w:val="30"/>
        </w:rPr>
      </w:pPr>
      <w:r>
        <w:rPr>
          <w:rFonts w:hint="eastAsia"/>
          <w:color w:val="000000"/>
          <w:sz w:val="30"/>
        </w:rPr>
        <mc:AlternateContent>
          <mc:Choice Requires="wps">
            <w:drawing>
              <wp:anchor distT="0" distB="0" distL="114300" distR="114300" simplePos="0" relativeHeight="251660288" behindDoc="0" locked="0" layoutInCell="1" allowOverlap="1">
                <wp:simplePos x="0" y="0"/>
                <wp:positionH relativeFrom="column">
                  <wp:posOffset>2315210</wp:posOffset>
                </wp:positionH>
                <wp:positionV relativeFrom="paragraph">
                  <wp:posOffset>299085</wp:posOffset>
                </wp:positionV>
                <wp:extent cx="1943100" cy="0"/>
                <wp:effectExtent l="5080" t="12700" r="13970" b="6350"/>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2.3pt;margin-top:23.55pt;height:0pt;width:153pt;z-index:251660288;mso-width-relative:page;mso-height-relative:page;" filled="f" stroked="t" coordsize="21600,21600" o:gfxdata="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km&#10;TfDWAAAACQEAAA8AAAAAAAAAAQAgAAAAIgAAAGRycy9kb3ducmV2LnhtbFBLAQIUABQAAAAIAIdO&#10;4kCdtGrH7AEAALQDAAAOAAAAAAAAAAEAIAAAACUBAABkcnMvZTJvRG9jLnhtbFBLBQYAAAAABgAG&#10;AFkBAACDBQAAAAA=&#10;">
                <v:fill on="f" focussize="0,0"/>
                <v:stroke color="#000000" joinstyle="round"/>
                <v:imagedata o:title=""/>
                <o:lock v:ext="edit" aspectratio="f"/>
              </v:line>
            </w:pict>
          </mc:Fallback>
        </mc:AlternateContent>
      </w:r>
      <w:r>
        <w:rPr>
          <w:rFonts w:hint="eastAsia"/>
          <w:color w:val="000000"/>
          <w:sz w:val="30"/>
        </w:rPr>
        <w:t xml:space="preserve">申   请  人： 郭 娇  </w:t>
      </w:r>
    </w:p>
    <w:p w14:paraId="26CFB1FC">
      <w:pPr>
        <w:spacing w:after="312" w:afterLines="100"/>
        <w:rPr>
          <w:color w:val="000000"/>
          <w:sz w:val="30"/>
          <w:szCs w:val="20"/>
        </w:rPr>
      </w:pPr>
      <w:r>
        <w:rPr>
          <w:rFonts w:hint="eastAsia"/>
          <w:color w:val="000000"/>
          <w:sz w:val="30"/>
        </w:rPr>
        <mc:AlternateContent>
          <mc:Choice Requires="wps">
            <w:drawing>
              <wp:anchor distT="0" distB="0" distL="114300" distR="114300" simplePos="0" relativeHeight="251661312" behindDoc="0" locked="0" layoutInCell="1" allowOverlap="1">
                <wp:simplePos x="0" y="0"/>
                <wp:positionH relativeFrom="column">
                  <wp:posOffset>2321560</wp:posOffset>
                </wp:positionH>
                <wp:positionV relativeFrom="paragraph">
                  <wp:posOffset>299085</wp:posOffset>
                </wp:positionV>
                <wp:extent cx="1943100" cy="0"/>
                <wp:effectExtent l="5080" t="12065" r="13970" b="6985"/>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2.8pt;margin-top:23.55pt;height:0pt;width:153pt;z-index:251661312;mso-width-relative:page;mso-height-relative:page;" filled="f" stroked="t" coordsize="21600,21600" o:gfxdata="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PNu&#10;UtYAAAAJAQAADwAAAAAAAAABACAAAAAiAAAAZHJzL2Rvd25yZXYueG1sUEsBAhQAFAAAAAgAh07i&#10;QKL1+0jrAQAAtAMAAA4AAAAAAAAAAQAgAAAAJQEAAGRycy9lMm9Eb2MueG1sUEsFBgAAAAAGAAYA&#10;WQEAAIIFAAAAAA==&#10;">
                <v:fill on="f" focussize="0,0"/>
                <v:stroke color="#000000" joinstyle="round"/>
                <v:imagedata o:title=""/>
                <o:lock v:ext="edit" aspectratio="f"/>
              </v:line>
            </w:pict>
          </mc:Fallback>
        </mc:AlternateContent>
      </w:r>
      <w:r>
        <w:rPr>
          <w:color w:val="000000"/>
          <w:sz w:val="30"/>
        </w:rPr>
        <w:t xml:space="preserve">            </w:t>
      </w:r>
      <w:r>
        <w:rPr>
          <w:rFonts w:hint="eastAsia"/>
          <w:color w:val="000000"/>
          <w:sz w:val="30"/>
        </w:rPr>
        <w:t xml:space="preserve">院  </w:t>
      </w:r>
      <w:r>
        <w:rPr>
          <w:color w:val="000000"/>
          <w:sz w:val="30"/>
        </w:rPr>
        <w:t xml:space="preserve">     </w:t>
      </w:r>
      <w:r>
        <w:rPr>
          <w:rFonts w:hint="eastAsia"/>
          <w:color w:val="000000"/>
          <w:sz w:val="30"/>
        </w:rPr>
        <w:t xml:space="preserve">系：管理科学与工程管理  </w:t>
      </w:r>
    </w:p>
    <w:p w14:paraId="791D1AC6">
      <w:pPr>
        <w:spacing w:after="312" w:afterLines="100"/>
        <w:ind w:firstLine="1800"/>
        <w:rPr>
          <w:color w:val="000000"/>
          <w:sz w:val="30"/>
          <w:szCs w:val="20"/>
        </w:rPr>
      </w:pPr>
      <w:r>
        <w:rPr>
          <w:rFonts w:hint="eastAsia"/>
          <w:color w:val="000000"/>
          <w:sz w:val="30"/>
        </w:rPr>
        <mc:AlternateContent>
          <mc:Choice Requires="wps">
            <w:drawing>
              <wp:anchor distT="0" distB="0" distL="114300" distR="114300" simplePos="0" relativeHeight="251662336" behindDoc="0" locked="0" layoutInCell="1" allowOverlap="1">
                <wp:simplePos x="0" y="0"/>
                <wp:positionH relativeFrom="column">
                  <wp:posOffset>2279650</wp:posOffset>
                </wp:positionH>
                <wp:positionV relativeFrom="paragraph">
                  <wp:posOffset>292735</wp:posOffset>
                </wp:positionV>
                <wp:extent cx="1943100" cy="0"/>
                <wp:effectExtent l="5080" t="11430" r="13970" b="7620"/>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79.5pt;margin-top:23.05pt;height:0pt;width:153pt;z-index:251662336;mso-width-relative:page;mso-height-relative:page;" filled="f" stroked="t" coordsize="21600,21600" o:gfxdata="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Pto&#10;9+3WAAAACQEAAA8AAAAAAAAAAQAgAAAAIgAAAGRycy9kb3ducmV2LnhtbFBLAQIUABQAAAAIAIdO&#10;4kC3ynQy7AEAALQDAAAOAAAAAAAAAAEAIAAAACUBAABkcnMvZTJvRG9jLnhtbFBLBQYAAAAABgAG&#10;AFkBAACDBQAAAAA=&#10;">
                <v:fill on="f" focussize="0,0"/>
                <v:stroke color="#000000" joinstyle="round"/>
                <v:imagedata o:title=""/>
                <o:lock v:ext="edit" aspectratio="f"/>
              </v:line>
            </w:pict>
          </mc:Fallback>
        </mc:AlternateContent>
      </w:r>
      <w:r>
        <w:rPr>
          <w:rFonts w:hint="eastAsia"/>
          <w:color w:val="000000"/>
          <w:sz w:val="30"/>
        </w:rPr>
        <w:t>专</w:t>
      </w:r>
      <w:r>
        <w:rPr>
          <w:color w:val="000000"/>
          <w:sz w:val="30"/>
        </w:rPr>
        <w:t xml:space="preserve">       </w:t>
      </w:r>
      <w:r>
        <w:rPr>
          <w:rFonts w:hint="eastAsia"/>
          <w:color w:val="000000"/>
          <w:sz w:val="30"/>
        </w:rPr>
        <w:t xml:space="preserve">业：工程管理   </w:t>
      </w:r>
    </w:p>
    <w:p w14:paraId="6713D2E6">
      <w:pPr>
        <w:spacing w:after="312" w:afterLines="100"/>
        <w:ind w:firstLine="1800"/>
        <w:rPr>
          <w:color w:val="000000"/>
          <w:sz w:val="30"/>
          <w:szCs w:val="20"/>
        </w:rPr>
      </w:pPr>
      <w:r>
        <w:rPr>
          <w:rFonts w:hint="eastAsia"/>
          <w:color w:val="000000"/>
          <w:sz w:val="30"/>
        </w:rPr>
        <mc:AlternateContent>
          <mc:Choice Requires="wps">
            <w:drawing>
              <wp:anchor distT="0" distB="0" distL="114300" distR="114300" simplePos="0" relativeHeight="251663360" behindDoc="0" locked="0" layoutInCell="1" allowOverlap="1">
                <wp:simplePos x="0" y="0"/>
                <wp:positionH relativeFrom="column">
                  <wp:posOffset>2315210</wp:posOffset>
                </wp:positionH>
                <wp:positionV relativeFrom="paragraph">
                  <wp:posOffset>304800</wp:posOffset>
                </wp:positionV>
                <wp:extent cx="1943100" cy="0"/>
                <wp:effectExtent l="5080" t="10795" r="13970" b="8255"/>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2.3pt;margin-top:24pt;height:0pt;width:153pt;z-index:251663360;mso-width-relative:page;mso-height-relative:page;" filled="f" stroked="t" coordsize="21600,21600" o:gfxdata="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hMbU&#10;JtUAAAAJAQAADwAAAAAAAAABACAAAAAiAAAAZHJzL2Rvd25yZXYueG1sUEsBAhQAFAAAAAgAh07i&#10;QJ1xqIzsAQAAtAMAAA4AAAAAAAAAAQAgAAAAJAEAAGRycy9lMm9Eb2MueG1sUEsFBgAAAAAGAAYA&#10;WQEAAIIFAAAAAA==&#10;">
                <v:fill on="f" focussize="0,0"/>
                <v:stroke color="#000000" joinstyle="round"/>
                <v:imagedata o:title=""/>
                <o:lock v:ext="edit" aspectratio="f"/>
              </v:line>
            </w:pict>
          </mc:Fallback>
        </mc:AlternateContent>
      </w:r>
      <w:r>
        <w:rPr>
          <w:rFonts w:hint="eastAsia"/>
          <w:color w:val="000000"/>
          <w:sz w:val="30"/>
        </w:rPr>
        <w:t>研</w:t>
      </w:r>
      <w:r>
        <w:rPr>
          <w:color w:val="000000"/>
          <w:sz w:val="30"/>
        </w:rPr>
        <w:t xml:space="preserve"> </w:t>
      </w:r>
      <w:r>
        <w:rPr>
          <w:rFonts w:hint="eastAsia"/>
          <w:color w:val="000000"/>
          <w:sz w:val="30"/>
        </w:rPr>
        <w:t>究</w:t>
      </w:r>
      <w:r>
        <w:rPr>
          <w:color w:val="000000"/>
          <w:sz w:val="30"/>
        </w:rPr>
        <w:t xml:space="preserve"> </w:t>
      </w:r>
      <w:r>
        <w:rPr>
          <w:rFonts w:hint="eastAsia"/>
          <w:color w:val="000000"/>
          <w:sz w:val="30"/>
        </w:rPr>
        <w:t>方</w:t>
      </w:r>
      <w:r>
        <w:rPr>
          <w:color w:val="000000"/>
          <w:sz w:val="30"/>
        </w:rPr>
        <w:t xml:space="preserve"> </w:t>
      </w:r>
      <w:r>
        <w:rPr>
          <w:rFonts w:hint="eastAsia"/>
          <w:color w:val="000000"/>
          <w:sz w:val="30"/>
        </w:rPr>
        <w:t>向：数据挖掘与商务智能</w:t>
      </w:r>
      <w:r>
        <w:rPr>
          <w:color w:val="000000"/>
          <w:sz w:val="30"/>
        </w:rPr>
        <w:t xml:space="preserve"> </w:t>
      </w:r>
      <w:r>
        <w:rPr>
          <w:rFonts w:hint="eastAsia"/>
          <w:color w:val="000000"/>
          <w:sz w:val="30"/>
        </w:rPr>
        <w:t xml:space="preserve"> </w:t>
      </w:r>
    </w:p>
    <w:p w14:paraId="704EE4EC">
      <w:pPr>
        <w:spacing w:after="312" w:afterLines="100"/>
        <w:rPr>
          <w:color w:val="000000"/>
          <w:sz w:val="30"/>
          <w:szCs w:val="20"/>
        </w:rPr>
      </w:pPr>
      <w:r>
        <w:rPr>
          <w:rFonts w:hint="eastAsia"/>
          <w:color w:val="000000"/>
          <w:sz w:val="30"/>
        </w:rPr>
        <mc:AlternateContent>
          <mc:Choice Requires="wps">
            <w:drawing>
              <wp:anchor distT="0" distB="0" distL="114300" distR="114300" simplePos="0" relativeHeight="251664384" behindDoc="0" locked="0" layoutInCell="1" allowOverlap="1">
                <wp:simplePos x="0" y="0"/>
                <wp:positionH relativeFrom="column">
                  <wp:posOffset>2279650</wp:posOffset>
                </wp:positionH>
                <wp:positionV relativeFrom="paragraph">
                  <wp:posOffset>304800</wp:posOffset>
                </wp:positionV>
                <wp:extent cx="1943100" cy="0"/>
                <wp:effectExtent l="5080" t="10160" r="13970" b="8890"/>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79.5pt;margin-top:24pt;height:0pt;width:153pt;z-index:251664384;mso-width-relative:page;mso-height-relative:page;" filled="f" stroked="t" coordsize="21600,21600" o:gfxdata="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6T5&#10;3tYAAAAJAQAADwAAAAAAAAABACAAAAAiAAAAZHJzL2Rvd25yZXYueG1sUEsBAhQAFAAAAAgAh07i&#10;QIhOJ/brAQAAtAMAAA4AAAAAAAAAAQAgAAAAJQEAAGRycy9lMm9Eb2MueG1sUEsFBgAAAAAGAAYA&#10;WQEAAIIFAAAAAA==&#10;">
                <v:fill on="f" focussize="0,0"/>
                <v:stroke color="#000000" joinstyle="round"/>
                <v:imagedata o:title=""/>
                <o:lock v:ext="edit" aspectratio="f"/>
              </v:line>
            </w:pict>
          </mc:Fallback>
        </mc:AlternateContent>
      </w:r>
      <w:r>
        <w:rPr>
          <w:color w:val="000000"/>
          <w:sz w:val="30"/>
        </w:rPr>
        <w:t xml:space="preserve">            </w:t>
      </w:r>
      <w:r>
        <w:rPr>
          <w:rFonts w:hint="eastAsia"/>
          <w:color w:val="000000"/>
          <w:sz w:val="30"/>
        </w:rPr>
        <w:t>指</w:t>
      </w:r>
      <w:r>
        <w:rPr>
          <w:color w:val="000000"/>
          <w:sz w:val="30"/>
        </w:rPr>
        <w:t xml:space="preserve"> </w:t>
      </w:r>
      <w:r>
        <w:rPr>
          <w:rFonts w:hint="eastAsia"/>
          <w:color w:val="000000"/>
          <w:sz w:val="30"/>
        </w:rPr>
        <w:t>导</w:t>
      </w:r>
      <w:r>
        <w:rPr>
          <w:color w:val="000000"/>
          <w:sz w:val="30"/>
        </w:rPr>
        <w:t xml:space="preserve"> </w:t>
      </w:r>
      <w:r>
        <w:rPr>
          <w:rFonts w:hint="eastAsia"/>
          <w:color w:val="000000"/>
          <w:sz w:val="30"/>
        </w:rPr>
        <w:t>教</w:t>
      </w:r>
      <w:r>
        <w:rPr>
          <w:color w:val="000000"/>
          <w:sz w:val="30"/>
        </w:rPr>
        <w:t xml:space="preserve"> </w:t>
      </w:r>
      <w:r>
        <w:rPr>
          <w:rFonts w:hint="eastAsia"/>
          <w:color w:val="000000"/>
          <w:sz w:val="30"/>
        </w:rPr>
        <w:t xml:space="preserve">师： 高 明   </w:t>
      </w:r>
    </w:p>
    <w:p w14:paraId="42BFB5C8">
      <w:pPr>
        <w:spacing w:after="312" w:afterLines="100"/>
        <w:ind w:firstLine="1800" w:firstLineChars="600"/>
        <w:rPr>
          <w:color w:val="000000"/>
          <w:sz w:val="30"/>
        </w:rPr>
      </w:pPr>
      <w:r>
        <w:rPr>
          <w:rFonts w:hint="eastAsia"/>
          <w:color w:val="000000"/>
          <w:sz w:val="30"/>
        </w:rPr>
        <mc:AlternateContent>
          <mc:Choice Requires="wps">
            <w:drawing>
              <wp:anchor distT="0" distB="0" distL="114300" distR="114300" simplePos="0" relativeHeight="251665408" behindDoc="0" locked="0" layoutInCell="1" allowOverlap="1">
                <wp:simplePos x="0" y="0"/>
                <wp:positionH relativeFrom="column">
                  <wp:posOffset>2303780</wp:posOffset>
                </wp:positionH>
                <wp:positionV relativeFrom="paragraph">
                  <wp:posOffset>287020</wp:posOffset>
                </wp:positionV>
                <wp:extent cx="1943100" cy="0"/>
                <wp:effectExtent l="5080" t="9525" r="13970" b="952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x;margin-left:181.4pt;margin-top:22.6pt;height:0pt;width:153pt;z-index:251665408;mso-width-relative:page;mso-height-relative:page;" filled="f" stroked="t" coordsize="21600,21600" o:gfxdata="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bloE+&#10;1gAAAAkBAAAPAAAAAAAAAAEAIAAAACIAAABkcnMvZG93bnJldi54bWxQSwECFAAUAAAACACHTuJA&#10;tw+2eeoBAAC0AwAADgAAAAAAAAABACAAAAAlAQAAZHJzL2Uyb0RvYy54bWxQSwUGAAAAAAYABgBZ&#10;AQAAgQUAAAAA&#10;">
                <v:fill on="f" focussize="0,0"/>
                <v:stroke color="#000000" joinstyle="round"/>
                <v:imagedata o:title=""/>
                <o:lock v:ext="edit" aspectratio="f"/>
              </v:line>
            </w:pict>
          </mc:Fallback>
        </mc:AlternateContent>
      </w:r>
      <w:r>
        <w:rPr>
          <w:rFonts w:hint="eastAsia"/>
          <w:color w:val="000000"/>
          <w:sz w:val="30"/>
          <w:szCs w:val="20"/>
        </w:rPr>
        <w:t xml:space="preserve">填 表 日 期： 2025年9月 </w:t>
      </w:r>
      <w:r>
        <w:rPr>
          <w:rFonts w:hint="eastAsia"/>
          <w:color w:val="000000"/>
          <w:sz w:val="30"/>
        </w:rPr>
        <w:t xml:space="preserve"> </w:t>
      </w:r>
      <w:r>
        <w:rPr>
          <w:rFonts w:hint="eastAsia"/>
          <w:color w:val="000000"/>
          <w:szCs w:val="20"/>
        </w:rPr>
        <w:t xml:space="preserve">                 </w:t>
      </w:r>
    </w:p>
    <w:p w14:paraId="5AF63910">
      <w:pPr>
        <w:spacing w:after="312" w:afterLines="100"/>
        <w:rPr>
          <w:color w:val="000000"/>
          <w:szCs w:val="20"/>
        </w:rPr>
      </w:pPr>
    </w:p>
    <w:p w14:paraId="33E02869">
      <w:pPr>
        <w:spacing w:after="312" w:afterLines="100"/>
        <w:ind w:firstLine="1260" w:firstLineChars="600"/>
        <w:rPr>
          <w:color w:val="000000"/>
          <w:sz w:val="30"/>
        </w:rPr>
      </w:pPr>
      <w:r>
        <w:rPr>
          <w:rFonts w:hint="eastAsia"/>
          <w:color w:val="000000"/>
          <w:szCs w:val="20"/>
        </w:rPr>
        <w:t xml:space="preserve">       </w:t>
      </w:r>
    </w:p>
    <w:p w14:paraId="2BD850BD">
      <w:pPr>
        <w:rPr>
          <w:color w:val="000000"/>
          <w:szCs w:val="20"/>
        </w:rPr>
      </w:pPr>
      <w:r>
        <w:rPr>
          <w:rFonts w:hint="eastAsia"/>
          <w:color w:val="000000"/>
          <w:szCs w:val="20"/>
        </w:rPr>
        <w:t xml:space="preserve">                             </w:t>
      </w:r>
    </w:p>
    <w:tbl>
      <w:tblPr>
        <w:tblStyle w:val="3"/>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97"/>
        <w:gridCol w:w="1443"/>
        <w:gridCol w:w="375"/>
        <w:gridCol w:w="27"/>
        <w:gridCol w:w="1846"/>
        <w:gridCol w:w="92"/>
        <w:gridCol w:w="396"/>
        <w:gridCol w:w="1224"/>
        <w:gridCol w:w="134"/>
        <w:gridCol w:w="1846"/>
      </w:tblGrid>
      <w:tr w14:paraId="63B6037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80" w:hRule="atLeast"/>
          <w:jc w:val="center"/>
        </w:trPr>
        <w:tc>
          <w:tcPr>
            <w:tcW w:w="897" w:type="dxa"/>
            <w:tcBorders>
              <w:top w:val="single" w:color="auto" w:sz="4" w:space="0"/>
              <w:left w:val="single" w:color="auto" w:sz="4" w:space="0"/>
              <w:bottom w:val="single" w:color="auto" w:sz="4" w:space="0"/>
              <w:right w:val="single" w:color="auto" w:sz="4" w:space="0"/>
            </w:tcBorders>
          </w:tcPr>
          <w:p w14:paraId="688663C2">
            <w:pPr>
              <w:jc w:val="center"/>
              <w:rPr>
                <w:rFonts w:ascii="宋体" w:hAnsi="宋体" w:cs="宋体"/>
                <w:color w:val="000000"/>
                <w:szCs w:val="21"/>
              </w:rPr>
            </w:pPr>
          </w:p>
          <w:p w14:paraId="7F0FB631">
            <w:pPr>
              <w:jc w:val="center"/>
              <w:rPr>
                <w:rFonts w:ascii="宋体" w:hAnsi="宋体" w:cs="宋体"/>
                <w:color w:val="000000"/>
                <w:szCs w:val="21"/>
              </w:rPr>
            </w:pPr>
            <w:r>
              <w:rPr>
                <w:rFonts w:hint="eastAsia" w:ascii="宋体" w:hAnsi="宋体" w:cs="宋体"/>
                <w:color w:val="000000"/>
                <w:szCs w:val="21"/>
              </w:rPr>
              <w:t>论文</w:t>
            </w:r>
          </w:p>
          <w:p w14:paraId="4AC66497">
            <w:pPr>
              <w:jc w:val="center"/>
              <w:rPr>
                <w:rFonts w:ascii="宋体" w:hAnsi="宋体" w:cs="宋体"/>
                <w:color w:val="000000"/>
                <w:szCs w:val="21"/>
              </w:rPr>
            </w:pPr>
            <w:r>
              <w:rPr>
                <w:rFonts w:hint="eastAsia" w:ascii="宋体" w:hAnsi="宋体" w:cs="宋体"/>
                <w:color w:val="000000"/>
                <w:szCs w:val="21"/>
              </w:rPr>
              <w:t>题目</w:t>
            </w:r>
          </w:p>
        </w:tc>
        <w:tc>
          <w:tcPr>
            <w:tcW w:w="7383" w:type="dxa"/>
            <w:gridSpan w:val="9"/>
            <w:tcBorders>
              <w:top w:val="single" w:color="auto" w:sz="4" w:space="0"/>
              <w:left w:val="single" w:color="auto" w:sz="4" w:space="0"/>
              <w:bottom w:val="single" w:color="auto" w:sz="4" w:space="0"/>
              <w:right w:val="single" w:color="auto" w:sz="4" w:space="0"/>
            </w:tcBorders>
          </w:tcPr>
          <w:p w14:paraId="1AE1D4CF">
            <w:pPr>
              <w:jc w:val="left"/>
              <w:rPr>
                <w:rFonts w:ascii="宋体" w:hAnsi="宋体" w:cs="宋体"/>
                <w:color w:val="000000"/>
                <w:szCs w:val="21"/>
              </w:rPr>
            </w:pPr>
          </w:p>
          <w:p w14:paraId="58B49BFA">
            <w:pPr>
              <w:widowControl/>
              <w:jc w:val="left"/>
              <w:rPr>
                <w:rFonts w:ascii="宋体" w:hAnsi="宋体" w:cs="宋体"/>
                <w:b/>
                <w:color w:val="000000"/>
                <w:szCs w:val="21"/>
              </w:rPr>
            </w:pPr>
            <w:r>
              <w:rPr>
                <w:rFonts w:hint="eastAsia" w:ascii="宋体" w:hAnsi="宋体" w:cs="宋体"/>
                <w:b/>
                <w:bCs/>
                <w:color w:val="0D0D0D"/>
                <w:kern w:val="0"/>
                <w:szCs w:val="21"/>
                <w:shd w:val="clear" w:color="auto" w:fill="FFFFFF"/>
                <w:lang w:bidi="ar"/>
              </w:rPr>
              <w:t>基于患者需求驱动的透析中心资源实时调度</w:t>
            </w:r>
          </w:p>
        </w:tc>
      </w:tr>
      <w:tr w14:paraId="632A542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564" w:hRule="atLeast"/>
          <w:jc w:val="center"/>
        </w:trPr>
        <w:tc>
          <w:tcPr>
            <w:tcW w:w="897" w:type="dxa"/>
            <w:tcBorders>
              <w:top w:val="single" w:color="auto" w:sz="4" w:space="0"/>
              <w:left w:val="single" w:color="auto" w:sz="4" w:space="0"/>
              <w:bottom w:val="single" w:color="auto" w:sz="4" w:space="0"/>
              <w:right w:val="single" w:color="auto" w:sz="4" w:space="0"/>
            </w:tcBorders>
            <w:vAlign w:val="center"/>
          </w:tcPr>
          <w:p w14:paraId="1E0AABBC">
            <w:pPr>
              <w:jc w:val="center"/>
              <w:rPr>
                <w:rFonts w:ascii="宋体" w:hAnsi="宋体" w:cs="宋体"/>
                <w:color w:val="000000"/>
                <w:szCs w:val="21"/>
              </w:rPr>
            </w:pPr>
            <w:r>
              <w:rPr>
                <w:rFonts w:hint="eastAsia" w:ascii="宋体" w:hAnsi="宋体" w:cs="宋体"/>
                <w:color w:val="000000"/>
                <w:szCs w:val="21"/>
              </w:rPr>
              <w:t xml:space="preserve">  一、</w:t>
            </w:r>
          </w:p>
          <w:p w14:paraId="72C40D95">
            <w:pPr>
              <w:jc w:val="center"/>
              <w:rPr>
                <w:rFonts w:ascii="宋体" w:hAnsi="宋体" w:cs="宋体"/>
                <w:color w:val="000000"/>
                <w:szCs w:val="21"/>
              </w:rPr>
            </w:pPr>
            <w:bookmarkStart w:id="5" w:name="_Toc459882015"/>
            <w:r>
              <w:rPr>
                <w:rFonts w:hint="eastAsia" w:ascii="宋体" w:hAnsi="宋体" w:cs="宋体"/>
                <w:color w:val="000000"/>
                <w:szCs w:val="21"/>
              </w:rPr>
              <w:t>前</w:t>
            </w:r>
            <w:bookmarkEnd w:id="5"/>
          </w:p>
          <w:p w14:paraId="44FF6844">
            <w:pPr>
              <w:jc w:val="center"/>
              <w:rPr>
                <w:rFonts w:ascii="宋体" w:hAnsi="宋体" w:cs="宋体"/>
                <w:color w:val="000000"/>
                <w:szCs w:val="21"/>
              </w:rPr>
            </w:pPr>
            <w:bookmarkStart w:id="6" w:name="_Toc459882016"/>
            <w:r>
              <w:rPr>
                <w:rFonts w:hint="eastAsia" w:ascii="宋体" w:hAnsi="宋体" w:cs="宋体"/>
                <w:color w:val="000000"/>
                <w:szCs w:val="21"/>
              </w:rPr>
              <w:t>期</w:t>
            </w:r>
            <w:bookmarkEnd w:id="6"/>
          </w:p>
          <w:p w14:paraId="3B4C42A8">
            <w:pPr>
              <w:jc w:val="center"/>
              <w:rPr>
                <w:rFonts w:ascii="宋体" w:hAnsi="宋体" w:cs="宋体"/>
                <w:color w:val="000000"/>
                <w:szCs w:val="21"/>
              </w:rPr>
            </w:pPr>
            <w:bookmarkStart w:id="7" w:name="_Toc459882017"/>
            <w:r>
              <w:rPr>
                <w:rFonts w:hint="eastAsia" w:ascii="宋体" w:hAnsi="宋体" w:cs="宋体"/>
                <w:color w:val="000000"/>
                <w:szCs w:val="21"/>
              </w:rPr>
              <w:t>工</w:t>
            </w:r>
            <w:bookmarkEnd w:id="7"/>
          </w:p>
          <w:p w14:paraId="50D09B06">
            <w:pPr>
              <w:jc w:val="center"/>
              <w:rPr>
                <w:rFonts w:ascii="宋体" w:hAnsi="宋体" w:cs="宋体"/>
                <w:color w:val="000000"/>
                <w:szCs w:val="21"/>
              </w:rPr>
            </w:pPr>
            <w:bookmarkStart w:id="8" w:name="_Toc459882018"/>
            <w:r>
              <w:rPr>
                <w:rFonts w:hint="eastAsia" w:ascii="宋体" w:hAnsi="宋体" w:cs="宋体"/>
                <w:color w:val="000000"/>
                <w:szCs w:val="21"/>
              </w:rPr>
              <w:t>作</w:t>
            </w:r>
            <w:bookmarkEnd w:id="8"/>
          </w:p>
          <w:p w14:paraId="64C82D75">
            <w:pPr>
              <w:jc w:val="center"/>
              <w:rPr>
                <w:rFonts w:ascii="宋体" w:hAnsi="宋体" w:cs="宋体"/>
                <w:color w:val="000000"/>
                <w:szCs w:val="21"/>
              </w:rPr>
            </w:pPr>
            <w:bookmarkStart w:id="9" w:name="_Toc459882019"/>
            <w:r>
              <w:rPr>
                <w:rFonts w:hint="eastAsia" w:ascii="宋体" w:hAnsi="宋体" w:cs="宋体"/>
                <w:color w:val="000000"/>
                <w:szCs w:val="21"/>
              </w:rPr>
              <w:t>基</w:t>
            </w:r>
            <w:bookmarkEnd w:id="9"/>
          </w:p>
          <w:p w14:paraId="54D99B8C">
            <w:pPr>
              <w:jc w:val="center"/>
              <w:rPr>
                <w:rFonts w:ascii="宋体" w:hAnsi="宋体" w:cs="宋体"/>
                <w:color w:val="000000"/>
                <w:szCs w:val="21"/>
              </w:rPr>
            </w:pPr>
            <w:bookmarkStart w:id="10" w:name="_Toc459882020"/>
            <w:r>
              <w:rPr>
                <w:rFonts w:hint="eastAsia" w:ascii="宋体" w:hAnsi="宋体" w:cs="宋体"/>
                <w:color w:val="000000"/>
                <w:szCs w:val="21"/>
              </w:rPr>
              <w:t>础</w:t>
            </w:r>
            <w:bookmarkEnd w:id="10"/>
          </w:p>
        </w:tc>
        <w:tc>
          <w:tcPr>
            <w:tcW w:w="7383" w:type="dxa"/>
            <w:gridSpan w:val="9"/>
            <w:tcBorders>
              <w:top w:val="single" w:color="auto" w:sz="4" w:space="0"/>
              <w:left w:val="single" w:color="auto" w:sz="4" w:space="0"/>
              <w:bottom w:val="single" w:color="auto" w:sz="4" w:space="0"/>
              <w:right w:val="single" w:color="auto" w:sz="4" w:space="0"/>
            </w:tcBorders>
          </w:tcPr>
          <w:p w14:paraId="44FBA5DF">
            <w:pPr>
              <w:rPr>
                <w:rFonts w:ascii="宋体" w:hAnsi="宋体" w:cs="宋体"/>
                <w:color w:val="000000"/>
                <w:szCs w:val="21"/>
              </w:rPr>
            </w:pPr>
            <w:bookmarkStart w:id="11" w:name="_Toc459882021"/>
            <w:r>
              <w:rPr>
                <w:rFonts w:hint="eastAsia" w:ascii="宋体" w:hAnsi="宋体" w:cs="宋体"/>
                <w:color w:val="000000"/>
                <w:szCs w:val="21"/>
              </w:rPr>
              <w:t>课程学习及选题开题阶段，在导师指导下从事研究工作总结（不少于500字）</w:t>
            </w:r>
            <w:bookmarkEnd w:id="11"/>
          </w:p>
          <w:p w14:paraId="6A8C9D36">
            <w:pPr>
              <w:rPr>
                <w:rFonts w:ascii="宋体" w:hAnsi="宋体" w:cs="宋体"/>
                <w:color w:val="000000"/>
                <w:szCs w:val="21"/>
              </w:rPr>
            </w:pPr>
            <w:r>
              <w:rPr>
                <w:rFonts w:hint="eastAsia" w:ascii="宋体" w:hAnsi="宋体" w:cs="宋体"/>
                <w:color w:val="000000"/>
                <w:szCs w:val="21"/>
              </w:rPr>
              <w:t>一、学术背景与课程学习</w:t>
            </w:r>
          </w:p>
          <w:p w14:paraId="4743E848">
            <w:pPr>
              <w:ind w:firstLine="420" w:firstLineChars="200"/>
              <w:rPr>
                <w:rFonts w:ascii="宋体" w:hAnsi="宋体" w:cs="宋体"/>
                <w:color w:val="000000"/>
                <w:szCs w:val="21"/>
              </w:rPr>
            </w:pPr>
            <w:r>
              <w:rPr>
                <w:rFonts w:hint="eastAsia" w:ascii="宋体" w:hAnsi="宋体" w:cs="宋体"/>
                <w:color w:val="000000"/>
                <w:szCs w:val="21"/>
              </w:rPr>
              <w:t>在攻读工程管理专业硕士学位的过程中，我在导师的指导下，系统学习了与研究选题相关的理论知识与方法，包括运筹学、数据科学、优化算法、人工智能等课程，为后续的研究工作奠定了坚实的理论基础。</w:t>
            </w:r>
          </w:p>
          <w:p w14:paraId="54FCF6CA">
            <w:pPr>
              <w:rPr>
                <w:rFonts w:ascii="宋体" w:hAnsi="宋体" w:cs="宋体"/>
                <w:color w:val="000000"/>
                <w:szCs w:val="21"/>
              </w:rPr>
            </w:pPr>
            <w:r>
              <w:rPr>
                <w:rFonts w:hint="eastAsia" w:ascii="宋体" w:hAnsi="宋体" w:cs="宋体"/>
                <w:color w:val="000000"/>
                <w:szCs w:val="21"/>
              </w:rPr>
              <w:t>在运筹学与优化理论课程中，我学习了资源调度、线性规划、整数规划等方法，掌握了如何通过数学建模和求解算法优化资源配置问题。这些知识为我设计资源调度优化模型提供了方法论支持。</w:t>
            </w:r>
          </w:p>
          <w:p w14:paraId="7A54D5C1">
            <w:pPr>
              <w:rPr>
                <w:rFonts w:ascii="宋体" w:hAnsi="宋体" w:cs="宋体"/>
                <w:color w:val="000000"/>
                <w:szCs w:val="21"/>
              </w:rPr>
            </w:pPr>
            <w:r>
              <w:rPr>
                <w:rFonts w:hint="eastAsia" w:ascii="宋体" w:hAnsi="宋体" w:cs="宋体"/>
                <w:color w:val="000000"/>
                <w:szCs w:val="21"/>
              </w:rPr>
              <w:t>数据科学与机器学习课程则让我掌握了机器学习算法，包括回归、分类、时间序列分析等，并熟悉了使用Python进行数据处理、特征工程、模型训练与验证的具体方法。此外，我也学习了深度学习与强化学习的基础知识，了解了如何将这些技术应用于复杂的实际问题中。</w:t>
            </w:r>
          </w:p>
          <w:p w14:paraId="1999E89C">
            <w:pPr>
              <w:rPr>
                <w:rFonts w:ascii="宋体" w:hAnsi="宋体" w:cs="宋体"/>
                <w:color w:val="000000"/>
                <w:szCs w:val="21"/>
              </w:rPr>
            </w:pPr>
            <w:r>
              <w:rPr>
                <w:rFonts w:hint="eastAsia" w:ascii="宋体" w:hAnsi="宋体" w:cs="宋体"/>
                <w:color w:val="000000"/>
                <w:szCs w:val="21"/>
              </w:rPr>
              <w:t>在人工智能与大数据分析课程中，我进一步掌握了大数据处理、机器学习、深度学习等技术的结合应用，特别是在医疗数据分析中的具体应用，为我的选题提供了实践指导。</w:t>
            </w:r>
          </w:p>
          <w:p w14:paraId="39349CA2">
            <w:pPr>
              <w:rPr>
                <w:rFonts w:ascii="宋体" w:hAnsi="宋体" w:cs="宋体"/>
                <w:color w:val="000000"/>
                <w:szCs w:val="21"/>
              </w:rPr>
            </w:pPr>
            <w:r>
              <w:rPr>
                <w:rFonts w:hint="eastAsia" w:ascii="宋体" w:hAnsi="宋体" w:cs="宋体"/>
                <w:color w:val="000000"/>
                <w:szCs w:val="21"/>
              </w:rPr>
              <w:t>二、选题开题阶段的准备工作</w:t>
            </w:r>
          </w:p>
          <w:p w14:paraId="4FC7B9E1">
            <w:pPr>
              <w:ind w:firstLine="420" w:firstLineChars="200"/>
              <w:rPr>
                <w:rFonts w:ascii="宋体" w:hAnsi="宋体" w:cs="宋体"/>
                <w:color w:val="000000"/>
                <w:szCs w:val="21"/>
              </w:rPr>
            </w:pPr>
            <w:r>
              <w:rPr>
                <w:rFonts w:hint="eastAsia" w:ascii="宋体" w:hAnsi="宋体" w:cs="宋体"/>
                <w:color w:val="000000"/>
                <w:szCs w:val="21"/>
              </w:rPr>
              <w:t>在选题确定后，我与导师密切沟通，结合透析中心的实际需求与数据特点，提出了“</w:t>
            </w:r>
            <w:r>
              <w:rPr>
                <w:rFonts w:hint="eastAsia" w:ascii="宋体" w:hAnsi="宋体" w:cs="宋体"/>
                <w:color w:val="0D0D0D"/>
                <w:kern w:val="0"/>
                <w:szCs w:val="21"/>
                <w:shd w:val="clear" w:color="auto" w:fill="FFFFFF"/>
                <w:lang w:bidi="ar"/>
              </w:rPr>
              <w:t>基于患者需求驱动的透析中心资源实时调度</w:t>
            </w:r>
            <w:r>
              <w:rPr>
                <w:rFonts w:hint="eastAsia" w:ascii="宋体" w:hAnsi="宋体" w:cs="宋体"/>
                <w:color w:val="000000"/>
                <w:szCs w:val="21"/>
              </w:rPr>
              <w:t>”的研究课题，它包括两部分内容预测部分和优化部分。在选题阶段，我通过文献调研，发现国内外对透析中心的研究主要集中在资源调度、患者管理、设备优化等方面，但大多数研究仍停留在单一资源调度或静态模型的优化层面，缺乏针对透析中心资源配置的综合性智能预测与动态优化的研究。因此，本文将围绕“预测+优化”这一核心，探索如何在保证患者治疗效果与护士工作负荷均衡的前提下，提高透析中心的整体运营效率。</w:t>
            </w:r>
          </w:p>
          <w:p w14:paraId="2FCB6782">
            <w:pPr>
              <w:rPr>
                <w:rFonts w:ascii="宋体" w:hAnsi="宋体" w:cs="宋体"/>
                <w:color w:val="000000"/>
                <w:szCs w:val="21"/>
              </w:rPr>
            </w:pPr>
            <w:r>
              <w:rPr>
                <w:rFonts w:hint="eastAsia" w:ascii="宋体" w:hAnsi="宋体" w:cs="宋体"/>
                <w:color w:val="000000"/>
                <w:szCs w:val="21"/>
              </w:rPr>
              <w:t>在开题阶段，我与导师讨论了研究的方向与方法，导师建议从透析中心的历史数据出发，结合时间序列预测与优化算法，逐步建立一个预测和优化的集成模型。基于此，我确定了研究目标，即：通过机器学习与深度学习方法预测未来一周的透析需求，并基于预测结果，设计资源调度优化模型，从而提升透析中心的资源利用效率和患者满意度。</w:t>
            </w:r>
          </w:p>
          <w:p w14:paraId="2001241D">
            <w:pPr>
              <w:rPr>
                <w:rFonts w:ascii="宋体" w:hAnsi="宋体" w:cs="宋体"/>
                <w:color w:val="000000"/>
                <w:szCs w:val="21"/>
              </w:rPr>
            </w:pPr>
            <w:r>
              <w:rPr>
                <w:rFonts w:hint="eastAsia" w:ascii="宋体" w:hAnsi="宋体" w:cs="宋体"/>
                <w:color w:val="000000"/>
                <w:szCs w:val="21"/>
              </w:rPr>
              <w:t>三、前期研究工作与准备</w:t>
            </w:r>
          </w:p>
          <w:p w14:paraId="0724E7FC">
            <w:pPr>
              <w:ind w:firstLine="420" w:firstLineChars="200"/>
              <w:rPr>
                <w:rFonts w:ascii="宋体" w:hAnsi="宋体" w:cs="宋体"/>
                <w:color w:val="000000"/>
                <w:szCs w:val="21"/>
              </w:rPr>
            </w:pPr>
            <w:r>
              <w:rPr>
                <w:rFonts w:hint="eastAsia" w:ascii="宋体" w:hAnsi="宋体" w:cs="宋体"/>
                <w:color w:val="000000"/>
                <w:szCs w:val="21"/>
              </w:rPr>
              <w:t>在前期工作中，我重点完成了以下几个方面的任务：</w:t>
            </w:r>
          </w:p>
          <w:p w14:paraId="7464D222">
            <w:pPr>
              <w:ind w:firstLine="420" w:firstLineChars="200"/>
              <w:rPr>
                <w:rFonts w:ascii="宋体" w:hAnsi="宋体" w:cs="宋体"/>
                <w:color w:val="000000"/>
                <w:szCs w:val="21"/>
              </w:rPr>
            </w:pPr>
            <w:r>
              <w:rPr>
                <w:rFonts w:hint="eastAsia" w:ascii="宋体" w:hAnsi="宋体" w:cs="宋体"/>
                <w:color w:val="000000"/>
                <w:szCs w:val="21"/>
              </w:rPr>
              <w:t>1、数据收集与预处理：我收集了工作所在的透析中心，获得了2022年10月到2025年4月的历史治疗数据。该数据包含患者基本信息、治疗记录、透析方式、使用器材及护士排班等内容。在此基础上，我完成了数据的清洗与预处理工作，剔除无效数据，填补缺失值，数据可视化分析为后续的特征工程和模型训练做了充分准备。</w:t>
            </w:r>
          </w:p>
          <w:p w14:paraId="53F767C4">
            <w:pPr>
              <w:ind w:firstLine="420" w:firstLineChars="200"/>
              <w:rPr>
                <w:rFonts w:ascii="宋体" w:hAnsi="宋体" w:cs="宋体"/>
                <w:color w:val="000000"/>
                <w:szCs w:val="21"/>
              </w:rPr>
            </w:pPr>
            <w:r>
              <w:rPr>
                <w:rFonts w:hint="eastAsia" w:ascii="宋体" w:hAnsi="宋体" w:cs="宋体"/>
                <w:color w:val="000000"/>
                <w:szCs w:val="21"/>
              </w:rPr>
              <w:t>2、文献调研与方法论准备：在导师的指导下，我深入查阅了国内外关于透析中心资源调度与预测优化的文献，了解了当前研究的热点与挑战。通过调研，我确认了时间序列预测、深度学习和强化学习等方法在类似场景中的有效性，为我的研究设计提供了理论支持和技术路径参考。</w:t>
            </w:r>
          </w:p>
          <w:p w14:paraId="0184A5BF">
            <w:pPr>
              <w:ind w:firstLine="420" w:firstLineChars="200"/>
              <w:rPr>
                <w:rFonts w:ascii="宋体" w:hAnsi="宋体" w:cs="宋体"/>
                <w:color w:val="000000"/>
                <w:szCs w:val="21"/>
              </w:rPr>
            </w:pPr>
            <w:r>
              <w:rPr>
                <w:rFonts w:hint="eastAsia" w:ascii="宋体" w:hAnsi="宋体" w:cs="宋体"/>
                <w:color w:val="000000"/>
                <w:szCs w:val="21"/>
              </w:rPr>
              <w:t>3、初步建模与方法探索：在导师的帮助下，我开始尝试使用LSTM神经网络对透析需求进行预测。此外，我还探索了XGBoost等集成学习方法对透析需求进行预测，为后续的资源调度提供预测支持。</w:t>
            </w:r>
          </w:p>
          <w:p w14:paraId="3629E98F">
            <w:pPr>
              <w:ind w:firstLine="420" w:firstLineChars="200"/>
              <w:rPr>
                <w:rFonts w:ascii="宋体" w:hAnsi="宋体" w:cs="宋体"/>
                <w:color w:val="000000"/>
                <w:szCs w:val="21"/>
              </w:rPr>
            </w:pPr>
            <w:r>
              <w:rPr>
                <w:rFonts w:hint="eastAsia" w:ascii="宋体" w:hAnsi="宋体" w:cs="宋体"/>
                <w:color w:val="000000"/>
                <w:szCs w:val="21"/>
              </w:rPr>
              <w:t>4、资源调度优化模型的设计：在学习了强化学习与运筹优化理论后，我开始设计资源调度优化模型，初步选择了基于线性规划与强化学习（如DQN和PPO算法）的模型框架。结合透析中心的运营特点，我分析了患者需求、设备容量、护士排班等多个变量，开始着手编制相关的调度优化算法。</w:t>
            </w:r>
          </w:p>
          <w:p w14:paraId="4BE7063A">
            <w:pPr>
              <w:rPr>
                <w:rFonts w:ascii="宋体" w:hAnsi="宋体" w:cs="宋体"/>
                <w:color w:val="000000"/>
                <w:szCs w:val="21"/>
              </w:rPr>
            </w:pPr>
            <w:r>
              <w:rPr>
                <w:rFonts w:hint="eastAsia" w:ascii="宋体" w:hAnsi="宋体" w:cs="宋体"/>
                <w:color w:val="000000"/>
                <w:szCs w:val="21"/>
              </w:rPr>
              <w:t>四、研究计划与后续工作</w:t>
            </w:r>
          </w:p>
          <w:p w14:paraId="6AC79AE8">
            <w:pPr>
              <w:ind w:firstLine="420" w:firstLineChars="200"/>
              <w:rPr>
                <w:rFonts w:ascii="宋体" w:hAnsi="宋体" w:cs="宋体"/>
                <w:color w:val="000000"/>
                <w:szCs w:val="21"/>
              </w:rPr>
            </w:pPr>
            <w:r>
              <w:rPr>
                <w:rFonts w:hint="eastAsia" w:ascii="宋体" w:hAnsi="宋体" w:cs="宋体"/>
                <w:color w:val="000000"/>
                <w:szCs w:val="21"/>
              </w:rPr>
              <w:t>在完成上述前期准备后，下一步我将深入进行以下研究工作：</w:t>
            </w:r>
          </w:p>
          <w:p w14:paraId="760D2F50">
            <w:pPr>
              <w:rPr>
                <w:rFonts w:ascii="宋体" w:hAnsi="宋体" w:cs="宋体"/>
                <w:color w:val="000000"/>
                <w:szCs w:val="21"/>
              </w:rPr>
            </w:pPr>
            <w:r>
              <w:rPr>
                <w:rFonts w:hint="eastAsia" w:ascii="宋体" w:hAnsi="宋体" w:cs="宋体"/>
                <w:color w:val="000000"/>
                <w:szCs w:val="21"/>
              </w:rPr>
              <w:t>完善需求预测模型：继续优化现有的时间序列预测模型，尝试顶刊中提到的新技术模型等比如Mamba，对透析中心的各类透析方式及器材的</w:t>
            </w:r>
            <w:bookmarkStart w:id="13" w:name="_GoBack"/>
            <w:bookmarkEnd w:id="13"/>
            <w:r>
              <w:rPr>
                <w:rFonts w:hint="eastAsia" w:ascii="宋体" w:hAnsi="宋体" w:cs="宋体"/>
                <w:color w:val="000000"/>
                <w:szCs w:val="21"/>
              </w:rPr>
              <w:t>需求进行精确预测，并生成带有不确定性的预测结果，为资源调度提供更为精准的数据支持。</w:t>
            </w:r>
          </w:p>
          <w:p w14:paraId="50C1B734">
            <w:pPr>
              <w:rPr>
                <w:rFonts w:ascii="宋体" w:hAnsi="宋体" w:cs="宋体"/>
                <w:color w:val="000000"/>
                <w:szCs w:val="21"/>
              </w:rPr>
            </w:pPr>
            <w:r>
              <w:rPr>
                <w:rFonts w:hint="eastAsia" w:ascii="宋体" w:hAnsi="宋体" w:cs="宋体"/>
                <w:color w:val="000000"/>
                <w:szCs w:val="21"/>
              </w:rPr>
              <w:t>资源调度优化模型：在现有的优化框架基础上，进一步完善调度模型，结合历史数据进行实验，验证不同调度策略的优劣，并通过强化学习算法动态优化调度决策，以达到资源最优配置的目标。</w:t>
            </w:r>
          </w:p>
          <w:p w14:paraId="0833F733">
            <w:pPr>
              <w:rPr>
                <w:rFonts w:ascii="宋体" w:hAnsi="宋体" w:cs="宋体"/>
                <w:color w:val="000000"/>
                <w:szCs w:val="21"/>
              </w:rPr>
            </w:pPr>
            <w:r>
              <w:rPr>
                <w:rFonts w:hint="eastAsia" w:ascii="宋体" w:hAnsi="宋体" w:cs="宋体"/>
                <w:color w:val="000000"/>
                <w:szCs w:val="21"/>
              </w:rPr>
              <w:t>实验与实证分析：通过实际数据进行模型验证与评估，评估模型的准确性与调度效果，提供管理优化建议。</w:t>
            </w:r>
          </w:p>
          <w:p w14:paraId="3E0ED288">
            <w:pPr>
              <w:rPr>
                <w:rFonts w:ascii="宋体" w:hAnsi="宋体" w:cs="宋体"/>
                <w:color w:val="000000"/>
                <w:szCs w:val="21"/>
              </w:rPr>
            </w:pPr>
            <w:r>
              <w:rPr>
                <w:rFonts w:hint="eastAsia" w:ascii="宋体" w:hAnsi="宋体" w:cs="宋体"/>
                <w:color w:val="000000"/>
                <w:szCs w:val="21"/>
              </w:rPr>
              <w:t>通过上述工作，我计划在导师的指导下，逐步实现一个基于数据驱动的透析中心资源调度模型，为医院提供一套切实可行的优化方案。</w:t>
            </w:r>
          </w:p>
          <w:p w14:paraId="562EB321">
            <w:pPr>
              <w:rPr>
                <w:rFonts w:ascii="宋体" w:hAnsi="宋体" w:cs="宋体"/>
                <w:color w:val="000000"/>
                <w:szCs w:val="21"/>
              </w:rPr>
            </w:pPr>
          </w:p>
        </w:tc>
      </w:tr>
      <w:tr w14:paraId="6D54E1F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897" w:type="dxa"/>
            <w:tcBorders>
              <w:top w:val="single" w:color="auto" w:sz="4" w:space="0"/>
              <w:left w:val="single" w:color="auto" w:sz="4" w:space="0"/>
              <w:bottom w:val="single" w:color="auto" w:sz="4" w:space="0"/>
              <w:right w:val="single" w:color="auto" w:sz="4" w:space="0"/>
            </w:tcBorders>
          </w:tcPr>
          <w:p w14:paraId="75C24F5E">
            <w:pPr>
              <w:jc w:val="center"/>
              <w:rPr>
                <w:rFonts w:ascii="宋体" w:hAnsi="宋体" w:cs="宋体"/>
                <w:color w:val="000000"/>
                <w:szCs w:val="21"/>
              </w:rPr>
            </w:pPr>
            <w:r>
              <w:rPr>
                <w:rFonts w:hint="eastAsia" w:ascii="宋体" w:hAnsi="宋体" w:cs="宋体"/>
                <w:color w:val="000000"/>
                <w:szCs w:val="21"/>
              </w:rPr>
              <w:t xml:space="preserve"> 二、</w:t>
            </w:r>
          </w:p>
          <w:p w14:paraId="7A091D00">
            <w:pPr>
              <w:jc w:val="center"/>
              <w:rPr>
                <w:rFonts w:ascii="宋体" w:hAnsi="宋体" w:cs="宋体"/>
                <w:color w:val="000000"/>
                <w:szCs w:val="21"/>
              </w:rPr>
            </w:pPr>
          </w:p>
          <w:p w14:paraId="1BD73ADE">
            <w:pPr>
              <w:jc w:val="center"/>
              <w:rPr>
                <w:rFonts w:ascii="宋体" w:hAnsi="宋体" w:cs="宋体"/>
                <w:color w:val="000000"/>
                <w:szCs w:val="21"/>
              </w:rPr>
            </w:pPr>
            <w:r>
              <w:rPr>
                <w:rFonts w:hint="eastAsia" w:ascii="宋体" w:hAnsi="宋体" w:cs="宋体"/>
                <w:color w:val="000000"/>
                <w:szCs w:val="21"/>
              </w:rPr>
              <w:t>论</w:t>
            </w:r>
          </w:p>
          <w:p w14:paraId="684859D2">
            <w:pPr>
              <w:jc w:val="center"/>
              <w:rPr>
                <w:rFonts w:ascii="宋体" w:hAnsi="宋体" w:cs="宋体"/>
                <w:color w:val="000000"/>
                <w:szCs w:val="21"/>
              </w:rPr>
            </w:pPr>
            <w:r>
              <w:rPr>
                <w:rFonts w:hint="eastAsia" w:ascii="宋体" w:hAnsi="宋体" w:cs="宋体"/>
                <w:color w:val="000000"/>
                <w:szCs w:val="21"/>
              </w:rPr>
              <w:t>文</w:t>
            </w:r>
          </w:p>
          <w:p w14:paraId="2E7DBF78">
            <w:pPr>
              <w:jc w:val="center"/>
              <w:rPr>
                <w:rFonts w:ascii="宋体" w:hAnsi="宋体" w:cs="宋体"/>
                <w:color w:val="000000"/>
                <w:szCs w:val="21"/>
              </w:rPr>
            </w:pPr>
            <w:r>
              <w:rPr>
                <w:rFonts w:hint="eastAsia" w:ascii="宋体" w:hAnsi="宋体" w:cs="宋体"/>
                <w:color w:val="000000"/>
                <w:szCs w:val="21"/>
              </w:rPr>
              <w:t>选</w:t>
            </w:r>
          </w:p>
          <w:p w14:paraId="1CBF1F39">
            <w:pPr>
              <w:jc w:val="center"/>
              <w:rPr>
                <w:rFonts w:ascii="宋体" w:hAnsi="宋体" w:cs="宋体"/>
                <w:color w:val="000000"/>
                <w:szCs w:val="21"/>
              </w:rPr>
            </w:pPr>
            <w:r>
              <w:rPr>
                <w:rFonts w:hint="eastAsia" w:ascii="宋体" w:hAnsi="宋体" w:cs="宋体"/>
                <w:color w:val="000000"/>
                <w:szCs w:val="21"/>
              </w:rPr>
              <w:t>题</w:t>
            </w:r>
          </w:p>
          <w:p w14:paraId="4ADF587D">
            <w:pPr>
              <w:jc w:val="center"/>
              <w:rPr>
                <w:rFonts w:ascii="宋体" w:hAnsi="宋体" w:cs="宋体"/>
                <w:color w:val="000000"/>
                <w:szCs w:val="21"/>
              </w:rPr>
            </w:pPr>
            <w:r>
              <w:rPr>
                <w:rFonts w:hint="eastAsia" w:ascii="宋体" w:hAnsi="宋体" w:cs="宋体"/>
                <w:color w:val="000000"/>
                <w:szCs w:val="21"/>
              </w:rPr>
              <w:t>理</w:t>
            </w:r>
          </w:p>
          <w:p w14:paraId="7D5F6B9A">
            <w:pPr>
              <w:jc w:val="center"/>
              <w:rPr>
                <w:rFonts w:ascii="宋体" w:hAnsi="宋体" w:cs="宋体"/>
                <w:color w:val="000000"/>
                <w:szCs w:val="21"/>
              </w:rPr>
            </w:pPr>
            <w:r>
              <w:rPr>
                <w:rFonts w:hint="eastAsia" w:ascii="宋体" w:hAnsi="宋体" w:cs="宋体"/>
                <w:color w:val="000000"/>
                <w:szCs w:val="21"/>
              </w:rPr>
              <w:t>论</w:t>
            </w:r>
          </w:p>
          <w:p w14:paraId="2EE187AA">
            <w:pPr>
              <w:jc w:val="center"/>
              <w:rPr>
                <w:rFonts w:ascii="宋体" w:hAnsi="宋体" w:cs="宋体"/>
                <w:color w:val="000000"/>
                <w:szCs w:val="21"/>
              </w:rPr>
            </w:pPr>
            <w:r>
              <w:rPr>
                <w:rFonts w:hint="eastAsia" w:ascii="宋体" w:hAnsi="宋体" w:cs="宋体"/>
                <w:color w:val="000000"/>
                <w:szCs w:val="21"/>
              </w:rPr>
              <w:t>意</w:t>
            </w:r>
          </w:p>
          <w:p w14:paraId="4DBC16EE">
            <w:pPr>
              <w:jc w:val="center"/>
              <w:rPr>
                <w:rFonts w:ascii="宋体" w:hAnsi="宋体" w:cs="宋体"/>
                <w:color w:val="000000"/>
                <w:szCs w:val="21"/>
              </w:rPr>
            </w:pPr>
            <w:r>
              <w:rPr>
                <w:rFonts w:hint="eastAsia" w:ascii="宋体" w:hAnsi="宋体" w:cs="宋体"/>
                <w:color w:val="000000"/>
                <w:szCs w:val="21"/>
              </w:rPr>
              <w:t>义</w:t>
            </w:r>
          </w:p>
          <w:p w14:paraId="5293985D">
            <w:pPr>
              <w:jc w:val="center"/>
              <w:rPr>
                <w:rFonts w:ascii="宋体" w:hAnsi="宋体" w:cs="宋体"/>
                <w:color w:val="000000"/>
                <w:szCs w:val="21"/>
              </w:rPr>
            </w:pPr>
            <w:r>
              <w:rPr>
                <w:rFonts w:hint="eastAsia" w:ascii="宋体" w:hAnsi="宋体" w:cs="宋体"/>
                <w:color w:val="000000"/>
                <w:szCs w:val="21"/>
              </w:rPr>
              <w:t>、</w:t>
            </w:r>
          </w:p>
          <w:p w14:paraId="7515470C">
            <w:pPr>
              <w:jc w:val="center"/>
              <w:rPr>
                <w:rFonts w:ascii="宋体" w:hAnsi="宋体" w:cs="宋体"/>
                <w:color w:val="000000"/>
                <w:szCs w:val="21"/>
              </w:rPr>
            </w:pPr>
            <w:r>
              <w:rPr>
                <w:rFonts w:hint="eastAsia" w:ascii="宋体" w:hAnsi="宋体" w:cs="宋体"/>
                <w:color w:val="000000"/>
                <w:szCs w:val="21"/>
              </w:rPr>
              <w:t>实</w:t>
            </w:r>
          </w:p>
          <w:p w14:paraId="5296C0B9">
            <w:pPr>
              <w:jc w:val="center"/>
              <w:rPr>
                <w:rFonts w:ascii="宋体" w:hAnsi="宋体" w:cs="宋体"/>
                <w:color w:val="000000"/>
                <w:szCs w:val="21"/>
              </w:rPr>
            </w:pPr>
            <w:r>
              <w:rPr>
                <w:rFonts w:hint="eastAsia" w:ascii="宋体" w:hAnsi="宋体" w:cs="宋体"/>
                <w:color w:val="000000"/>
                <w:szCs w:val="21"/>
              </w:rPr>
              <w:t>用</w:t>
            </w:r>
          </w:p>
          <w:p w14:paraId="1566090E">
            <w:pPr>
              <w:jc w:val="center"/>
              <w:rPr>
                <w:rFonts w:ascii="宋体" w:hAnsi="宋体" w:cs="宋体"/>
                <w:color w:val="000000"/>
                <w:szCs w:val="21"/>
              </w:rPr>
            </w:pPr>
            <w:r>
              <w:rPr>
                <w:rFonts w:hint="eastAsia" w:ascii="宋体" w:hAnsi="宋体" w:cs="宋体"/>
                <w:color w:val="000000"/>
                <w:szCs w:val="21"/>
              </w:rPr>
              <w:t>价</w:t>
            </w:r>
          </w:p>
          <w:p w14:paraId="70B7EB80">
            <w:pPr>
              <w:jc w:val="center"/>
              <w:rPr>
                <w:rFonts w:ascii="宋体" w:hAnsi="宋体" w:cs="宋体"/>
                <w:color w:val="000000"/>
                <w:szCs w:val="21"/>
              </w:rPr>
            </w:pPr>
            <w:r>
              <w:rPr>
                <w:rFonts w:hint="eastAsia" w:ascii="宋体" w:hAnsi="宋体" w:cs="宋体"/>
                <w:color w:val="000000"/>
                <w:szCs w:val="21"/>
              </w:rPr>
              <w:t>值</w:t>
            </w:r>
          </w:p>
        </w:tc>
        <w:tc>
          <w:tcPr>
            <w:tcW w:w="7383" w:type="dxa"/>
            <w:gridSpan w:val="9"/>
            <w:tcBorders>
              <w:top w:val="single" w:color="auto" w:sz="4" w:space="0"/>
              <w:left w:val="single" w:color="auto" w:sz="4" w:space="0"/>
              <w:bottom w:val="single" w:color="auto" w:sz="4" w:space="0"/>
              <w:right w:val="single" w:color="auto" w:sz="4" w:space="0"/>
            </w:tcBorders>
          </w:tcPr>
          <w:p w14:paraId="664E711B">
            <w:pPr>
              <w:rPr>
                <w:rFonts w:ascii="宋体" w:hAnsi="宋体" w:cs="宋体"/>
                <w:color w:val="000000"/>
                <w:szCs w:val="21"/>
              </w:rPr>
            </w:pPr>
            <w:r>
              <w:rPr>
                <w:rFonts w:hint="eastAsia" w:ascii="宋体" w:hAnsi="宋体" w:cs="宋体"/>
                <w:color w:val="000000"/>
                <w:szCs w:val="21"/>
              </w:rPr>
              <w:t>2.1 研究意义与价值</w:t>
            </w:r>
          </w:p>
          <w:p w14:paraId="60D4CC1E">
            <w:pPr>
              <w:ind w:firstLine="420" w:firstLineChars="200"/>
              <w:rPr>
                <w:rFonts w:ascii="宋体" w:hAnsi="宋体" w:cs="宋体"/>
                <w:color w:val="000000"/>
                <w:szCs w:val="21"/>
              </w:rPr>
            </w:pPr>
            <w:r>
              <w:rPr>
                <w:rFonts w:hint="eastAsia" w:ascii="宋体" w:hAnsi="宋体" w:cs="宋体"/>
                <w:color w:val="000000"/>
                <w:szCs w:val="21"/>
              </w:rPr>
              <w:t xml:space="preserve">随着我国慢性肾脏疾病患者数量的逐年增加，血液透析已成为维持患者生命质量的重要治疗手段。然而，透析中心在实际运营中普遍面临患者需求波动大、资源利用效率低、医护人员排班压力大等问题。一方面，患者透析需求具有周期性、突发性和多因素驱动特征，导致需求预测存在较大不确定性；另一方面，透析中心在有限设备和人力资源条件下，需要同时满足医疗安全、护理均衡与患者满意度等多重要求。如何通过科学方法实现精准的需求预测与高效的资源调度，成为提升透析中心管理水平和医疗服务质量的核心问题。 </w:t>
            </w:r>
          </w:p>
          <w:p w14:paraId="400BEBA4">
            <w:pPr>
              <w:ind w:firstLine="420" w:firstLineChars="200"/>
              <w:rPr>
                <w:rFonts w:ascii="宋体" w:hAnsi="宋体" w:cs="宋体"/>
                <w:color w:val="000000"/>
                <w:szCs w:val="21"/>
              </w:rPr>
            </w:pPr>
            <w:r>
              <w:rPr>
                <w:rFonts w:hint="eastAsia" w:ascii="宋体" w:hAnsi="宋体" w:cs="宋体"/>
                <w:color w:val="000000"/>
                <w:szCs w:val="21"/>
              </w:rPr>
              <w:t>为了提高病人的救治能力，现有研究主要集中在两个方面：其一是透析需求预测，学界与业界已广泛采用时间序列分析、机器学习和深度学习方法来提升预测精度，但在多源信息融合与不确定性建模方面仍存在不足；其二是医疗资源调度优化，运筹学方法与智能优化算法已被应用于护士排班、设备调度等问题，但往往难以同时兼顾多目标、多约束条件。在透析中心场景下，关于“需求预测—资源调度”一体化研究仍然有限，缺乏能够动态适应需求变化、并兼顾业务规则与实际可行性的综合性解决方案。</w:t>
            </w:r>
          </w:p>
          <w:p w14:paraId="65555774">
            <w:pPr>
              <w:rPr>
                <w:rFonts w:ascii="宋体" w:hAnsi="宋体" w:cs="宋体"/>
                <w:color w:val="000000"/>
                <w:szCs w:val="21"/>
              </w:rPr>
            </w:pPr>
            <w:r>
              <w:rPr>
                <w:rFonts w:hint="eastAsia" w:ascii="宋体" w:hAnsi="宋体" w:cs="宋体"/>
                <w:color w:val="000000"/>
                <w:szCs w:val="21"/>
              </w:rPr>
              <w:t>基于上述背景与现状，本研究拟重点解决以下问题：</w:t>
            </w:r>
          </w:p>
          <w:p w14:paraId="59DA56EE">
            <w:pPr>
              <w:rPr>
                <w:rFonts w:ascii="宋体" w:hAnsi="宋体" w:cs="宋体"/>
                <w:color w:val="000000"/>
                <w:szCs w:val="21"/>
              </w:rPr>
            </w:pPr>
            <w:r>
              <w:rPr>
                <w:rFonts w:hint="eastAsia" w:ascii="宋体" w:hAnsi="宋体" w:cs="宋体"/>
                <w:color w:val="000000"/>
                <w:szCs w:val="21"/>
              </w:rPr>
              <w:t>（1）如何融合历史治疗数据、患者特征与时间规律，实现对透析需求的多尺度预测，并有效刻画需求的不确定性？</w:t>
            </w:r>
          </w:p>
          <w:p w14:paraId="402FFBEB">
            <w:pPr>
              <w:rPr>
                <w:rFonts w:ascii="宋体" w:hAnsi="宋体" w:cs="宋体"/>
                <w:color w:val="000000"/>
                <w:szCs w:val="21"/>
              </w:rPr>
            </w:pPr>
            <w:r>
              <w:rPr>
                <w:rFonts w:hint="eastAsia" w:ascii="宋体" w:hAnsi="宋体" w:cs="宋体"/>
                <w:color w:val="000000"/>
                <w:szCs w:val="21"/>
              </w:rPr>
              <w:t>（2）在多目标、多约束条件下，如何建立既能优化资源利用效率，又能兼顾患者满意度与护理均衡的调度模型？</w:t>
            </w:r>
          </w:p>
          <w:p w14:paraId="24A190C2">
            <w:pPr>
              <w:rPr>
                <w:rFonts w:ascii="宋体" w:hAnsi="宋体" w:cs="宋体"/>
                <w:color w:val="000000"/>
                <w:szCs w:val="21"/>
              </w:rPr>
            </w:pPr>
            <w:r>
              <w:rPr>
                <w:rFonts w:hint="eastAsia" w:ascii="宋体" w:hAnsi="宋体" w:cs="宋体"/>
                <w:color w:val="000000"/>
                <w:szCs w:val="21"/>
              </w:rPr>
              <w:t>本研究提出了一种面向透析中心的“预测—优化一体化管理方法”，它包括透析需求预测模块和资源调度优化模块。前者基于多源数据与深度学习方法，构建多尺度、高精度且具备不确定性表征的需求预测模型；后者结合运筹学与强化学习技术，建立多目标、多约束条件下的调度优化模型，并嵌入透析中心的实际业务规则。进一步地，本研究将两个模块集成于一个闭环系统中，实现“预测驱动优化、优化结果反馈预测”的动态管理机制，以全面提升透析中心的资源利用率、运营效率与服务质量，并为其他医疗场景的资源管理提供可推广的范式。</w:t>
            </w:r>
          </w:p>
          <w:p w14:paraId="5E9A355D">
            <w:pPr>
              <w:rPr>
                <w:rFonts w:ascii="宋体" w:hAnsi="宋体" w:cs="宋体"/>
                <w:color w:val="000000"/>
                <w:szCs w:val="21"/>
              </w:rPr>
            </w:pPr>
          </w:p>
        </w:tc>
      </w:tr>
      <w:tr w14:paraId="37E2E3A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jc w:val="center"/>
        </w:trPr>
        <w:tc>
          <w:tcPr>
            <w:tcW w:w="897" w:type="dxa"/>
            <w:tcBorders>
              <w:top w:val="single" w:color="auto" w:sz="4" w:space="0"/>
              <w:left w:val="single" w:color="auto" w:sz="4" w:space="0"/>
              <w:bottom w:val="single" w:color="auto" w:sz="4" w:space="0"/>
              <w:right w:val="single" w:color="auto" w:sz="4" w:space="0"/>
            </w:tcBorders>
          </w:tcPr>
          <w:p w14:paraId="6BBDCDE7">
            <w:pPr>
              <w:jc w:val="center"/>
              <w:rPr>
                <w:rFonts w:ascii="宋体" w:hAnsi="宋体" w:cs="宋体"/>
                <w:color w:val="000000"/>
                <w:szCs w:val="21"/>
              </w:rPr>
            </w:pPr>
          </w:p>
          <w:p w14:paraId="2A7727BC">
            <w:pPr>
              <w:jc w:val="center"/>
              <w:rPr>
                <w:rFonts w:ascii="宋体" w:hAnsi="宋体" w:cs="宋体"/>
                <w:color w:val="000000"/>
                <w:szCs w:val="21"/>
              </w:rPr>
            </w:pPr>
          </w:p>
          <w:p w14:paraId="698FDFF7">
            <w:pPr>
              <w:jc w:val="center"/>
              <w:rPr>
                <w:rFonts w:ascii="宋体" w:hAnsi="宋体" w:cs="宋体"/>
                <w:color w:val="000000"/>
                <w:szCs w:val="21"/>
              </w:rPr>
            </w:pPr>
            <w:r>
              <w:rPr>
                <w:rFonts w:hint="eastAsia" w:ascii="宋体" w:hAnsi="宋体" w:cs="宋体"/>
                <w:color w:val="000000"/>
                <w:szCs w:val="21"/>
              </w:rPr>
              <w:t xml:space="preserve"> 三、</w:t>
            </w:r>
          </w:p>
          <w:p w14:paraId="27A6BB0E">
            <w:pPr>
              <w:rPr>
                <w:rFonts w:ascii="宋体" w:hAnsi="宋体" w:cs="宋体"/>
                <w:color w:val="000000"/>
                <w:szCs w:val="21"/>
              </w:rPr>
            </w:pPr>
          </w:p>
          <w:p w14:paraId="0AF6029F">
            <w:pPr>
              <w:jc w:val="center"/>
              <w:rPr>
                <w:rFonts w:ascii="宋体" w:hAnsi="宋体" w:cs="宋体"/>
                <w:color w:val="000000"/>
                <w:szCs w:val="21"/>
              </w:rPr>
            </w:pPr>
            <w:r>
              <w:rPr>
                <w:rFonts w:hint="eastAsia" w:ascii="宋体" w:hAnsi="宋体" w:cs="宋体"/>
                <w:color w:val="000000"/>
                <w:szCs w:val="21"/>
              </w:rPr>
              <w:t>国</w:t>
            </w:r>
          </w:p>
          <w:p w14:paraId="49B1745D">
            <w:pPr>
              <w:jc w:val="center"/>
              <w:rPr>
                <w:rFonts w:ascii="宋体" w:hAnsi="宋体" w:cs="宋体"/>
                <w:color w:val="000000"/>
                <w:szCs w:val="21"/>
              </w:rPr>
            </w:pPr>
            <w:r>
              <w:rPr>
                <w:rFonts w:hint="eastAsia" w:ascii="宋体" w:hAnsi="宋体" w:cs="宋体"/>
                <w:color w:val="000000"/>
                <w:szCs w:val="21"/>
              </w:rPr>
              <w:t>内</w:t>
            </w:r>
          </w:p>
          <w:p w14:paraId="0356F974">
            <w:pPr>
              <w:jc w:val="center"/>
              <w:rPr>
                <w:rFonts w:ascii="宋体" w:hAnsi="宋体" w:cs="宋体"/>
                <w:color w:val="000000"/>
                <w:szCs w:val="21"/>
              </w:rPr>
            </w:pPr>
            <w:r>
              <w:rPr>
                <w:rFonts w:hint="eastAsia" w:ascii="宋体" w:hAnsi="宋体" w:cs="宋体"/>
                <w:color w:val="000000"/>
                <w:szCs w:val="21"/>
              </w:rPr>
              <w:t>外</w:t>
            </w:r>
          </w:p>
          <w:p w14:paraId="7983803D">
            <w:pPr>
              <w:jc w:val="center"/>
              <w:rPr>
                <w:rFonts w:ascii="宋体" w:hAnsi="宋体" w:cs="宋体"/>
                <w:color w:val="000000"/>
                <w:szCs w:val="21"/>
              </w:rPr>
            </w:pPr>
            <w:r>
              <w:rPr>
                <w:rFonts w:hint="eastAsia" w:ascii="宋体" w:hAnsi="宋体" w:cs="宋体"/>
                <w:color w:val="000000"/>
                <w:szCs w:val="21"/>
              </w:rPr>
              <w:t>研</w:t>
            </w:r>
          </w:p>
          <w:p w14:paraId="15B08E7E">
            <w:pPr>
              <w:jc w:val="center"/>
              <w:rPr>
                <w:rFonts w:ascii="宋体" w:hAnsi="宋体" w:cs="宋体"/>
                <w:color w:val="000000"/>
                <w:szCs w:val="21"/>
              </w:rPr>
            </w:pPr>
            <w:r>
              <w:rPr>
                <w:rFonts w:hint="eastAsia" w:ascii="宋体" w:hAnsi="宋体" w:cs="宋体"/>
                <w:color w:val="000000"/>
                <w:szCs w:val="21"/>
              </w:rPr>
              <w:t>究</w:t>
            </w:r>
          </w:p>
          <w:p w14:paraId="2AD15640">
            <w:pPr>
              <w:jc w:val="center"/>
              <w:rPr>
                <w:rFonts w:ascii="宋体" w:hAnsi="宋体" w:cs="宋体"/>
                <w:color w:val="000000"/>
                <w:szCs w:val="21"/>
              </w:rPr>
            </w:pPr>
            <w:r>
              <w:rPr>
                <w:rFonts w:hint="eastAsia" w:ascii="宋体" w:hAnsi="宋体" w:cs="宋体"/>
                <w:color w:val="000000"/>
                <w:szCs w:val="21"/>
              </w:rPr>
              <w:t>现</w:t>
            </w:r>
          </w:p>
          <w:p w14:paraId="208E4C2C">
            <w:pPr>
              <w:jc w:val="center"/>
              <w:rPr>
                <w:rFonts w:ascii="宋体" w:hAnsi="宋体" w:cs="宋体"/>
                <w:color w:val="000000"/>
                <w:szCs w:val="21"/>
              </w:rPr>
            </w:pPr>
            <w:r>
              <w:rPr>
                <w:rFonts w:hint="eastAsia" w:ascii="宋体" w:hAnsi="宋体" w:cs="宋体"/>
                <w:color w:val="000000"/>
                <w:szCs w:val="21"/>
              </w:rPr>
              <w:t>状</w:t>
            </w:r>
          </w:p>
          <w:p w14:paraId="73FBC023">
            <w:pPr>
              <w:jc w:val="center"/>
              <w:rPr>
                <w:rFonts w:ascii="宋体" w:hAnsi="宋体" w:cs="宋体"/>
                <w:color w:val="000000"/>
                <w:szCs w:val="21"/>
              </w:rPr>
            </w:pPr>
            <w:r>
              <w:rPr>
                <w:rFonts w:hint="eastAsia" w:ascii="宋体" w:hAnsi="宋体" w:cs="宋体"/>
                <w:color w:val="000000"/>
                <w:szCs w:val="21"/>
              </w:rPr>
              <w:t>与</w:t>
            </w:r>
          </w:p>
          <w:p w14:paraId="11CEDF4B">
            <w:pPr>
              <w:jc w:val="center"/>
              <w:rPr>
                <w:rFonts w:ascii="宋体" w:hAnsi="宋体" w:cs="宋体"/>
                <w:color w:val="000000"/>
                <w:szCs w:val="21"/>
              </w:rPr>
            </w:pPr>
            <w:r>
              <w:rPr>
                <w:rFonts w:hint="eastAsia" w:ascii="宋体" w:hAnsi="宋体" w:cs="宋体"/>
                <w:color w:val="000000"/>
                <w:szCs w:val="21"/>
              </w:rPr>
              <w:t>发</w:t>
            </w:r>
          </w:p>
          <w:p w14:paraId="487EADF9">
            <w:pPr>
              <w:jc w:val="center"/>
              <w:rPr>
                <w:rFonts w:ascii="宋体" w:hAnsi="宋体" w:cs="宋体"/>
                <w:color w:val="000000"/>
                <w:szCs w:val="21"/>
              </w:rPr>
            </w:pPr>
            <w:r>
              <w:rPr>
                <w:rFonts w:hint="eastAsia" w:ascii="宋体" w:hAnsi="宋体" w:cs="宋体"/>
                <w:color w:val="000000"/>
                <w:szCs w:val="21"/>
              </w:rPr>
              <w:t>展</w:t>
            </w:r>
          </w:p>
          <w:p w14:paraId="282E6AE5">
            <w:pPr>
              <w:jc w:val="center"/>
              <w:rPr>
                <w:rFonts w:ascii="宋体" w:hAnsi="宋体" w:cs="宋体"/>
                <w:color w:val="000000"/>
                <w:szCs w:val="21"/>
              </w:rPr>
            </w:pPr>
            <w:r>
              <w:rPr>
                <w:rFonts w:hint="eastAsia" w:ascii="宋体" w:hAnsi="宋体" w:cs="宋体"/>
                <w:color w:val="000000"/>
                <w:szCs w:val="21"/>
              </w:rPr>
              <w:t>趋</w:t>
            </w:r>
          </w:p>
          <w:p w14:paraId="17FE457F">
            <w:pPr>
              <w:jc w:val="center"/>
              <w:rPr>
                <w:rFonts w:ascii="宋体" w:hAnsi="宋体" w:cs="宋体"/>
                <w:color w:val="000000"/>
                <w:szCs w:val="21"/>
              </w:rPr>
            </w:pPr>
            <w:r>
              <w:rPr>
                <w:rFonts w:hint="eastAsia" w:ascii="宋体" w:hAnsi="宋体" w:cs="宋体"/>
                <w:color w:val="000000"/>
                <w:szCs w:val="21"/>
              </w:rPr>
              <w:t>势</w:t>
            </w:r>
          </w:p>
          <w:p w14:paraId="14A69E81">
            <w:pPr>
              <w:jc w:val="center"/>
              <w:rPr>
                <w:rFonts w:ascii="宋体" w:hAnsi="宋体" w:cs="宋体"/>
                <w:color w:val="000000"/>
                <w:szCs w:val="21"/>
              </w:rPr>
            </w:pPr>
          </w:p>
          <w:p w14:paraId="4383A1A7">
            <w:pPr>
              <w:jc w:val="center"/>
              <w:rPr>
                <w:rFonts w:ascii="宋体" w:hAnsi="宋体" w:cs="宋体"/>
                <w:color w:val="000000"/>
                <w:szCs w:val="21"/>
              </w:rPr>
            </w:pPr>
          </w:p>
        </w:tc>
        <w:tc>
          <w:tcPr>
            <w:tcW w:w="7383" w:type="dxa"/>
            <w:gridSpan w:val="9"/>
            <w:tcBorders>
              <w:top w:val="single" w:color="auto" w:sz="4" w:space="0"/>
              <w:left w:val="single" w:color="auto" w:sz="4" w:space="0"/>
              <w:bottom w:val="single" w:color="auto" w:sz="4" w:space="0"/>
              <w:right w:val="single" w:color="auto" w:sz="4" w:space="0"/>
            </w:tcBorders>
          </w:tcPr>
          <w:p w14:paraId="3268CAF1">
            <w:pPr>
              <w:rPr>
                <w:rFonts w:ascii="宋体" w:hAnsi="宋体" w:cs="宋体"/>
                <w:color w:val="000000"/>
                <w:szCs w:val="21"/>
              </w:rPr>
            </w:pPr>
            <w:bookmarkStart w:id="12" w:name="OLE_LINK1"/>
            <w:r>
              <w:rPr>
                <w:rFonts w:hint="eastAsia" w:ascii="宋体" w:hAnsi="宋体" w:cs="宋体"/>
                <w:color w:val="000000"/>
                <w:szCs w:val="21"/>
              </w:rPr>
              <w:t>3.1 透析需求预测</w:t>
            </w:r>
          </w:p>
          <w:bookmarkEnd w:id="12"/>
          <w:p w14:paraId="70531638">
            <w:pPr>
              <w:rPr>
                <w:rFonts w:ascii="宋体" w:hAnsi="宋体" w:cs="宋体"/>
                <w:color w:val="000000"/>
                <w:szCs w:val="21"/>
              </w:rPr>
            </w:pPr>
          </w:p>
          <w:p w14:paraId="31CEECD3">
            <w:pPr>
              <w:ind w:firstLine="420" w:firstLineChars="200"/>
              <w:rPr>
                <w:rFonts w:ascii="宋体" w:hAnsi="宋体" w:cs="宋体"/>
                <w:color w:val="000000"/>
                <w:szCs w:val="21"/>
              </w:rPr>
            </w:pPr>
            <w:r>
              <w:rPr>
                <w:rFonts w:hint="eastAsia" w:ascii="宋体" w:hAnsi="宋体" w:cs="宋体"/>
                <w:color w:val="000000"/>
                <w:szCs w:val="21"/>
              </w:rPr>
              <w:t>病人的需求预测是实现医疗资源的最大利用率的基础。在国内外学术中，现有医疗预测方法划分为三类：统计学方法、机器学习方法和深度学习方法。统计学方法依靠历史病人数据进行趋势分析，能够对病人需求做出基本预测，并在早期研究中得到广泛应用。然而，随着病人需求的复杂性和非线性增强，统计学方法难以处理多因素交互与动态变化，预测精度受到较大限制。相比之下，机器学习方法通过引入更多外部特征变量（如节假日、天气因素等），利用算法（如随机森林、XGBoost）提高了预测的准确性，适用于处理更大规模、更复杂的需求预测问题。但这类方法往往依赖单一来源的数据，忽视了多源数据之间的关联，限制了预测能力。近年来，深度学习方法（如LSTM、Transformer）在建模复杂时序和非线性关系方面展现出更强的优势，能够在更大规模数据集上取得更高精度。然而，现有研究大多忽视了多源异构数据融合对病人需求行为的建模作用，使得深度学习方法在捕捉病人透析需求的动态性和不确定性方面仍存在不足。因此，如何在透析中心场景下实现多源数据的有效融合，提升需求预测的实时性与准确性，从而为动态调度与资源最优配置提供高质量输入，成为当前研究的重点。</w:t>
            </w:r>
          </w:p>
          <w:p w14:paraId="5D305366">
            <w:pPr>
              <w:rPr>
                <w:rFonts w:ascii="宋体" w:hAnsi="宋体" w:cs="宋体"/>
                <w:color w:val="000000"/>
                <w:szCs w:val="21"/>
              </w:rPr>
            </w:pPr>
            <w:r>
              <w:rPr>
                <w:rFonts w:hint="eastAsia" w:ascii="宋体" w:hAnsi="宋体" w:cs="宋体"/>
                <w:color w:val="000000"/>
                <w:szCs w:val="21"/>
              </w:rPr>
              <w:t>3.2 医疗资源动态优化</w:t>
            </w:r>
          </w:p>
          <w:p w14:paraId="2ED11432">
            <w:pPr>
              <w:ind w:firstLine="420" w:firstLineChars="200"/>
              <w:rPr>
                <w:rFonts w:ascii="宋体" w:hAnsi="宋体" w:cs="宋体"/>
                <w:color w:val="000000"/>
                <w:szCs w:val="21"/>
              </w:rPr>
            </w:pPr>
            <w:r>
              <w:rPr>
                <w:rFonts w:hint="eastAsia" w:ascii="宋体" w:hAnsi="宋体" w:cs="宋体"/>
                <w:color w:val="000000"/>
                <w:szCs w:val="21"/>
              </w:rPr>
              <w:t>医疗资源调度问题旨在创建一个高效、公平的工作时间表，平衡员工的需求和医院运营的要求，以最大限度的满足病人需求。现有研究通常将资源调度问题划分为两类：精确方法和启发式方法。精确方法利用整数规划和分支限定等数学技术快速生成最优解决方案，能够获得最优解决方案，在小规模的医疗资源调度问题得到应用。然而，随着问题规模的扩大和复杂度的提升，精确方法无法在有效的时间获得最优解，极大限制了精确方法的普及。相比之下，启发式算法利用基于直觉或经验的</w:t>
            </w:r>
            <w:r>
              <w:fldChar w:fldCharType="begin"/>
            </w:r>
            <w:r>
              <w:instrText xml:space="preserve"> HYPERLINK "https://www.sciencedirect.com/topics/engineering/optimization-strategy" \o "Learn more about optimization strategies from ScienceDirect's AI-generated Topic Pages" </w:instrText>
            </w:r>
            <w:r>
              <w:fldChar w:fldCharType="separate"/>
            </w:r>
            <w:r>
              <w:rPr>
                <w:rFonts w:hint="eastAsia" w:ascii="宋体" w:hAnsi="宋体" w:cs="宋体"/>
                <w:color w:val="000000"/>
                <w:szCs w:val="21"/>
              </w:rPr>
              <w:t>优化策略</w:t>
            </w:r>
            <w:r>
              <w:rPr>
                <w:rFonts w:hint="eastAsia" w:ascii="宋体" w:hAnsi="宋体" w:cs="宋体"/>
                <w:color w:val="000000"/>
                <w:szCs w:val="21"/>
              </w:rPr>
              <w:fldChar w:fldCharType="end"/>
            </w:r>
            <w:r>
              <w:rPr>
                <w:rFonts w:hint="eastAsia" w:ascii="宋体" w:hAnsi="宋体" w:cs="宋体"/>
                <w:color w:val="000000"/>
                <w:szCs w:val="21"/>
              </w:rPr>
              <w:t>来找到接近最优的解决方案，这些解决方案非常适合处理大规模的医疗资源调度问题。通常启发式方法利用历史数据，采用启发式策略（如遗传算法、蚁群算法等）获得近似解决方案。但是，现有的启发式方法以静态的医疗资源调度问题，无法根据动态环境的变化实时优化医疗资源。近年来，强化学习等智能优化方法逐步在动态优化问题（如路线规划、物流配送等）得到关注，它能够与动态环境实时交互，并根据动态环境的变化实时优化。然而，在现有的透析中心场景下，如何依据病人的动态需求和医疗设备实时利用条件，动态对病人开展救治，以实现对病人的最大救治，成为当前研究的重点。</w:t>
            </w:r>
          </w:p>
          <w:p w14:paraId="23530ED7">
            <w:pPr>
              <w:ind w:firstLine="420" w:firstLineChars="200"/>
              <w:rPr>
                <w:rFonts w:ascii="宋体" w:hAnsi="宋体" w:cs="宋体"/>
                <w:color w:val="000000"/>
                <w:szCs w:val="21"/>
              </w:rPr>
            </w:pPr>
            <w:r>
              <w:rPr>
                <w:rFonts w:hint="eastAsia" w:ascii="宋体" w:hAnsi="宋体" w:cs="宋体"/>
                <w:color w:val="000000"/>
                <w:szCs w:val="21"/>
              </w:rPr>
              <w:t>总体来看，国内外在需求预测和资源调度优化两个方向均取得了一定研究成果，但现有研究大多停留在“单模块优化”阶段，缺乏面向透析中心业务特点的预测—优化一体化研究框架。尤其是在如何将多源信息驱动的预测结果与多目标调度模型有效融合方面仍存在明显研究空白。因此，有必要构建面向透析中心的“需求预测—资源调度”一体化管理方法，推动预测结果与优化模型深度耦合，实现透析中心资源管理的智能化与动态化。</w:t>
            </w:r>
          </w:p>
          <w:p w14:paraId="0D8881A8">
            <w:pPr>
              <w:rPr>
                <w:rFonts w:ascii="宋体" w:hAnsi="宋体" w:cs="宋体"/>
                <w:color w:val="000000"/>
                <w:szCs w:val="21"/>
              </w:rPr>
            </w:pPr>
          </w:p>
          <w:p w14:paraId="128D7A7C">
            <w:pPr>
              <w:rPr>
                <w:rFonts w:ascii="宋体" w:hAnsi="宋体" w:cs="宋体"/>
                <w:color w:val="000000"/>
                <w:szCs w:val="21"/>
              </w:rPr>
            </w:pPr>
          </w:p>
        </w:tc>
      </w:tr>
      <w:tr w14:paraId="44316B4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990" w:hRule="atLeast"/>
          <w:jc w:val="center"/>
        </w:trPr>
        <w:tc>
          <w:tcPr>
            <w:tcW w:w="897" w:type="dxa"/>
            <w:tcBorders>
              <w:top w:val="single" w:color="auto" w:sz="4" w:space="0"/>
              <w:left w:val="single" w:color="auto" w:sz="4" w:space="0"/>
              <w:bottom w:val="single" w:color="auto" w:sz="4" w:space="0"/>
              <w:right w:val="single" w:color="auto" w:sz="4" w:space="0"/>
            </w:tcBorders>
          </w:tcPr>
          <w:p w14:paraId="4DA6D8D0">
            <w:pPr>
              <w:ind w:firstLine="210" w:firstLineChars="100"/>
              <w:rPr>
                <w:rFonts w:ascii="宋体" w:hAnsi="宋体" w:cs="宋体"/>
                <w:color w:val="000000"/>
                <w:szCs w:val="21"/>
              </w:rPr>
            </w:pPr>
            <w:r>
              <w:rPr>
                <w:rFonts w:hint="eastAsia" w:ascii="宋体" w:hAnsi="宋体" w:cs="宋体"/>
                <w:color w:val="000000"/>
                <w:szCs w:val="21"/>
              </w:rPr>
              <w:t>四、</w:t>
            </w:r>
          </w:p>
          <w:p w14:paraId="50797CCE">
            <w:pPr>
              <w:jc w:val="center"/>
              <w:rPr>
                <w:rFonts w:ascii="宋体" w:hAnsi="宋体" w:cs="宋体"/>
                <w:color w:val="000000"/>
                <w:szCs w:val="21"/>
              </w:rPr>
            </w:pPr>
            <w:r>
              <w:rPr>
                <w:rFonts w:hint="eastAsia" w:ascii="宋体" w:hAnsi="宋体" w:cs="宋体"/>
                <w:color w:val="000000"/>
                <w:szCs w:val="21"/>
              </w:rPr>
              <w:t>研</w:t>
            </w:r>
          </w:p>
          <w:p w14:paraId="63FB5651">
            <w:pPr>
              <w:jc w:val="center"/>
              <w:rPr>
                <w:rFonts w:ascii="宋体" w:hAnsi="宋体" w:cs="宋体"/>
                <w:color w:val="000000"/>
                <w:szCs w:val="21"/>
              </w:rPr>
            </w:pPr>
            <w:r>
              <w:rPr>
                <w:rFonts w:hint="eastAsia" w:ascii="宋体" w:hAnsi="宋体" w:cs="宋体"/>
                <w:color w:val="000000"/>
                <w:szCs w:val="21"/>
              </w:rPr>
              <w:t>究</w:t>
            </w:r>
          </w:p>
          <w:p w14:paraId="621D63AE">
            <w:pPr>
              <w:jc w:val="center"/>
              <w:rPr>
                <w:rFonts w:ascii="宋体" w:hAnsi="宋体" w:cs="宋体"/>
                <w:color w:val="000000"/>
                <w:szCs w:val="21"/>
              </w:rPr>
            </w:pPr>
            <w:r>
              <w:rPr>
                <w:rFonts w:hint="eastAsia" w:ascii="宋体" w:hAnsi="宋体" w:cs="宋体"/>
                <w:color w:val="000000"/>
                <w:szCs w:val="21"/>
              </w:rPr>
              <w:t>内</w:t>
            </w:r>
          </w:p>
          <w:p w14:paraId="359DB01F">
            <w:pPr>
              <w:jc w:val="center"/>
              <w:rPr>
                <w:rFonts w:ascii="宋体" w:hAnsi="宋体" w:cs="宋体"/>
                <w:color w:val="000000"/>
                <w:szCs w:val="21"/>
              </w:rPr>
            </w:pPr>
            <w:r>
              <w:rPr>
                <w:rFonts w:hint="eastAsia" w:ascii="宋体" w:hAnsi="宋体" w:cs="宋体"/>
                <w:color w:val="000000"/>
                <w:szCs w:val="21"/>
              </w:rPr>
              <w:t>容</w:t>
            </w:r>
          </w:p>
          <w:p w14:paraId="3DE2EB3F">
            <w:pPr>
              <w:jc w:val="center"/>
              <w:rPr>
                <w:rFonts w:ascii="宋体" w:hAnsi="宋体" w:cs="宋体"/>
                <w:color w:val="000000"/>
                <w:szCs w:val="21"/>
              </w:rPr>
            </w:pPr>
            <w:r>
              <w:rPr>
                <w:rFonts w:hint="eastAsia" w:ascii="宋体" w:hAnsi="宋体" w:cs="宋体"/>
                <w:color w:val="000000"/>
                <w:szCs w:val="21"/>
              </w:rPr>
              <w:t>范</w:t>
            </w:r>
          </w:p>
          <w:p w14:paraId="234F24D5">
            <w:pPr>
              <w:jc w:val="center"/>
              <w:rPr>
                <w:rFonts w:ascii="宋体" w:hAnsi="宋体" w:cs="宋体"/>
                <w:color w:val="000000"/>
                <w:szCs w:val="21"/>
              </w:rPr>
            </w:pPr>
            <w:r>
              <w:rPr>
                <w:rFonts w:hint="eastAsia" w:ascii="宋体" w:hAnsi="宋体" w:cs="宋体"/>
                <w:color w:val="000000"/>
                <w:szCs w:val="21"/>
              </w:rPr>
              <w:t>围</w:t>
            </w:r>
          </w:p>
          <w:p w14:paraId="10E73F0C">
            <w:pPr>
              <w:jc w:val="center"/>
              <w:rPr>
                <w:rFonts w:ascii="宋体" w:hAnsi="宋体" w:cs="宋体"/>
                <w:color w:val="000000"/>
                <w:szCs w:val="21"/>
              </w:rPr>
            </w:pPr>
          </w:p>
          <w:p w14:paraId="6D66BF19">
            <w:pPr>
              <w:jc w:val="center"/>
              <w:rPr>
                <w:rFonts w:ascii="宋体" w:hAnsi="宋体" w:cs="宋体"/>
                <w:color w:val="000000"/>
                <w:szCs w:val="21"/>
              </w:rPr>
            </w:pPr>
          </w:p>
          <w:p w14:paraId="130DCF87">
            <w:pPr>
              <w:jc w:val="center"/>
              <w:rPr>
                <w:rFonts w:ascii="宋体" w:hAnsi="宋体" w:cs="宋体"/>
                <w:color w:val="000000"/>
                <w:szCs w:val="21"/>
              </w:rPr>
            </w:pPr>
          </w:p>
        </w:tc>
        <w:tc>
          <w:tcPr>
            <w:tcW w:w="7383" w:type="dxa"/>
            <w:gridSpan w:val="9"/>
            <w:tcBorders>
              <w:top w:val="single" w:color="auto" w:sz="4" w:space="0"/>
              <w:left w:val="single" w:color="auto" w:sz="4" w:space="0"/>
              <w:bottom w:val="single" w:color="auto" w:sz="4" w:space="0"/>
              <w:right w:val="single" w:color="auto" w:sz="4" w:space="0"/>
            </w:tcBorders>
          </w:tcPr>
          <w:p w14:paraId="6DC7795E">
            <w:pPr>
              <w:rPr>
                <w:rFonts w:ascii="宋体" w:hAnsi="宋体" w:cs="宋体"/>
                <w:color w:val="000000"/>
                <w:szCs w:val="21"/>
              </w:rPr>
            </w:pPr>
            <w:r>
              <w:rPr>
                <w:rFonts w:hint="eastAsia" w:ascii="宋体" w:hAnsi="宋体" w:cs="宋体"/>
                <w:color w:val="000000"/>
                <w:szCs w:val="21"/>
              </w:rPr>
              <w:t>（一）研究构想与总体思路</w:t>
            </w:r>
          </w:p>
          <w:p w14:paraId="285E3801">
            <w:pPr>
              <w:ind w:firstLine="420" w:firstLineChars="200"/>
              <w:rPr>
                <w:rFonts w:ascii="宋体" w:hAnsi="宋体" w:cs="宋体"/>
                <w:color w:val="000000"/>
                <w:szCs w:val="21"/>
              </w:rPr>
            </w:pPr>
            <w:r>
              <w:rPr>
                <w:rFonts w:hint="eastAsia" w:ascii="宋体" w:hAnsi="宋体" w:cs="宋体"/>
                <w:color w:val="000000"/>
                <w:szCs w:val="21"/>
              </w:rPr>
              <w:t>本研究直面当前透析中心资源配置效率与服务质量提升的瓶颈，提出一个以“数据智能”贯穿始终的解决方案。其核心构想是：从被动响应患者需求，转变为主动预测并引导资源配置。为此，本研究将构建一个“预测+优化”双轮驱动的智能管理系统，旨在通过精准预测“未来可知”的需求，并基于此对“当下可控”的资源进行最优配置，实现运营效率与服务质量的双重提升。研究思路遵循以下递进逻辑：</w:t>
            </w:r>
          </w:p>
          <w:p w14:paraId="01EBC1D6">
            <w:pPr>
              <w:rPr>
                <w:rFonts w:ascii="宋体" w:hAnsi="宋体" w:cs="宋体"/>
                <w:color w:val="000000"/>
                <w:szCs w:val="21"/>
              </w:rPr>
            </w:pPr>
            <w:r>
              <w:rPr>
                <w:rFonts w:hint="eastAsia" w:ascii="宋体" w:hAnsi="宋体" w:cs="宋体"/>
                <w:color w:val="000000"/>
                <w:szCs w:val="21"/>
              </w:rPr>
              <w:t>看得准：构建高精度、多尺度的需求预测引擎。立足于透析中心多维度、海量的历史数据，综合运用时间序列分析（如Mamba）、集成学习（如XGBoost）等前沿技术，构建一个强大的需求预测引擎。该引擎不仅能够精准预测未来不同时间尺度（日度、周度）的患者就诊需求，还能捕捉患者行为的复杂模式与潜在规律，为精细化资源调度提供坚实的数据地基。</w:t>
            </w:r>
          </w:p>
          <w:p w14:paraId="691C549D">
            <w:pPr>
              <w:ind w:firstLine="420"/>
              <w:rPr>
                <w:rFonts w:ascii="宋体" w:hAnsi="宋体" w:cs="宋体"/>
                <w:szCs w:val="21"/>
              </w:rPr>
            </w:pPr>
            <w:r>
              <w:rPr>
                <w:rFonts w:hint="eastAsia" w:ascii="宋体" w:hAnsi="宋体" w:cs="宋体"/>
                <w:szCs w:val="21"/>
              </w:rPr>
              <w:t>调的优：耦合病人需求的动态调度优化方法</w:t>
            </w:r>
          </w:p>
          <w:p w14:paraId="3C56602C">
            <w:pPr>
              <w:rPr>
                <w:rFonts w:ascii="宋体" w:hAnsi="宋体" w:cs="宋体"/>
                <w:szCs w:val="21"/>
              </w:rPr>
            </w:pPr>
            <w:r>
              <w:rPr>
                <w:rFonts w:hint="eastAsia" w:ascii="宋体" w:hAnsi="宋体" w:cs="宋体"/>
                <w:szCs w:val="21"/>
              </w:rPr>
              <w:t>本研究将以运筹优化方法为理论基础，利用深度强化学习方法，提出耦合病人需求的动态调度优化框架。该框架以医疗资源为基础环境，结合护士排班和医疗机器的利用率设计奖励机制，并以Transformer模型为基础设计策略模型，利用Actor-critic方法训练策略模型，从而获得最优策略。通过将复杂的业务规则转化为动态环境，利用策略模型与环境的动态交互，实时生成最优的解决方案，确保生成的调度计划具有高度的实践指导价值。</w:t>
            </w:r>
          </w:p>
          <w:p w14:paraId="1DAE95DE">
            <w:pPr>
              <w:ind w:firstLine="420" w:firstLineChars="200"/>
              <w:rPr>
                <w:rFonts w:ascii="宋体" w:hAnsi="宋体" w:cs="宋体"/>
                <w:color w:val="000000"/>
                <w:szCs w:val="21"/>
              </w:rPr>
            </w:pPr>
            <w:r>
              <w:rPr>
                <w:rFonts w:hint="eastAsia" w:ascii="宋体" w:hAnsi="宋体" w:cs="宋体"/>
                <w:color w:val="000000"/>
                <w:szCs w:val="21"/>
              </w:rPr>
              <w:t>做得活：打造动态自适应的闭环管理系统</w:t>
            </w:r>
          </w:p>
          <w:p w14:paraId="0382B9DE">
            <w:pPr>
              <w:rPr>
                <w:rFonts w:ascii="宋体" w:hAnsi="宋体" w:cs="宋体"/>
                <w:color w:val="000000"/>
                <w:szCs w:val="21"/>
              </w:rPr>
            </w:pPr>
            <w:r>
              <w:rPr>
                <w:rFonts w:hint="eastAsia" w:ascii="宋体" w:hAnsi="宋体" w:cs="宋体"/>
                <w:color w:val="000000"/>
                <w:szCs w:val="21"/>
              </w:rPr>
              <w:t>为确保模型在真实世界中的有效性和生命力，本研究将构建一个完整的“预测-决策-执行-反馈”闭环系统。该系统能够将实际运营中产生的偏差与新数据，实时反馈至预测和调度模块，触发模型的动态调整与再学习。这种“边运行、边学习、边优化”的机制，使得整个管理系统具备了持续进化的能力，从而能够从容应对各种突发状况，保障透析中心长期、稳定、高效地运行。</w:t>
            </w:r>
          </w:p>
          <w:p w14:paraId="6D806B21">
            <w:pPr>
              <w:rPr>
                <w:rFonts w:ascii="宋体" w:hAnsi="宋体" w:cs="宋体"/>
                <w:color w:val="000000"/>
                <w:szCs w:val="21"/>
              </w:rPr>
            </w:pPr>
            <w:r>
              <w:rPr>
                <w:rFonts w:hint="eastAsia" w:ascii="宋体" w:hAnsi="宋体" w:cs="宋体"/>
                <w:color w:val="000000"/>
                <w:szCs w:val="21"/>
              </w:rPr>
              <w:t>（二）主要研究内容</w:t>
            </w:r>
          </w:p>
          <w:p w14:paraId="1D570050">
            <w:pPr>
              <w:ind w:firstLine="420" w:firstLineChars="200"/>
              <w:rPr>
                <w:rFonts w:ascii="宋体" w:hAnsi="宋体" w:cs="宋体"/>
                <w:color w:val="000000"/>
                <w:szCs w:val="21"/>
              </w:rPr>
            </w:pPr>
            <w:r>
              <w:rPr>
                <w:rFonts w:hint="eastAsia" w:ascii="宋体" w:hAnsi="宋体" w:cs="宋体"/>
                <w:color w:val="000000"/>
                <w:szCs w:val="21"/>
              </w:rPr>
              <w:t>本研究将遵循“问题分析—模型构建—求解优化—评估迭代”的技术路线，具体研究内容包括以下四个层面：</w:t>
            </w:r>
          </w:p>
          <w:p w14:paraId="07959C7D">
            <w:pPr>
              <w:rPr>
                <w:rFonts w:ascii="宋体" w:hAnsi="宋体" w:cs="宋体"/>
                <w:color w:val="000000"/>
                <w:szCs w:val="21"/>
              </w:rPr>
            </w:pPr>
            <w:r>
              <w:rPr>
                <w:rFonts w:hint="eastAsia" w:ascii="宋体" w:hAnsi="宋体" w:cs="宋体"/>
                <w:color w:val="000000"/>
                <w:szCs w:val="21"/>
              </w:rPr>
              <w:t>1. 透析中心业务全景解析与建模要素提取</w:t>
            </w:r>
          </w:p>
          <w:p w14:paraId="69B3D585">
            <w:pPr>
              <w:rPr>
                <w:rFonts w:ascii="宋体" w:hAnsi="宋体" w:cs="宋体"/>
                <w:color w:val="000000"/>
                <w:szCs w:val="21"/>
              </w:rPr>
            </w:pPr>
            <w:r>
              <w:rPr>
                <w:rFonts w:hint="eastAsia" w:ascii="宋体" w:hAnsi="宋体" w:cs="宋体"/>
                <w:color w:val="000000"/>
                <w:szCs w:val="21"/>
              </w:rPr>
              <w:t>这是研究的现实基础，旨在将复杂的业务流程转化为可量化的模型输入。</w:t>
            </w:r>
          </w:p>
          <w:p w14:paraId="09A2FCEC">
            <w:pPr>
              <w:rPr>
                <w:rFonts w:ascii="宋体" w:hAnsi="宋体" w:cs="宋体"/>
                <w:color w:val="000000"/>
                <w:szCs w:val="21"/>
              </w:rPr>
            </w:pPr>
            <w:r>
              <w:rPr>
                <w:rFonts w:hint="eastAsia" w:ascii="宋体" w:hAnsi="宋体" w:cs="宋体"/>
                <w:color w:val="000000"/>
                <w:szCs w:val="21"/>
              </w:rPr>
              <w:t>业务流程深度梳理： 深入调研并绘制透析中心从患者预约、接待、治疗到结束的全流程图，重点分析治疗安排、护士排班、设备（床位/透析机）分配三大核心环节的作业规范（SOP）。</w:t>
            </w:r>
          </w:p>
          <w:p w14:paraId="67FEB09B">
            <w:pPr>
              <w:ind w:firstLine="420" w:firstLineChars="200"/>
              <w:rPr>
                <w:rFonts w:ascii="宋体" w:hAnsi="宋体" w:cs="宋体"/>
                <w:color w:val="000000"/>
                <w:szCs w:val="21"/>
              </w:rPr>
            </w:pPr>
            <w:r>
              <w:rPr>
                <w:rFonts w:hint="eastAsia" w:ascii="宋体" w:hAnsi="宋体" w:cs="宋体"/>
                <w:color w:val="000000"/>
                <w:szCs w:val="21"/>
              </w:rPr>
              <w:t>关键约束与目标识别： 通过与医护人员访谈和对历史数据的分析，识别并量化资源调度中的硬性约束（如护士资质与工作时长上限、设备维护间隔、患者固定治疗周期）和软性约束（如患者对特定护士或设备的偏好）。同时，明确需要优化的核心业务目标（如设备利用率、护士工作负荷均衡度、患者等待时间等），为后续构建</w:t>
            </w:r>
            <w:r>
              <w:rPr>
                <w:rFonts w:hint="eastAsia" w:ascii="宋体" w:hAnsi="宋体" w:cs="宋体"/>
                <w:szCs w:val="21"/>
              </w:rPr>
              <w:t>动态优化模型奠定基础</w:t>
            </w:r>
            <w:r>
              <w:rPr>
                <w:rFonts w:hint="eastAsia" w:ascii="宋体" w:hAnsi="宋体" w:cs="宋体"/>
                <w:color w:val="000000"/>
                <w:szCs w:val="21"/>
              </w:rPr>
              <w:t>。</w:t>
            </w:r>
          </w:p>
          <w:p w14:paraId="593F62CF">
            <w:pPr>
              <w:rPr>
                <w:rFonts w:ascii="宋体" w:hAnsi="宋体" w:cs="宋体"/>
                <w:color w:val="000000"/>
                <w:szCs w:val="21"/>
              </w:rPr>
            </w:pPr>
            <w:r>
              <w:rPr>
                <w:rFonts w:hint="eastAsia" w:ascii="宋体" w:hAnsi="宋体" w:cs="宋体"/>
                <w:color w:val="000000"/>
                <w:szCs w:val="21"/>
              </w:rPr>
              <w:t>2. 多源数据驱动的智能预测引擎构建</w:t>
            </w:r>
          </w:p>
          <w:p w14:paraId="2119D961">
            <w:pPr>
              <w:rPr>
                <w:rFonts w:ascii="宋体" w:hAnsi="宋体" w:cs="宋体"/>
                <w:color w:val="000000"/>
                <w:szCs w:val="21"/>
              </w:rPr>
            </w:pPr>
            <w:r>
              <w:rPr>
                <w:rFonts w:hint="eastAsia" w:ascii="宋体" w:hAnsi="宋体" w:cs="宋体"/>
                <w:color w:val="000000"/>
                <w:szCs w:val="21"/>
              </w:rPr>
              <w:t>这是实现“预测驱动优化”的数据基石，目标是提供高精度、多维度的需求预测。多维数据融合与特征工程：整合并清洗多源异构数据，包括：</w:t>
            </w:r>
          </w:p>
          <w:p w14:paraId="3ABC6AAE">
            <w:pPr>
              <w:rPr>
                <w:rFonts w:ascii="宋体" w:hAnsi="宋体" w:cs="宋体"/>
                <w:color w:val="000000"/>
                <w:szCs w:val="21"/>
              </w:rPr>
            </w:pPr>
            <w:r>
              <w:rPr>
                <w:rFonts w:hint="eastAsia" w:ascii="宋体" w:hAnsi="宋体" w:cs="宋体"/>
                <w:color w:val="000000"/>
                <w:szCs w:val="21"/>
              </w:rPr>
              <w:t>历史就诊时间序列数据；患者静态与动态特征（如年龄、病程、治疗方案偏好、复诊行为模式）；外部影响因素（如节假日效应、季节性变化）。通过特征工程，提取对预测目标有显著影响的关键因子。</w:t>
            </w:r>
          </w:p>
          <w:p w14:paraId="50B2D535">
            <w:pPr>
              <w:ind w:firstLine="420" w:firstLineChars="200"/>
              <w:rPr>
                <w:rFonts w:ascii="宋体" w:hAnsi="宋体" w:cs="宋体"/>
                <w:color w:val="000000"/>
                <w:szCs w:val="21"/>
              </w:rPr>
            </w:pPr>
            <w:r>
              <w:rPr>
                <w:rFonts w:hint="eastAsia" w:ascii="宋体" w:hAnsi="宋体" w:cs="宋体"/>
                <w:color w:val="000000"/>
                <w:szCs w:val="21"/>
              </w:rPr>
              <w:t>预测粒度与不确定性量化： 预测引擎将支持多时间粒度输出，以满足不同层级的调度决策需求。同时，探索输出概率分布或置信区间，为鲁棒性调度提供需求不确定性的量化信息。</w:t>
            </w:r>
          </w:p>
          <w:p w14:paraId="380DFF9D">
            <w:pPr>
              <w:rPr>
                <w:rFonts w:ascii="宋体" w:hAnsi="宋体" w:cs="宋体"/>
                <w:color w:val="000000"/>
                <w:szCs w:val="21"/>
              </w:rPr>
            </w:pPr>
            <w:r>
              <w:rPr>
                <w:rFonts w:hint="eastAsia" w:ascii="宋体" w:hAnsi="宋体" w:cs="宋体"/>
                <w:color w:val="000000"/>
                <w:szCs w:val="21"/>
              </w:rPr>
              <w:t>3. 耦合病人需求的动态优化模型设计与求解</w:t>
            </w:r>
          </w:p>
          <w:p w14:paraId="4785D9AA">
            <w:pPr>
              <w:ind w:firstLine="420" w:firstLineChars="200"/>
              <w:rPr>
                <w:rFonts w:ascii="宋体" w:hAnsi="宋体" w:cs="宋体"/>
                <w:color w:val="000000"/>
                <w:szCs w:val="21"/>
              </w:rPr>
            </w:pPr>
            <w:r>
              <w:rPr>
                <w:rFonts w:hint="eastAsia" w:ascii="宋体" w:hAnsi="宋体" w:cs="宋体"/>
                <w:szCs w:val="21"/>
              </w:rPr>
              <w:t>将运筹学中的整数规划思想融入，用于处理动态约束和实时生成优化方案，从而提升算法的对动态环境的适应情况。具体做法如下：利用以深度强化学习（Deep Reinforcement Learning, DRL）作为核心求解算法。将透析中心的医疗资源定义为环境(Environment)，动态提取护士排班和机器工作状态（State），将病人的分配情况定义为动作（Action），并将机器利用率设计为奖励（Reward）。通过智能体（Agent）与环境（Environment）的动态交互学习，实时获得当。</w:t>
            </w:r>
          </w:p>
          <w:p w14:paraId="586D2DE1">
            <w:pPr>
              <w:rPr>
                <w:rFonts w:ascii="宋体" w:hAnsi="宋体" w:cs="宋体"/>
                <w:color w:val="000000"/>
                <w:szCs w:val="21"/>
              </w:rPr>
            </w:pPr>
            <w:r>
              <w:rPr>
                <w:rFonts w:hint="eastAsia" w:ascii="宋体" w:hAnsi="宋体" w:cs="宋体"/>
                <w:color w:val="000000"/>
                <w:szCs w:val="21"/>
              </w:rPr>
              <w:t>4. 系统综合性能评估与闭环反馈优化机制</w:t>
            </w:r>
          </w:p>
          <w:p w14:paraId="3268F177">
            <w:pPr>
              <w:ind w:firstLine="420" w:firstLineChars="200"/>
              <w:rPr>
                <w:rFonts w:ascii="宋体" w:hAnsi="宋体" w:cs="宋体"/>
                <w:color w:val="000000"/>
                <w:szCs w:val="21"/>
              </w:rPr>
            </w:pPr>
            <w:r>
              <w:rPr>
                <w:rFonts w:hint="eastAsia" w:ascii="宋体" w:hAnsi="宋体" w:cs="宋体"/>
                <w:color w:val="000000"/>
                <w:szCs w:val="21"/>
              </w:rPr>
              <w:t>这是保障研究成果落地并持续有效的关键。多维度关键性能指标（KPI）体系设计： 设计一套全面的评价指标体系，从资源使用效率（设备闲置率、护士工时利用率）、排班公平性（工作负荷方差）、患者服务质量（平均等待时间）和系统响应速度等多个维度，综合评估模型优化前后的效果。</w:t>
            </w:r>
          </w:p>
          <w:p w14:paraId="000F09E9">
            <w:pPr>
              <w:ind w:firstLine="420" w:firstLineChars="200"/>
              <w:rPr>
                <w:rFonts w:ascii="宋体" w:hAnsi="宋体" w:cs="宋体"/>
                <w:color w:val="000000"/>
                <w:szCs w:val="21"/>
              </w:rPr>
            </w:pPr>
            <w:r>
              <w:rPr>
                <w:rFonts w:hint="eastAsia" w:ascii="宋体" w:hAnsi="宋体" w:cs="宋体"/>
                <w:color w:val="000000"/>
                <w:szCs w:val="21"/>
              </w:rPr>
              <w:t>闭环反馈与模型自适应调整： 建立“预测—调度—执行—评估—反馈”的持续优化闭环。将实际运营中产生的调度执行数据（如实际等待时间、突发情况记录）作为新的输入，定期对预测模型和强化学习策略进行在线更新或重新训练，使系统具备自我迭代和持续适应新变化的能力。</w:t>
            </w:r>
          </w:p>
          <w:p w14:paraId="50FA7B79">
            <w:pPr>
              <w:rPr>
                <w:rFonts w:ascii="宋体" w:hAnsi="宋体" w:cs="宋体"/>
                <w:color w:val="000000"/>
                <w:szCs w:val="21"/>
              </w:rPr>
            </w:pPr>
          </w:p>
          <w:p w14:paraId="3C37312A">
            <w:pPr>
              <w:jc w:val="center"/>
              <w:rPr>
                <w:rFonts w:ascii="宋体" w:hAnsi="宋体" w:cs="宋体"/>
                <w:color w:val="000000"/>
                <w:szCs w:val="21"/>
              </w:rPr>
            </w:pPr>
            <w:r>
              <w:rPr>
                <w:rFonts w:hint="eastAsia" w:ascii="宋体" w:hAnsi="宋体" w:cs="宋体"/>
                <w:color w:val="000000"/>
                <w:szCs w:val="21"/>
              </w:rPr>
              <w:t>图一关键评价指标</w:t>
            </w:r>
          </w:p>
          <w:p w14:paraId="4ED6E772">
            <w:pPr>
              <w:rPr>
                <w:rFonts w:ascii="宋体" w:hAnsi="宋体" w:cs="宋体"/>
                <w:color w:val="000000"/>
                <w:szCs w:val="21"/>
              </w:rPr>
            </w:pPr>
            <w:r>
              <w:rPr>
                <w:rFonts w:hint="eastAsia" w:ascii="宋体" w:hAnsi="宋体" w:cs="宋体"/>
                <w:color w:val="000000"/>
                <w:szCs w:val="21"/>
              </w:rPr>
              <w:drawing>
                <wp:inline distT="0" distB="0" distL="114300" distR="114300">
                  <wp:extent cx="4559935" cy="1836420"/>
                  <wp:effectExtent l="0" t="0" r="12065" b="177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
                          <a:stretch>
                            <a:fillRect/>
                          </a:stretch>
                        </pic:blipFill>
                        <pic:spPr>
                          <a:xfrm>
                            <a:off x="0" y="0"/>
                            <a:ext cx="4559935" cy="1836420"/>
                          </a:xfrm>
                          <a:prstGeom prst="rect">
                            <a:avLst/>
                          </a:prstGeom>
                          <a:noFill/>
                          <a:ln>
                            <a:noFill/>
                          </a:ln>
                        </pic:spPr>
                      </pic:pic>
                    </a:graphicData>
                  </a:graphic>
                </wp:inline>
              </w:drawing>
            </w:r>
          </w:p>
          <w:p w14:paraId="5C15ACC1">
            <w:pPr>
              <w:rPr>
                <w:rFonts w:ascii="宋体" w:hAnsi="宋体" w:cs="宋体"/>
                <w:color w:val="000000"/>
                <w:szCs w:val="21"/>
              </w:rPr>
            </w:pPr>
            <w:r>
              <w:rPr>
                <w:rFonts w:hint="eastAsia" w:ascii="宋体" w:hAnsi="宋体" w:cs="宋体"/>
                <w:color w:val="000000"/>
                <w:szCs w:val="21"/>
              </w:rPr>
              <w:t>（三）拟解决的关键问题</w:t>
            </w:r>
          </w:p>
          <w:p w14:paraId="3568D066">
            <w:pPr>
              <w:rPr>
                <w:rFonts w:ascii="宋体" w:hAnsi="宋体" w:cs="宋体"/>
                <w:color w:val="000000"/>
                <w:szCs w:val="21"/>
              </w:rPr>
            </w:pPr>
            <w:r>
              <w:rPr>
                <w:rFonts w:hint="eastAsia" w:ascii="宋体" w:hAnsi="宋体" w:cs="宋体"/>
                <w:color w:val="000000"/>
                <w:szCs w:val="21"/>
              </w:rPr>
              <w:t>本研究的核心在于打通“精准预测”到“最优调度”的技术链路，旨在解决以下两个关键问题：</w:t>
            </w:r>
          </w:p>
          <w:p w14:paraId="48F61C6D">
            <w:pPr>
              <w:rPr>
                <w:rFonts w:ascii="宋体" w:hAnsi="宋体" w:cs="宋体"/>
                <w:color w:val="000000"/>
                <w:szCs w:val="21"/>
              </w:rPr>
            </w:pPr>
            <w:r>
              <w:rPr>
                <w:rFonts w:hint="eastAsia" w:ascii="宋体" w:hAnsi="宋体" w:cs="宋体"/>
                <w:color w:val="000000"/>
                <w:szCs w:val="21"/>
              </w:rPr>
              <w:t>1、高维不确定性下的需求预测问题： 如何有效融合患者个体特征、历史诊疗行为等多源异构数据，构建一个既能适应多时间尺度变化、又能有效量化需求不确定性（如预测波动范围）的高精度需求预测模型？</w:t>
            </w:r>
          </w:p>
          <w:p w14:paraId="757234DB">
            <w:pPr>
              <w:rPr>
                <w:rFonts w:ascii="宋体" w:hAnsi="宋体" w:cs="宋体"/>
                <w:color w:val="000000"/>
                <w:szCs w:val="21"/>
              </w:rPr>
            </w:pPr>
            <w:r>
              <w:rPr>
                <w:rFonts w:hint="eastAsia" w:ascii="宋体" w:hAnsi="宋体" w:cs="宋体"/>
                <w:color w:val="000000"/>
                <w:szCs w:val="21"/>
              </w:rPr>
              <w:t>2、多目标冲突下的动态调度问题： 在需求预测存在不确定性的前提下，如何构建一个能够协同优化设备与人力资源、并有效平衡设备利用率最大化、护士工作负荷均衡化、患者满意度最优等多重冲突目标的动态、鲁棒的资源调度模型？</w:t>
            </w:r>
          </w:p>
          <w:p w14:paraId="685AAF3A">
            <w:pPr>
              <w:rPr>
                <w:rFonts w:ascii="宋体" w:hAnsi="宋体" w:cs="宋体"/>
                <w:color w:val="000000"/>
                <w:szCs w:val="21"/>
              </w:rPr>
            </w:pPr>
            <w:r>
              <w:rPr>
                <w:rFonts w:hint="eastAsia" w:ascii="宋体" w:hAnsi="宋体" w:cs="宋体"/>
                <w:color w:val="000000"/>
                <w:szCs w:val="21"/>
              </w:rPr>
              <w:t>（四）研究方法</w:t>
            </w:r>
          </w:p>
          <w:p w14:paraId="10180959">
            <w:pPr>
              <w:rPr>
                <w:rFonts w:ascii="宋体" w:hAnsi="宋体" w:cs="宋体"/>
                <w:color w:val="000000"/>
                <w:szCs w:val="21"/>
              </w:rPr>
            </w:pPr>
            <w:r>
              <w:rPr>
                <w:rFonts w:hint="eastAsia" w:ascii="宋体" w:hAnsi="宋体" w:cs="宋体"/>
                <w:color w:val="000000"/>
                <w:szCs w:val="21"/>
              </w:rPr>
              <w:t>1. 探索性数据分析（EDA）与特征工程</w:t>
            </w:r>
          </w:p>
          <w:p w14:paraId="22FA0F20">
            <w:pPr>
              <w:ind w:firstLine="420" w:firstLineChars="200"/>
              <w:rPr>
                <w:rFonts w:ascii="宋体" w:hAnsi="宋体" w:cs="宋体"/>
                <w:color w:val="000000"/>
                <w:szCs w:val="21"/>
              </w:rPr>
            </w:pPr>
            <w:r>
              <w:rPr>
                <w:rFonts w:hint="eastAsia" w:ascii="宋体" w:hAnsi="宋体" w:cs="宋体"/>
                <w:color w:val="000000"/>
                <w:szCs w:val="21"/>
              </w:rPr>
              <w:t>本阶段旨在深入理解数据特性，并为后续建模提取高质量的输入信息。</w:t>
            </w:r>
          </w:p>
          <w:p w14:paraId="4619AFB1">
            <w:pPr>
              <w:rPr>
                <w:rFonts w:ascii="宋体" w:hAnsi="宋体" w:cs="宋体"/>
                <w:color w:val="000000"/>
                <w:szCs w:val="21"/>
              </w:rPr>
            </w:pPr>
            <w:r>
              <w:rPr>
                <w:rFonts w:hint="eastAsia" w:ascii="宋体" w:hAnsi="宋体" w:cs="宋体"/>
                <w:color w:val="000000"/>
                <w:szCs w:val="21"/>
              </w:rPr>
              <w:t>数据清洗与整合： 采用Python（Pandas、NumPy库）对从信息系统中获取的多源数据进行标准化处理，包括处理缺失值（如使用均值/中位数填充或基于时间序列的插值法）、识别并修正异常值、统一数据格式，确保数据的一致性与准确性。探索性分析与可视化： 利用Matplotlib、Seaborn等可视化工具，对患者就诊量的时间分布、周期性、趋势性以及不同患者群体的行为模式进行深入分析，以发掘数据背后的潜在规律。特征工程： 基于业务理解，构建能够提升模型性能的关键特征，包括：① 时间衍生特征（如星期几、是否为节假日、季节等）；② 患者行为特征（如个体治疗频率、偏好稳定性等）；③ 滞后特征（如过去N天/周的平均就诊人次）。</w:t>
            </w:r>
          </w:p>
          <w:p w14:paraId="63B56C10">
            <w:pPr>
              <w:rPr>
                <w:rFonts w:ascii="宋体" w:hAnsi="宋体" w:cs="宋体"/>
                <w:color w:val="000000"/>
                <w:szCs w:val="21"/>
              </w:rPr>
            </w:pPr>
            <w:r>
              <w:rPr>
                <w:rFonts w:hint="eastAsia" w:ascii="宋体" w:hAnsi="宋体" w:cs="宋体"/>
                <w:color w:val="000000"/>
                <w:szCs w:val="21"/>
              </w:rPr>
              <w:t>2. 需求预测：基于模型对比与集成融合的建模方法</w:t>
            </w:r>
          </w:p>
          <w:p w14:paraId="0F341DD4">
            <w:pPr>
              <w:ind w:firstLine="420" w:firstLineChars="200"/>
              <w:rPr>
                <w:rFonts w:ascii="宋体" w:hAnsi="宋体" w:cs="宋体"/>
                <w:color w:val="000000"/>
                <w:szCs w:val="21"/>
              </w:rPr>
            </w:pPr>
            <w:r>
              <w:rPr>
                <w:rFonts w:hint="eastAsia" w:ascii="宋体" w:hAnsi="宋体" w:cs="宋体"/>
                <w:color w:val="000000"/>
                <w:szCs w:val="21"/>
              </w:rPr>
              <w:t>本阶段的核心是构建一个高精度的混合预测模型。基线模型选型与对比XGBoost 利用其强大的梯度提升框架，高效处理和挖掘结构化特征（如患者属性、时间衍生特征）之间的复杂非线性关系。Mamba采用其创新的状态空间模型（SSM）架构，专注于捕捉医疗时间序列数据中的长期依赖关系，相比传统RNN/LSTM在长序列预测上更具效率和性能优势。模型评估与选择：将采用严格的交叉验证方法，在独立的测试集上，通过均方根误差（RMSE）、平均绝对误差（MAE）和决定系数（R²）等多个指标，对上述模型的预测准确性、计算效率和泛化能力进行综合评估。动态集成融合是基于各模型在不同场景下的表现，构建一个动态加权集成预测模型。该模型能够根据近期数据的预测误差动态调整XGBoost和Mamba等基线模型的权重，从而实现优势互补，获得比任何单一模型都更稳健和精准的最终预测结果。</w:t>
            </w:r>
          </w:p>
          <w:p w14:paraId="4ADB1651">
            <w:pPr>
              <w:rPr>
                <w:rFonts w:ascii="宋体" w:hAnsi="宋体" w:cs="宋体"/>
                <w:szCs w:val="21"/>
              </w:rPr>
            </w:pPr>
            <w:r>
              <w:rPr>
                <w:rFonts w:hint="eastAsia" w:ascii="宋体" w:hAnsi="宋体" w:cs="宋体"/>
                <w:color w:val="000000"/>
                <w:szCs w:val="21"/>
              </w:rPr>
              <w:t>3. 医疗资源的动态调度：</w:t>
            </w:r>
            <w:r>
              <w:rPr>
                <w:rFonts w:hint="eastAsia" w:ascii="宋体" w:hAnsi="宋体" w:cs="宋体"/>
                <w:szCs w:val="21"/>
              </w:rPr>
              <w:t>基于深度强化学习的动态调度优化方法</w:t>
            </w:r>
          </w:p>
          <w:p w14:paraId="1B82F95E">
            <w:pPr>
              <w:rPr>
                <w:rFonts w:ascii="宋体" w:hAnsi="宋体" w:cs="宋体"/>
                <w:color w:val="000000"/>
                <w:szCs w:val="21"/>
              </w:rPr>
            </w:pPr>
            <w:r>
              <w:rPr>
                <w:rFonts w:hint="eastAsia" w:ascii="宋体" w:hAnsi="宋体" w:cs="宋体"/>
                <w:color w:val="000000"/>
                <w:szCs w:val="21"/>
              </w:rPr>
              <w:t>本阶段旨在设计能够响应预测结果并进行智能决策的调度核心。</w:t>
            </w:r>
          </w:p>
          <w:p w14:paraId="5D971AF3">
            <w:pPr>
              <w:rPr>
                <w:rFonts w:ascii="宋体" w:hAnsi="宋体" w:cs="宋体"/>
                <w:color w:val="000000"/>
                <w:szCs w:val="21"/>
              </w:rPr>
            </w:pPr>
            <w:r>
              <w:rPr>
                <w:rFonts w:hint="eastAsia" w:ascii="宋体" w:hAnsi="宋体" w:cs="宋体"/>
                <w:color w:val="000000"/>
                <w:szCs w:val="21"/>
              </w:rPr>
              <w:t>首先，将动态调度问题严格构建为一个马尔可夫决策过程（MDP），清晰定义其核心要素：</w:t>
            </w:r>
          </w:p>
          <w:p w14:paraId="25B40C9A">
            <w:pPr>
              <w:rPr>
                <w:rFonts w:ascii="宋体" w:hAnsi="宋体" w:cs="宋体"/>
                <w:color w:val="000000"/>
                <w:szCs w:val="21"/>
              </w:rPr>
            </w:pPr>
            <w:r>
              <w:rPr>
                <w:rFonts w:hint="eastAsia" w:ascii="宋体" w:hAnsi="宋体" w:cs="宋体"/>
                <w:color w:val="000000"/>
                <w:szCs w:val="21"/>
              </w:rPr>
              <w:t>状态（State）： 包含当前和未来预测的患者需求、设备可用状态、护士排班情况等信息的系统快照。</w:t>
            </w:r>
          </w:p>
          <w:p w14:paraId="21706F9C">
            <w:pPr>
              <w:rPr>
                <w:rFonts w:ascii="宋体" w:hAnsi="宋体" w:cs="宋体"/>
                <w:color w:val="000000"/>
                <w:szCs w:val="21"/>
              </w:rPr>
            </w:pPr>
            <w:r>
              <w:rPr>
                <w:rFonts w:hint="eastAsia" w:ascii="宋体" w:hAnsi="宋体" w:cs="宋体"/>
                <w:color w:val="000000"/>
                <w:szCs w:val="21"/>
              </w:rPr>
              <w:t>动作（Action）： 调度决策，即在特定时刻为特定患者分配具体的透析设备和护士。</w:t>
            </w:r>
          </w:p>
          <w:p w14:paraId="41617296">
            <w:pPr>
              <w:rPr>
                <w:rFonts w:ascii="宋体" w:hAnsi="宋体" w:cs="宋体"/>
                <w:szCs w:val="21"/>
              </w:rPr>
            </w:pPr>
            <w:r>
              <w:rPr>
                <w:rFonts w:hint="eastAsia" w:ascii="宋体" w:hAnsi="宋体" w:cs="宋体"/>
                <w:color w:val="000000"/>
                <w:szCs w:val="21"/>
              </w:rPr>
              <w:t>奖励（Reward）：</w:t>
            </w:r>
            <w:r>
              <w:rPr>
                <w:rFonts w:hint="eastAsia" w:ascii="宋体" w:hAnsi="宋体" w:cs="宋体"/>
                <w:color w:val="EE0000"/>
                <w:szCs w:val="21"/>
              </w:rPr>
              <w:t xml:space="preserve"> </w:t>
            </w:r>
            <w:r>
              <w:rPr>
                <w:rFonts w:hint="eastAsia" w:ascii="宋体" w:hAnsi="宋体" w:cs="宋体"/>
                <w:szCs w:val="21"/>
              </w:rPr>
              <w:t>将当前机器利用率设计为奖励函数，用于量化每个动作带来的综合收益。</w:t>
            </w:r>
          </w:p>
          <w:p w14:paraId="421022FA">
            <w:pPr>
              <w:rPr>
                <w:rFonts w:ascii="宋体" w:hAnsi="宋体" w:cs="宋体"/>
                <w:szCs w:val="21"/>
              </w:rPr>
            </w:pPr>
            <w:r>
              <w:rPr>
                <w:rFonts w:hint="eastAsia" w:ascii="宋体" w:hAnsi="宋体" w:cs="宋体"/>
                <w:szCs w:val="21"/>
              </w:rPr>
              <w:t>策略模型：以深度学习为基础，利用Transformer构建策略模型。</w:t>
            </w:r>
          </w:p>
          <w:p w14:paraId="1AA40E20">
            <w:pPr>
              <w:rPr>
                <w:rFonts w:ascii="宋体" w:hAnsi="宋体" w:cs="宋体"/>
                <w:szCs w:val="21"/>
              </w:rPr>
            </w:pPr>
            <w:r>
              <w:rPr>
                <w:rFonts w:hint="eastAsia" w:ascii="宋体" w:hAnsi="宋体" w:cs="宋体"/>
                <w:szCs w:val="21"/>
              </w:rPr>
              <w:t>训练方式：以策略优化算法（Actor-critic）为基础，智能体通过与模拟环境进行海量交互试错，学习在不同状态下能最大化长期累积奖励的调度策略从而获最优策略。</w:t>
            </w:r>
          </w:p>
          <w:p w14:paraId="7723E1FE">
            <w:pPr>
              <w:rPr>
                <w:rFonts w:ascii="宋体" w:hAnsi="宋体" w:cs="宋体"/>
                <w:color w:val="000000"/>
                <w:szCs w:val="21"/>
              </w:rPr>
            </w:pPr>
            <w:r>
              <w:rPr>
                <w:rFonts w:hint="eastAsia" w:ascii="宋体" w:hAnsi="宋体" w:cs="宋体"/>
                <w:color w:val="000000"/>
                <w:szCs w:val="21"/>
              </w:rPr>
              <w:t>（五）技术路线</w:t>
            </w:r>
          </w:p>
          <w:p w14:paraId="0E75FE55">
            <w:pPr>
              <w:rPr>
                <w:rFonts w:ascii="宋体" w:hAnsi="宋体" w:cs="宋体"/>
                <w:color w:val="000000"/>
                <w:szCs w:val="21"/>
              </w:rPr>
            </w:pPr>
            <w:r>
              <w:rPr>
                <w:rFonts w:hint="eastAsia" w:ascii="宋体" w:hAnsi="宋体" w:cs="宋体"/>
                <w:color w:val="000000"/>
                <w:szCs w:val="21"/>
              </w:rPr>
              <w:drawing>
                <wp:inline distT="0" distB="0" distL="114300" distR="114300">
                  <wp:extent cx="4533265" cy="4437380"/>
                  <wp:effectExtent l="0" t="0" r="13335" b="7620"/>
                  <wp:docPr id="8" name="图片 8"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未命名文件"/>
                          <pic:cNvPicPr>
                            <a:picLocks noChangeAspect="1"/>
                          </pic:cNvPicPr>
                        </pic:nvPicPr>
                        <pic:blipFill>
                          <a:blip r:embed="rId5"/>
                          <a:stretch>
                            <a:fillRect/>
                          </a:stretch>
                        </pic:blipFill>
                        <pic:spPr>
                          <a:xfrm>
                            <a:off x="0" y="0"/>
                            <a:ext cx="4533265" cy="4437380"/>
                          </a:xfrm>
                          <a:prstGeom prst="rect">
                            <a:avLst/>
                          </a:prstGeom>
                        </pic:spPr>
                      </pic:pic>
                    </a:graphicData>
                  </a:graphic>
                </wp:inline>
              </w:drawing>
            </w:r>
          </w:p>
          <w:p w14:paraId="333B8836">
            <w:pPr>
              <w:rPr>
                <w:rFonts w:ascii="宋体" w:hAnsi="宋体" w:cs="宋体"/>
                <w:color w:val="000000"/>
                <w:szCs w:val="21"/>
              </w:rPr>
            </w:pPr>
          </w:p>
          <w:p w14:paraId="7248114F">
            <w:pPr>
              <w:rPr>
                <w:rFonts w:ascii="宋体" w:hAnsi="宋体" w:cs="宋体"/>
                <w:color w:val="000000"/>
                <w:szCs w:val="21"/>
              </w:rPr>
            </w:pPr>
          </w:p>
          <w:p w14:paraId="25B854FB">
            <w:pPr>
              <w:rPr>
                <w:rFonts w:ascii="宋体" w:hAnsi="宋体" w:cs="宋体"/>
                <w:color w:val="000000"/>
                <w:szCs w:val="21"/>
              </w:rPr>
            </w:pPr>
          </w:p>
          <w:p w14:paraId="7E909C40">
            <w:pPr>
              <w:rPr>
                <w:rFonts w:ascii="宋体" w:hAnsi="宋体" w:cs="宋体"/>
                <w:color w:val="000000"/>
                <w:szCs w:val="21"/>
              </w:rPr>
            </w:pPr>
            <w:r>
              <w:rPr>
                <w:rFonts w:hint="eastAsia" w:ascii="宋体" w:hAnsi="宋体" w:cs="宋体"/>
                <w:color w:val="000000"/>
                <w:szCs w:val="21"/>
              </w:rPr>
              <w:t>（六）实施方案与可行性分析</w:t>
            </w:r>
          </w:p>
          <w:p w14:paraId="388925DA">
            <w:pPr>
              <w:ind w:firstLine="420" w:firstLineChars="200"/>
              <w:rPr>
                <w:rFonts w:ascii="宋体" w:hAnsi="宋体" w:cs="宋体"/>
                <w:color w:val="000000"/>
                <w:szCs w:val="21"/>
              </w:rPr>
            </w:pPr>
            <w:r>
              <w:rPr>
                <w:rFonts w:hint="eastAsia" w:ascii="宋体" w:hAnsi="宋体" w:cs="宋体"/>
                <w:color w:val="000000"/>
                <w:szCs w:val="21"/>
              </w:rPr>
              <w:t>数据基础可行：拟选取合作医院或模拟数据平台进行数据采集，透析中心数据结构明确，预测建模条件具备。</w:t>
            </w:r>
          </w:p>
          <w:p w14:paraId="5946B038">
            <w:pPr>
              <w:ind w:firstLine="420" w:firstLineChars="200"/>
              <w:rPr>
                <w:rFonts w:ascii="宋体" w:hAnsi="宋体" w:cs="宋体"/>
                <w:color w:val="000000"/>
                <w:szCs w:val="21"/>
              </w:rPr>
            </w:pPr>
            <w:r>
              <w:rPr>
                <w:rFonts w:hint="eastAsia" w:ascii="宋体" w:hAnsi="宋体" w:cs="宋体"/>
                <w:color w:val="000000"/>
                <w:szCs w:val="21"/>
              </w:rPr>
              <w:t>技术工具完备：使用PyTorch等主流深度学习框架，结合SciPy/Cplex等优化工具，有效支撑模型开发。</w:t>
            </w:r>
          </w:p>
          <w:p w14:paraId="71D940F6">
            <w:pPr>
              <w:ind w:firstLine="420" w:firstLineChars="200"/>
              <w:rPr>
                <w:rFonts w:ascii="宋体" w:hAnsi="宋体" w:cs="宋体"/>
                <w:color w:val="000000"/>
                <w:szCs w:val="21"/>
              </w:rPr>
            </w:pPr>
            <w:r>
              <w:rPr>
                <w:rFonts w:hint="eastAsia" w:ascii="宋体" w:hAnsi="宋体" w:cs="宋体"/>
                <w:color w:val="000000"/>
                <w:szCs w:val="21"/>
              </w:rPr>
              <w:t>实际需求明确：透析中心面临的资源调度难题广泛存在，研究成果具备广泛适应性；</w:t>
            </w:r>
          </w:p>
          <w:p w14:paraId="080F3CB7">
            <w:pPr>
              <w:ind w:firstLine="420" w:firstLineChars="200"/>
              <w:rPr>
                <w:rFonts w:ascii="宋体" w:hAnsi="宋体" w:cs="宋体"/>
                <w:color w:val="000000"/>
                <w:szCs w:val="21"/>
              </w:rPr>
            </w:pPr>
            <w:r>
              <w:rPr>
                <w:rFonts w:hint="eastAsia" w:ascii="宋体" w:hAnsi="宋体" w:cs="宋体"/>
                <w:color w:val="000000"/>
                <w:szCs w:val="21"/>
              </w:rPr>
              <w:t>伦理与合规性可控：研究遵守医院数据合规与隐私保护政策，采用去标识化数据开展建模。</w:t>
            </w:r>
          </w:p>
          <w:p w14:paraId="61C3969D">
            <w:pPr>
              <w:rPr>
                <w:rFonts w:ascii="宋体" w:hAnsi="宋体" w:cs="宋体"/>
                <w:color w:val="000000"/>
                <w:szCs w:val="21"/>
              </w:rPr>
            </w:pPr>
          </w:p>
          <w:p w14:paraId="54F886EE">
            <w:pPr>
              <w:rPr>
                <w:rFonts w:ascii="宋体" w:hAnsi="宋体" w:cs="宋体"/>
                <w:color w:val="000000"/>
                <w:szCs w:val="21"/>
              </w:rPr>
            </w:pPr>
            <w:r>
              <w:rPr>
                <w:rFonts w:hint="eastAsia" w:ascii="宋体" w:hAnsi="宋体" w:cs="宋体"/>
                <w:color w:val="000000"/>
                <w:szCs w:val="21"/>
              </w:rPr>
              <w:t>（七）论文目录</w:t>
            </w:r>
          </w:p>
          <w:p w14:paraId="40AE78C0">
            <w:pPr>
              <w:rPr>
                <w:rFonts w:ascii="宋体" w:hAnsi="宋体" w:cs="宋体"/>
                <w:color w:val="000000"/>
                <w:szCs w:val="21"/>
              </w:rPr>
            </w:pPr>
            <w:r>
              <w:rPr>
                <w:rFonts w:hint="eastAsia" w:ascii="宋体" w:hAnsi="宋体" w:cs="宋体"/>
                <w:color w:val="000000"/>
                <w:szCs w:val="21"/>
              </w:rPr>
              <w:t>摘要</w:t>
            </w:r>
          </w:p>
          <w:p w14:paraId="0D5AF021">
            <w:pPr>
              <w:rPr>
                <w:rFonts w:ascii="宋体" w:hAnsi="宋体" w:cs="宋体"/>
                <w:color w:val="000000"/>
                <w:szCs w:val="21"/>
              </w:rPr>
            </w:pPr>
            <w:r>
              <w:rPr>
                <w:rFonts w:hint="eastAsia" w:ascii="宋体" w:hAnsi="宋体" w:cs="宋体"/>
                <w:color w:val="000000"/>
                <w:szCs w:val="21"/>
              </w:rPr>
              <w:t>Abstract</w:t>
            </w:r>
          </w:p>
          <w:p w14:paraId="46D865C2">
            <w:pPr>
              <w:rPr>
                <w:rFonts w:ascii="宋体" w:hAnsi="宋体" w:cs="宋体"/>
                <w:color w:val="000000"/>
                <w:szCs w:val="21"/>
              </w:rPr>
            </w:pPr>
            <w:r>
              <w:rPr>
                <w:rFonts w:hint="eastAsia" w:ascii="宋体" w:hAnsi="宋体" w:cs="宋体"/>
                <w:color w:val="000000"/>
                <w:szCs w:val="21"/>
              </w:rPr>
              <w:t>第一章 绪论</w:t>
            </w:r>
          </w:p>
          <w:p w14:paraId="3AFE52A8">
            <w:pPr>
              <w:rPr>
                <w:rFonts w:ascii="宋体" w:hAnsi="宋体" w:cs="宋体"/>
                <w:color w:val="000000"/>
                <w:szCs w:val="21"/>
              </w:rPr>
            </w:pPr>
            <w:r>
              <w:rPr>
                <w:rFonts w:hint="eastAsia" w:ascii="宋体" w:hAnsi="宋体" w:cs="宋体"/>
                <w:color w:val="000000"/>
                <w:szCs w:val="21"/>
              </w:rPr>
              <w:t>1.1 研究背景与意义</w:t>
            </w:r>
          </w:p>
          <w:p w14:paraId="04DEB68D">
            <w:pPr>
              <w:rPr>
                <w:rFonts w:ascii="宋体" w:hAnsi="宋体" w:cs="宋体"/>
                <w:color w:val="000000"/>
                <w:szCs w:val="21"/>
              </w:rPr>
            </w:pPr>
            <w:r>
              <w:rPr>
                <w:rFonts w:hint="eastAsia" w:ascii="宋体" w:hAnsi="宋体" w:cs="宋体"/>
                <w:color w:val="000000"/>
                <w:szCs w:val="21"/>
              </w:rPr>
              <w:t> 1.1.1 理论研究意义</w:t>
            </w:r>
          </w:p>
          <w:p w14:paraId="18CA9A27">
            <w:pPr>
              <w:rPr>
                <w:rFonts w:ascii="宋体" w:hAnsi="宋体" w:cs="宋体"/>
                <w:color w:val="000000"/>
                <w:szCs w:val="21"/>
              </w:rPr>
            </w:pPr>
            <w:r>
              <w:rPr>
                <w:rFonts w:hint="eastAsia" w:ascii="宋体" w:hAnsi="宋体" w:cs="宋体"/>
                <w:color w:val="000000"/>
                <w:szCs w:val="21"/>
              </w:rPr>
              <w:t> 1.1.2 实践应用价值</w:t>
            </w:r>
          </w:p>
          <w:p w14:paraId="60526673">
            <w:pPr>
              <w:rPr>
                <w:rFonts w:ascii="宋体" w:hAnsi="宋体" w:cs="宋体"/>
                <w:color w:val="000000"/>
                <w:szCs w:val="21"/>
              </w:rPr>
            </w:pPr>
            <w:r>
              <w:rPr>
                <w:rFonts w:hint="eastAsia" w:ascii="宋体" w:hAnsi="宋体" w:cs="宋体"/>
                <w:color w:val="000000"/>
                <w:szCs w:val="21"/>
              </w:rPr>
              <w:t>1.2 国内外研究现状与发展趋势</w:t>
            </w:r>
          </w:p>
          <w:p w14:paraId="3F5A5BC7">
            <w:pPr>
              <w:rPr>
                <w:rFonts w:ascii="宋体" w:hAnsi="宋体" w:cs="宋体"/>
                <w:color w:val="000000"/>
                <w:szCs w:val="21"/>
              </w:rPr>
            </w:pPr>
            <w:r>
              <w:rPr>
                <w:rFonts w:hint="eastAsia" w:ascii="宋体" w:hAnsi="宋体" w:cs="宋体"/>
                <w:color w:val="000000"/>
                <w:szCs w:val="21"/>
              </w:rPr>
              <w:t> 1.2.1 国外研究现状</w:t>
            </w:r>
          </w:p>
          <w:p w14:paraId="1A02831F">
            <w:pPr>
              <w:rPr>
                <w:rFonts w:ascii="宋体" w:hAnsi="宋体" w:cs="宋体"/>
                <w:color w:val="000000"/>
                <w:szCs w:val="21"/>
              </w:rPr>
            </w:pPr>
            <w:r>
              <w:rPr>
                <w:rFonts w:hint="eastAsia" w:ascii="宋体" w:hAnsi="宋体" w:cs="宋体"/>
                <w:color w:val="000000"/>
                <w:szCs w:val="21"/>
              </w:rPr>
              <w:t> 1.2.2 国内研究现状</w:t>
            </w:r>
          </w:p>
          <w:p w14:paraId="62AE88F9">
            <w:pPr>
              <w:rPr>
                <w:rFonts w:ascii="宋体" w:hAnsi="宋体" w:cs="宋体"/>
                <w:color w:val="000000"/>
                <w:szCs w:val="21"/>
              </w:rPr>
            </w:pPr>
            <w:r>
              <w:rPr>
                <w:rFonts w:hint="eastAsia" w:ascii="宋体" w:hAnsi="宋体" w:cs="宋体"/>
                <w:color w:val="000000"/>
                <w:szCs w:val="21"/>
              </w:rPr>
              <w:t> 1.2.3 研究趋势与不足</w:t>
            </w:r>
          </w:p>
          <w:p w14:paraId="2EC39DDE">
            <w:pPr>
              <w:rPr>
                <w:rFonts w:ascii="宋体" w:hAnsi="宋体" w:cs="宋体"/>
                <w:color w:val="000000"/>
                <w:szCs w:val="21"/>
              </w:rPr>
            </w:pPr>
            <w:r>
              <w:rPr>
                <w:rFonts w:hint="eastAsia" w:ascii="宋体" w:hAnsi="宋体" w:cs="宋体"/>
                <w:color w:val="000000"/>
                <w:szCs w:val="21"/>
              </w:rPr>
              <w:t>1.3 研究目标与研究内容</w:t>
            </w:r>
          </w:p>
          <w:p w14:paraId="2F995717">
            <w:pPr>
              <w:rPr>
                <w:rFonts w:ascii="宋体" w:hAnsi="宋体" w:cs="宋体"/>
                <w:color w:val="000000"/>
                <w:szCs w:val="21"/>
              </w:rPr>
            </w:pPr>
            <w:r>
              <w:rPr>
                <w:rFonts w:hint="eastAsia" w:ascii="宋体" w:hAnsi="宋体" w:cs="宋体"/>
                <w:color w:val="000000"/>
                <w:szCs w:val="21"/>
              </w:rPr>
              <w:t>1.4 研究方法与技术路线</w:t>
            </w:r>
          </w:p>
          <w:p w14:paraId="03546C1E">
            <w:pPr>
              <w:rPr>
                <w:rFonts w:ascii="宋体" w:hAnsi="宋体" w:cs="宋体"/>
                <w:color w:val="000000"/>
                <w:szCs w:val="21"/>
              </w:rPr>
            </w:pPr>
            <w:r>
              <w:rPr>
                <w:rFonts w:hint="eastAsia" w:ascii="宋体" w:hAnsi="宋体" w:cs="宋体"/>
                <w:color w:val="000000"/>
                <w:szCs w:val="21"/>
              </w:rPr>
              <w:t>1.5 论文结构安排</w:t>
            </w:r>
          </w:p>
          <w:p w14:paraId="49FE6DC2">
            <w:pPr>
              <w:rPr>
                <w:rFonts w:ascii="宋体" w:hAnsi="宋体" w:cs="宋体"/>
                <w:color w:val="000000"/>
                <w:szCs w:val="21"/>
              </w:rPr>
            </w:pPr>
            <w:r>
              <w:rPr>
                <w:rFonts w:hint="eastAsia" w:ascii="宋体" w:hAnsi="宋体" w:cs="宋体"/>
                <w:color w:val="000000"/>
                <w:szCs w:val="21"/>
              </w:rPr>
              <w:t>第二章 相关理论与技术基础</w:t>
            </w:r>
          </w:p>
          <w:p w14:paraId="4FC444DA">
            <w:pPr>
              <w:rPr>
                <w:rFonts w:ascii="宋体" w:hAnsi="宋体" w:cs="宋体"/>
                <w:color w:val="000000"/>
                <w:szCs w:val="21"/>
              </w:rPr>
            </w:pPr>
            <w:r>
              <w:rPr>
                <w:rFonts w:hint="eastAsia" w:ascii="宋体" w:hAnsi="宋体" w:cs="宋体"/>
                <w:color w:val="000000"/>
                <w:szCs w:val="21"/>
              </w:rPr>
              <w:t>2.1 血液透析中心业务流程与资源配置特点</w:t>
            </w:r>
          </w:p>
          <w:p w14:paraId="66980761">
            <w:pPr>
              <w:rPr>
                <w:rFonts w:ascii="宋体" w:hAnsi="宋体" w:cs="宋体"/>
                <w:color w:val="000000"/>
                <w:szCs w:val="21"/>
              </w:rPr>
            </w:pPr>
            <w:r>
              <w:rPr>
                <w:rFonts w:hint="eastAsia" w:ascii="宋体" w:hAnsi="宋体" w:cs="宋体"/>
                <w:color w:val="000000"/>
                <w:szCs w:val="21"/>
              </w:rPr>
              <w:t>2.2 需求预测相关理论与方法</w:t>
            </w:r>
          </w:p>
          <w:p w14:paraId="3280E5F7">
            <w:pPr>
              <w:rPr>
                <w:rFonts w:ascii="宋体" w:hAnsi="宋体" w:cs="宋体"/>
                <w:color w:val="000000"/>
                <w:szCs w:val="21"/>
              </w:rPr>
            </w:pPr>
            <w:r>
              <w:rPr>
                <w:rFonts w:hint="eastAsia" w:ascii="宋体" w:hAnsi="宋体" w:cs="宋体"/>
                <w:color w:val="000000"/>
                <w:szCs w:val="21"/>
              </w:rPr>
              <w:t> 2.2.1 时间序列预测模型（LSTM、Mamba）</w:t>
            </w:r>
          </w:p>
          <w:p w14:paraId="26A64B17">
            <w:pPr>
              <w:rPr>
                <w:rFonts w:ascii="宋体" w:hAnsi="宋体" w:cs="宋体"/>
                <w:color w:val="000000"/>
                <w:szCs w:val="21"/>
              </w:rPr>
            </w:pPr>
            <w:r>
              <w:rPr>
                <w:rFonts w:hint="eastAsia" w:ascii="宋体" w:hAnsi="宋体" w:cs="宋体"/>
                <w:color w:val="000000"/>
                <w:szCs w:val="21"/>
              </w:rPr>
              <w:t> 2.2.2 机器学习与集成学习方法（XGBoost）</w:t>
            </w:r>
          </w:p>
          <w:p w14:paraId="36A3E80C">
            <w:pPr>
              <w:rPr>
                <w:rFonts w:ascii="宋体" w:hAnsi="宋体" w:cs="宋体"/>
                <w:color w:val="000000"/>
                <w:szCs w:val="21"/>
              </w:rPr>
            </w:pPr>
            <w:r>
              <w:rPr>
                <w:rFonts w:hint="eastAsia" w:ascii="宋体" w:hAnsi="宋体" w:cs="宋体"/>
                <w:color w:val="000000"/>
                <w:szCs w:val="21"/>
              </w:rPr>
              <w:t>2.3 资源调度优化理论与方法</w:t>
            </w:r>
          </w:p>
          <w:p w14:paraId="30DDDA33">
            <w:pPr>
              <w:rPr>
                <w:rFonts w:ascii="宋体" w:hAnsi="宋体" w:cs="宋体"/>
                <w:color w:val="000000"/>
                <w:szCs w:val="21"/>
              </w:rPr>
            </w:pPr>
            <w:r>
              <w:rPr>
                <w:rFonts w:hint="eastAsia" w:ascii="宋体" w:hAnsi="宋体" w:cs="宋体"/>
                <w:color w:val="000000"/>
                <w:szCs w:val="21"/>
              </w:rPr>
              <w:t> 2.3.1 运筹优化方法（整数规划、多目标优化）</w:t>
            </w:r>
          </w:p>
          <w:p w14:paraId="364F9AD0">
            <w:pPr>
              <w:rPr>
                <w:rFonts w:ascii="宋体" w:hAnsi="宋体" w:cs="宋体"/>
                <w:color w:val="000000"/>
                <w:szCs w:val="21"/>
              </w:rPr>
            </w:pPr>
            <w:r>
              <w:rPr>
                <w:rFonts w:hint="eastAsia" w:ascii="宋体" w:hAnsi="宋体" w:cs="宋体"/>
                <w:color w:val="000000"/>
                <w:szCs w:val="21"/>
              </w:rPr>
              <w:t> 2.3.2 强化学习方法（DQN、PPO 等）</w:t>
            </w:r>
          </w:p>
          <w:p w14:paraId="63B976B8">
            <w:pPr>
              <w:rPr>
                <w:rFonts w:ascii="宋体" w:hAnsi="宋体" w:cs="宋体"/>
                <w:color w:val="000000"/>
                <w:szCs w:val="21"/>
              </w:rPr>
            </w:pPr>
            <w:r>
              <w:rPr>
                <w:rFonts w:hint="eastAsia" w:ascii="宋体" w:hAnsi="宋体" w:cs="宋体"/>
                <w:color w:val="000000"/>
                <w:szCs w:val="21"/>
              </w:rPr>
              <w:t>2.4 预测—优化一体化框架与不确定性建模</w:t>
            </w:r>
          </w:p>
          <w:p w14:paraId="49C76A97">
            <w:pPr>
              <w:rPr>
                <w:rFonts w:ascii="宋体" w:hAnsi="宋体" w:cs="宋体"/>
                <w:color w:val="000000"/>
                <w:szCs w:val="21"/>
              </w:rPr>
            </w:pPr>
            <w:r>
              <w:rPr>
                <w:rFonts w:hint="eastAsia" w:ascii="宋体" w:hAnsi="宋体" w:cs="宋体"/>
                <w:color w:val="000000"/>
                <w:szCs w:val="21"/>
              </w:rPr>
              <w:t>2.5 本章小结</w:t>
            </w:r>
          </w:p>
          <w:p w14:paraId="015B0F9C">
            <w:pPr>
              <w:rPr>
                <w:rFonts w:ascii="宋体" w:hAnsi="宋体" w:cs="宋体"/>
                <w:color w:val="000000"/>
                <w:szCs w:val="21"/>
              </w:rPr>
            </w:pPr>
            <w:r>
              <w:rPr>
                <w:rFonts w:hint="eastAsia" w:ascii="宋体" w:hAnsi="宋体" w:cs="宋体"/>
                <w:color w:val="000000"/>
                <w:szCs w:val="21"/>
              </w:rPr>
              <w:t>第三章 透析需求预测模型构建与评估</w:t>
            </w:r>
          </w:p>
          <w:p w14:paraId="58F0B5F3">
            <w:pPr>
              <w:rPr>
                <w:rFonts w:ascii="宋体" w:hAnsi="宋体" w:cs="宋体"/>
                <w:color w:val="000000"/>
                <w:szCs w:val="21"/>
              </w:rPr>
            </w:pPr>
            <w:r>
              <w:rPr>
                <w:rFonts w:hint="eastAsia" w:ascii="宋体" w:hAnsi="宋体" w:cs="宋体"/>
                <w:color w:val="000000"/>
                <w:szCs w:val="21"/>
              </w:rPr>
              <w:t>3.1 数据预处理</w:t>
            </w:r>
          </w:p>
          <w:p w14:paraId="156A66A8">
            <w:pPr>
              <w:rPr>
                <w:rFonts w:ascii="宋体" w:hAnsi="宋体" w:cs="宋体"/>
                <w:color w:val="000000"/>
                <w:szCs w:val="21"/>
              </w:rPr>
            </w:pPr>
            <w:r>
              <w:rPr>
                <w:rFonts w:hint="eastAsia" w:ascii="宋体" w:hAnsi="宋体" w:cs="宋体"/>
                <w:color w:val="000000"/>
                <w:szCs w:val="21"/>
              </w:rPr>
              <w:t>3.2 模型构建</w:t>
            </w:r>
          </w:p>
          <w:p w14:paraId="2EE93B0D">
            <w:pPr>
              <w:rPr>
                <w:rFonts w:ascii="宋体" w:hAnsi="宋体" w:cs="宋体"/>
                <w:color w:val="000000"/>
                <w:szCs w:val="21"/>
              </w:rPr>
            </w:pPr>
            <w:r>
              <w:rPr>
                <w:rFonts w:hint="eastAsia" w:ascii="宋体" w:hAnsi="宋体" w:cs="宋体"/>
                <w:color w:val="000000"/>
                <w:szCs w:val="21"/>
              </w:rPr>
              <w:t>3.3 模型评价指标</w:t>
            </w:r>
          </w:p>
          <w:p w14:paraId="1CEF0FE7">
            <w:pPr>
              <w:rPr>
                <w:rFonts w:ascii="宋体" w:hAnsi="宋体" w:cs="宋体"/>
                <w:color w:val="000000"/>
                <w:szCs w:val="21"/>
              </w:rPr>
            </w:pPr>
            <w:r>
              <w:rPr>
                <w:rFonts w:hint="eastAsia" w:ascii="宋体" w:hAnsi="宋体" w:cs="宋体"/>
                <w:color w:val="000000"/>
                <w:szCs w:val="21"/>
              </w:rPr>
              <w:t>3.4 实验结果分析</w:t>
            </w:r>
          </w:p>
          <w:p w14:paraId="183E5352">
            <w:pPr>
              <w:rPr>
                <w:rFonts w:ascii="宋体" w:hAnsi="宋体" w:cs="宋体"/>
                <w:color w:val="000000"/>
                <w:szCs w:val="21"/>
              </w:rPr>
            </w:pPr>
            <w:r>
              <w:rPr>
                <w:rFonts w:hint="eastAsia" w:ascii="宋体" w:hAnsi="宋体" w:cs="宋体"/>
                <w:color w:val="000000"/>
                <w:szCs w:val="21"/>
              </w:rPr>
              <w:t>3.4.1 对比实验</w:t>
            </w:r>
          </w:p>
          <w:p w14:paraId="39C7522A">
            <w:pPr>
              <w:rPr>
                <w:rFonts w:ascii="宋体" w:hAnsi="宋体" w:cs="宋体"/>
                <w:color w:val="000000"/>
                <w:szCs w:val="21"/>
              </w:rPr>
            </w:pPr>
            <w:r>
              <w:rPr>
                <w:rFonts w:hint="eastAsia" w:ascii="宋体" w:hAnsi="宋体" w:cs="宋体"/>
                <w:color w:val="000000"/>
                <w:szCs w:val="21"/>
              </w:rPr>
              <w:t>3.4.2 因子重要性分析</w:t>
            </w:r>
          </w:p>
          <w:p w14:paraId="0C7F655F">
            <w:pPr>
              <w:rPr>
                <w:rFonts w:ascii="宋体" w:hAnsi="宋体" w:cs="宋体"/>
                <w:color w:val="000000"/>
                <w:szCs w:val="21"/>
              </w:rPr>
            </w:pPr>
            <w:r>
              <w:rPr>
                <w:rFonts w:hint="eastAsia" w:ascii="宋体" w:hAnsi="宋体" w:cs="宋体"/>
                <w:color w:val="000000"/>
                <w:szCs w:val="21"/>
              </w:rPr>
              <w:t>3.4.3 消融实验/参数分析</w:t>
            </w:r>
          </w:p>
          <w:p w14:paraId="0D365613">
            <w:pPr>
              <w:rPr>
                <w:rFonts w:ascii="宋体" w:hAnsi="宋体" w:cs="宋体"/>
                <w:color w:val="000000"/>
                <w:szCs w:val="21"/>
              </w:rPr>
            </w:pPr>
            <w:r>
              <w:rPr>
                <w:rFonts w:hint="eastAsia" w:ascii="宋体" w:hAnsi="宋体" w:cs="宋体"/>
                <w:color w:val="000000"/>
                <w:szCs w:val="21"/>
              </w:rPr>
              <w:t>3.5 本章小结</w:t>
            </w:r>
          </w:p>
          <w:p w14:paraId="3FEA22E3">
            <w:pPr>
              <w:rPr>
                <w:rFonts w:ascii="宋体" w:hAnsi="宋体" w:cs="宋体"/>
                <w:color w:val="000000"/>
                <w:szCs w:val="21"/>
              </w:rPr>
            </w:pPr>
            <w:r>
              <w:rPr>
                <w:rFonts w:hint="eastAsia" w:ascii="宋体" w:hAnsi="宋体" w:cs="宋体"/>
                <w:color w:val="000000"/>
                <w:szCs w:val="21"/>
              </w:rPr>
              <w:t>第四章 医疗资源的动态调度</w:t>
            </w:r>
          </w:p>
          <w:p w14:paraId="403E3565">
            <w:pPr>
              <w:rPr>
                <w:rFonts w:ascii="宋体" w:hAnsi="宋体" w:cs="宋体"/>
                <w:color w:val="000000"/>
                <w:szCs w:val="21"/>
              </w:rPr>
            </w:pPr>
            <w:r>
              <w:rPr>
                <w:rFonts w:hint="eastAsia" w:ascii="宋体" w:hAnsi="宋体" w:cs="宋体"/>
                <w:color w:val="000000"/>
                <w:szCs w:val="21"/>
              </w:rPr>
              <w:t>4.1 数学模型（医疗资源的调度优化建模）</w:t>
            </w:r>
          </w:p>
          <w:p w14:paraId="74548ED1">
            <w:pPr>
              <w:rPr>
                <w:rFonts w:ascii="宋体" w:hAnsi="宋体" w:cs="宋体"/>
                <w:color w:val="000000"/>
                <w:szCs w:val="21"/>
              </w:rPr>
            </w:pPr>
            <w:r>
              <w:rPr>
                <w:rFonts w:hint="eastAsia" w:ascii="宋体" w:hAnsi="宋体" w:cs="宋体"/>
                <w:color w:val="000000"/>
                <w:szCs w:val="21"/>
              </w:rPr>
              <w:t>4.2 动态调度优化模型建立</w:t>
            </w:r>
          </w:p>
          <w:p w14:paraId="651F4838">
            <w:pPr>
              <w:rPr>
                <w:rFonts w:ascii="宋体" w:hAnsi="宋体" w:cs="宋体"/>
                <w:color w:val="000000"/>
                <w:szCs w:val="21"/>
              </w:rPr>
            </w:pPr>
            <w:r>
              <w:rPr>
                <w:rFonts w:hint="eastAsia" w:ascii="宋体" w:hAnsi="宋体" w:cs="宋体"/>
                <w:color w:val="000000"/>
                <w:szCs w:val="21"/>
              </w:rPr>
              <w:t> 4.2.1 策略模型</w:t>
            </w:r>
          </w:p>
          <w:p w14:paraId="45C1C54D">
            <w:pPr>
              <w:rPr>
                <w:rFonts w:ascii="宋体" w:hAnsi="宋体" w:cs="宋体"/>
                <w:color w:val="000000"/>
                <w:szCs w:val="21"/>
              </w:rPr>
            </w:pPr>
            <w:r>
              <w:rPr>
                <w:rFonts w:hint="eastAsia" w:ascii="宋体" w:hAnsi="宋体" w:cs="宋体"/>
                <w:color w:val="000000"/>
                <w:szCs w:val="21"/>
              </w:rPr>
              <w:t> 4.2.2 训练算法</w:t>
            </w:r>
          </w:p>
          <w:p w14:paraId="25AC69F0">
            <w:pPr>
              <w:rPr>
                <w:rFonts w:ascii="宋体" w:hAnsi="宋体" w:cs="宋体"/>
                <w:color w:val="000000"/>
                <w:szCs w:val="21"/>
              </w:rPr>
            </w:pPr>
            <w:r>
              <w:rPr>
                <w:rFonts w:hint="eastAsia" w:ascii="宋体" w:hAnsi="宋体" w:cs="宋体"/>
                <w:color w:val="000000"/>
                <w:szCs w:val="21"/>
              </w:rPr>
              <w:t>4.3 实验结果分析</w:t>
            </w:r>
          </w:p>
          <w:p w14:paraId="333E72D5">
            <w:pPr>
              <w:rPr>
                <w:rFonts w:ascii="宋体" w:hAnsi="宋体" w:cs="宋体"/>
                <w:color w:val="000000"/>
                <w:szCs w:val="21"/>
              </w:rPr>
            </w:pPr>
            <w:r>
              <w:rPr>
                <w:rFonts w:hint="eastAsia" w:ascii="宋体" w:hAnsi="宋体" w:cs="宋体"/>
                <w:color w:val="000000"/>
                <w:szCs w:val="21"/>
              </w:rPr>
              <w:t> 4.3.1 对比实验结果</w:t>
            </w:r>
          </w:p>
          <w:p w14:paraId="3C46C677">
            <w:pPr>
              <w:rPr>
                <w:rFonts w:ascii="宋体" w:hAnsi="宋体" w:cs="宋体"/>
                <w:color w:val="000000"/>
                <w:szCs w:val="21"/>
              </w:rPr>
            </w:pPr>
            <w:r>
              <w:rPr>
                <w:rFonts w:hint="eastAsia" w:ascii="宋体" w:hAnsi="宋体" w:cs="宋体"/>
                <w:color w:val="000000"/>
                <w:szCs w:val="21"/>
              </w:rPr>
              <w:t> 4.3.2 参数实验</w:t>
            </w:r>
          </w:p>
          <w:p w14:paraId="0420F472">
            <w:pPr>
              <w:rPr>
                <w:rFonts w:ascii="宋体" w:hAnsi="宋体" w:cs="宋体"/>
                <w:color w:val="000000"/>
                <w:szCs w:val="21"/>
              </w:rPr>
            </w:pPr>
            <w:r>
              <w:rPr>
                <w:rFonts w:hint="eastAsia" w:ascii="宋体" w:hAnsi="宋体" w:cs="宋体"/>
                <w:color w:val="000000"/>
                <w:szCs w:val="21"/>
              </w:rPr>
              <w:t> 4.3.3 案例分析</w:t>
            </w:r>
          </w:p>
          <w:p w14:paraId="245C7A75">
            <w:pPr>
              <w:rPr>
                <w:rFonts w:ascii="宋体" w:hAnsi="宋体" w:cs="宋体"/>
                <w:color w:val="000000"/>
                <w:szCs w:val="21"/>
              </w:rPr>
            </w:pPr>
            <w:r>
              <w:rPr>
                <w:rFonts w:hint="eastAsia" w:ascii="宋体" w:hAnsi="宋体" w:cs="宋体"/>
                <w:color w:val="000000"/>
                <w:szCs w:val="21"/>
              </w:rPr>
              <w:t>4.4 本章小结</w:t>
            </w:r>
          </w:p>
          <w:p w14:paraId="4CF25B77">
            <w:pPr>
              <w:rPr>
                <w:rFonts w:ascii="宋体" w:hAnsi="宋体" w:cs="宋体"/>
                <w:color w:val="000000"/>
                <w:szCs w:val="21"/>
              </w:rPr>
            </w:pPr>
            <w:r>
              <w:rPr>
                <w:rFonts w:hint="eastAsia" w:ascii="宋体" w:hAnsi="宋体" w:cs="宋体"/>
                <w:color w:val="000000"/>
                <w:szCs w:val="21"/>
              </w:rPr>
              <w:t>第五章 结论与展望</w:t>
            </w:r>
          </w:p>
          <w:p w14:paraId="47D890C0">
            <w:pPr>
              <w:rPr>
                <w:rFonts w:ascii="宋体" w:hAnsi="宋体" w:cs="宋体"/>
                <w:color w:val="000000"/>
                <w:szCs w:val="21"/>
              </w:rPr>
            </w:pPr>
            <w:r>
              <w:rPr>
                <w:rFonts w:hint="eastAsia" w:ascii="宋体" w:hAnsi="宋体" w:cs="宋体"/>
                <w:color w:val="000000"/>
                <w:szCs w:val="21"/>
              </w:rPr>
              <w:t>5.1 研究成果总结</w:t>
            </w:r>
          </w:p>
          <w:p w14:paraId="63E319ED">
            <w:pPr>
              <w:rPr>
                <w:rFonts w:ascii="宋体" w:hAnsi="宋体" w:cs="宋体"/>
                <w:color w:val="000000"/>
                <w:szCs w:val="21"/>
              </w:rPr>
            </w:pPr>
            <w:r>
              <w:rPr>
                <w:rFonts w:hint="eastAsia" w:ascii="宋体" w:hAnsi="宋体" w:cs="宋体"/>
                <w:color w:val="000000"/>
                <w:szCs w:val="21"/>
              </w:rPr>
              <w:t>5.2 创新点与贡献</w:t>
            </w:r>
          </w:p>
          <w:p w14:paraId="0B98DFFF">
            <w:pPr>
              <w:rPr>
                <w:rFonts w:ascii="宋体" w:hAnsi="宋体" w:cs="宋体"/>
                <w:color w:val="000000"/>
                <w:szCs w:val="21"/>
              </w:rPr>
            </w:pPr>
            <w:r>
              <w:rPr>
                <w:rFonts w:hint="eastAsia" w:ascii="宋体" w:hAnsi="宋体" w:cs="宋体"/>
                <w:color w:val="000000"/>
                <w:szCs w:val="21"/>
              </w:rPr>
              <w:t>5.3 存在的不足与改进方向</w:t>
            </w:r>
          </w:p>
          <w:p w14:paraId="7B63E0E6">
            <w:pPr>
              <w:rPr>
                <w:rFonts w:ascii="宋体" w:hAnsi="宋体" w:cs="宋体"/>
                <w:color w:val="000000"/>
                <w:szCs w:val="21"/>
              </w:rPr>
            </w:pPr>
            <w:r>
              <w:rPr>
                <w:rFonts w:hint="eastAsia" w:ascii="宋体" w:hAnsi="宋体" w:cs="宋体"/>
                <w:color w:val="000000"/>
                <w:szCs w:val="21"/>
              </w:rPr>
              <w:t>5.4 后续研究展望</w:t>
            </w:r>
          </w:p>
          <w:p w14:paraId="30E82BB4">
            <w:pPr>
              <w:rPr>
                <w:rFonts w:ascii="宋体" w:hAnsi="宋体" w:cs="宋体"/>
                <w:color w:val="000000"/>
                <w:szCs w:val="21"/>
              </w:rPr>
            </w:pPr>
            <w:r>
              <w:rPr>
                <w:rFonts w:hint="eastAsia" w:ascii="宋体" w:hAnsi="宋体" w:cs="宋体"/>
                <w:color w:val="000000"/>
                <w:szCs w:val="21"/>
              </w:rPr>
              <w:t>参考文献</w:t>
            </w:r>
          </w:p>
          <w:p w14:paraId="7C5C83FE">
            <w:pPr>
              <w:rPr>
                <w:rFonts w:ascii="宋体" w:hAnsi="宋体" w:cs="宋体"/>
                <w:color w:val="000000"/>
                <w:szCs w:val="21"/>
              </w:rPr>
            </w:pPr>
            <w:r>
              <w:rPr>
                <w:rFonts w:hint="eastAsia" w:ascii="宋体" w:hAnsi="宋体" w:cs="宋体"/>
                <w:color w:val="000000"/>
                <w:szCs w:val="21"/>
              </w:rPr>
              <w:t>附录（数据字段表、算法伪代码、实验结果补充等）</w:t>
            </w:r>
          </w:p>
          <w:p w14:paraId="1502617D">
            <w:pPr>
              <w:rPr>
                <w:rFonts w:ascii="宋体" w:hAnsi="宋体" w:cs="宋体"/>
                <w:color w:val="000000"/>
                <w:szCs w:val="21"/>
              </w:rPr>
            </w:pPr>
            <w:r>
              <w:rPr>
                <w:rFonts w:hint="eastAsia" w:ascii="宋体" w:hAnsi="宋体" w:cs="宋体"/>
                <w:color w:val="000000"/>
                <w:szCs w:val="21"/>
              </w:rPr>
              <w:t>致谢</w:t>
            </w:r>
          </w:p>
          <w:p w14:paraId="310631C0">
            <w:pPr>
              <w:rPr>
                <w:rFonts w:ascii="宋体" w:hAnsi="宋体" w:cs="宋体"/>
                <w:color w:val="000000"/>
                <w:szCs w:val="21"/>
              </w:rPr>
            </w:pPr>
          </w:p>
        </w:tc>
      </w:tr>
      <w:tr w14:paraId="2325823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44" w:hRule="atLeast"/>
          <w:jc w:val="center"/>
        </w:trPr>
        <w:tc>
          <w:tcPr>
            <w:tcW w:w="897" w:type="dxa"/>
            <w:vMerge w:val="restart"/>
            <w:tcBorders>
              <w:top w:val="single" w:color="auto" w:sz="4" w:space="0"/>
              <w:left w:val="single" w:color="auto" w:sz="4" w:space="0"/>
              <w:right w:val="single" w:color="auto" w:sz="4" w:space="0"/>
            </w:tcBorders>
          </w:tcPr>
          <w:p w14:paraId="688964C4">
            <w:pPr>
              <w:rPr>
                <w:rFonts w:ascii="宋体" w:hAnsi="宋体" w:cs="宋体"/>
                <w:color w:val="000000"/>
                <w:szCs w:val="21"/>
              </w:rPr>
            </w:pPr>
            <w:r>
              <w:rPr>
                <w:rFonts w:hint="eastAsia" w:ascii="宋体" w:hAnsi="宋体" w:cs="宋体"/>
                <w:color w:val="000000"/>
                <w:szCs w:val="21"/>
              </w:rPr>
              <w:t>五、</w:t>
            </w:r>
          </w:p>
          <w:p w14:paraId="3DA09F0C">
            <w:pPr>
              <w:rPr>
                <w:rFonts w:ascii="宋体" w:hAnsi="宋体" w:cs="宋体"/>
                <w:color w:val="000000"/>
                <w:szCs w:val="21"/>
              </w:rPr>
            </w:pPr>
          </w:p>
          <w:p w14:paraId="0A62D063">
            <w:pPr>
              <w:rPr>
                <w:rFonts w:ascii="宋体" w:hAnsi="宋体" w:cs="宋体"/>
                <w:color w:val="000000"/>
                <w:szCs w:val="21"/>
              </w:rPr>
            </w:pPr>
            <w:r>
              <w:rPr>
                <w:rFonts w:hint="eastAsia" w:ascii="宋体" w:hAnsi="宋体" w:cs="宋体"/>
                <w:color w:val="000000"/>
                <w:szCs w:val="21"/>
              </w:rPr>
              <w:t>工</w:t>
            </w:r>
          </w:p>
          <w:p w14:paraId="489CB97C">
            <w:pPr>
              <w:rPr>
                <w:rFonts w:ascii="宋体" w:hAnsi="宋体" w:cs="宋体"/>
                <w:color w:val="000000"/>
                <w:szCs w:val="21"/>
              </w:rPr>
            </w:pPr>
            <w:r>
              <w:rPr>
                <w:rFonts w:hint="eastAsia" w:ascii="宋体" w:hAnsi="宋体" w:cs="宋体"/>
                <w:color w:val="000000"/>
                <w:szCs w:val="21"/>
              </w:rPr>
              <w:t>作</w:t>
            </w:r>
          </w:p>
          <w:p w14:paraId="25251590">
            <w:pPr>
              <w:rPr>
                <w:rFonts w:ascii="宋体" w:hAnsi="宋体" w:cs="宋体"/>
                <w:color w:val="000000"/>
                <w:szCs w:val="21"/>
              </w:rPr>
            </w:pPr>
            <w:r>
              <w:rPr>
                <w:rFonts w:hint="eastAsia" w:ascii="宋体" w:hAnsi="宋体" w:cs="宋体"/>
                <w:color w:val="000000"/>
                <w:szCs w:val="21"/>
              </w:rPr>
              <w:t>计</w:t>
            </w:r>
          </w:p>
          <w:p w14:paraId="0B276560">
            <w:pPr>
              <w:rPr>
                <w:rFonts w:ascii="宋体" w:hAnsi="宋体" w:cs="宋体"/>
                <w:color w:val="000000"/>
                <w:szCs w:val="21"/>
              </w:rPr>
            </w:pPr>
            <w:r>
              <w:rPr>
                <w:rFonts w:hint="eastAsia" w:ascii="宋体" w:hAnsi="宋体" w:cs="宋体"/>
                <w:color w:val="000000"/>
                <w:szCs w:val="21"/>
              </w:rPr>
              <w:t>划</w:t>
            </w:r>
          </w:p>
          <w:p w14:paraId="438CB719">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3693D478">
            <w:pPr>
              <w:rPr>
                <w:rFonts w:ascii="宋体" w:hAnsi="宋体" w:cs="宋体"/>
                <w:color w:val="000000"/>
                <w:szCs w:val="21"/>
              </w:rPr>
            </w:pPr>
            <w:r>
              <w:rPr>
                <w:rFonts w:hint="eastAsia" w:ascii="宋体" w:hAnsi="宋体" w:cs="宋体"/>
                <w:color w:val="000000"/>
                <w:szCs w:val="21"/>
              </w:rPr>
              <w:t>1</w:t>
            </w:r>
          </w:p>
        </w:tc>
        <w:tc>
          <w:tcPr>
            <w:tcW w:w="1846" w:type="dxa"/>
            <w:tcBorders>
              <w:top w:val="single" w:color="auto" w:sz="4" w:space="0"/>
              <w:left w:val="single" w:color="auto" w:sz="4" w:space="0"/>
              <w:right w:val="single" w:color="auto" w:sz="4" w:space="0"/>
            </w:tcBorders>
          </w:tcPr>
          <w:p w14:paraId="5C122788">
            <w:pPr>
              <w:rPr>
                <w:rFonts w:ascii="宋体" w:hAnsi="宋体" w:cs="宋体"/>
                <w:color w:val="000000"/>
                <w:szCs w:val="21"/>
              </w:rPr>
            </w:pPr>
            <w:r>
              <w:rPr>
                <w:rFonts w:hint="eastAsia" w:ascii="宋体" w:hAnsi="宋体" w:cs="宋体"/>
                <w:color w:val="000000"/>
                <w:szCs w:val="21"/>
              </w:rPr>
              <w:t>实践中发现问题；</w:t>
            </w:r>
          </w:p>
          <w:p w14:paraId="6A0C524C">
            <w:pPr>
              <w:rPr>
                <w:rFonts w:ascii="宋体" w:hAnsi="宋体" w:cs="宋体"/>
                <w:color w:val="000000"/>
                <w:szCs w:val="21"/>
              </w:rPr>
            </w:pPr>
            <w:r>
              <w:rPr>
                <w:rFonts w:hint="eastAsia" w:ascii="宋体" w:hAnsi="宋体" w:cs="宋体"/>
                <w:color w:val="000000"/>
                <w:szCs w:val="21"/>
              </w:rPr>
              <w:t>相关资料的学习；</w:t>
            </w:r>
          </w:p>
          <w:p w14:paraId="5FC5BB07">
            <w:pPr>
              <w:rPr>
                <w:rFonts w:ascii="宋体" w:hAnsi="宋体" w:cs="宋体"/>
                <w:color w:val="000000"/>
                <w:szCs w:val="21"/>
              </w:rPr>
            </w:pPr>
            <w:r>
              <w:rPr>
                <w:rFonts w:hint="eastAsia" w:ascii="宋体" w:hAnsi="宋体" w:cs="宋体"/>
                <w:color w:val="000000"/>
                <w:szCs w:val="21"/>
              </w:rPr>
              <w:t>数据的收集；</w:t>
            </w:r>
          </w:p>
          <w:p w14:paraId="0BE44924">
            <w:pPr>
              <w:rPr>
                <w:rFonts w:ascii="宋体" w:hAnsi="宋体" w:cs="宋体"/>
                <w:color w:val="000000"/>
                <w:szCs w:val="21"/>
              </w:rPr>
            </w:pPr>
          </w:p>
        </w:tc>
        <w:tc>
          <w:tcPr>
            <w:tcW w:w="1846" w:type="dxa"/>
            <w:gridSpan w:val="4"/>
            <w:tcBorders>
              <w:top w:val="single" w:color="auto" w:sz="4" w:space="0"/>
              <w:left w:val="single" w:color="auto" w:sz="4" w:space="0"/>
              <w:right w:val="single" w:color="auto" w:sz="4" w:space="0"/>
            </w:tcBorders>
          </w:tcPr>
          <w:p w14:paraId="426822B0">
            <w:pPr>
              <w:rPr>
                <w:rFonts w:ascii="宋体" w:hAnsi="宋体" w:cs="宋体"/>
                <w:color w:val="000000"/>
                <w:szCs w:val="21"/>
              </w:rPr>
            </w:pPr>
            <w:r>
              <w:rPr>
                <w:rFonts w:hint="eastAsia" w:ascii="宋体" w:hAnsi="宋体" w:cs="宋体"/>
                <w:color w:val="000000"/>
                <w:szCs w:val="21"/>
              </w:rPr>
              <w:t xml:space="preserve">2025年3月-6月 </w:t>
            </w:r>
          </w:p>
        </w:tc>
        <w:tc>
          <w:tcPr>
            <w:tcW w:w="1846" w:type="dxa"/>
            <w:tcBorders>
              <w:top w:val="single" w:color="auto" w:sz="4" w:space="0"/>
              <w:left w:val="single" w:color="auto" w:sz="4" w:space="0"/>
              <w:right w:val="single" w:color="auto" w:sz="4" w:space="0"/>
            </w:tcBorders>
          </w:tcPr>
          <w:p w14:paraId="660CE100">
            <w:pPr>
              <w:rPr>
                <w:rFonts w:ascii="宋体" w:hAnsi="宋体" w:cs="宋体"/>
                <w:color w:val="000000"/>
                <w:szCs w:val="21"/>
              </w:rPr>
            </w:pPr>
            <w:r>
              <w:rPr>
                <w:rFonts w:hint="eastAsia" w:ascii="宋体" w:hAnsi="宋体" w:cs="宋体"/>
                <w:color w:val="000000"/>
                <w:szCs w:val="21"/>
              </w:rPr>
              <w:t>完成透析中心历史数据收集、清洗、整合与初步特征工程；形成数据分析报告</w:t>
            </w:r>
          </w:p>
        </w:tc>
      </w:tr>
      <w:tr w14:paraId="7A245B2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53633FC0">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2B8EF183">
            <w:pPr>
              <w:rPr>
                <w:rFonts w:ascii="宋体" w:hAnsi="宋体" w:cs="宋体"/>
                <w:color w:val="000000"/>
                <w:szCs w:val="21"/>
              </w:rPr>
            </w:pPr>
            <w:r>
              <w:rPr>
                <w:rFonts w:hint="eastAsia" w:ascii="宋体" w:hAnsi="宋体" w:cs="宋体"/>
                <w:color w:val="000000"/>
                <w:szCs w:val="21"/>
              </w:rPr>
              <w:t>2</w:t>
            </w:r>
          </w:p>
        </w:tc>
        <w:tc>
          <w:tcPr>
            <w:tcW w:w="1846" w:type="dxa"/>
            <w:tcBorders>
              <w:top w:val="single" w:color="auto" w:sz="4" w:space="0"/>
              <w:left w:val="single" w:color="auto" w:sz="4" w:space="0"/>
              <w:right w:val="single" w:color="auto" w:sz="4" w:space="0"/>
            </w:tcBorders>
          </w:tcPr>
          <w:p w14:paraId="7B228100">
            <w:pPr>
              <w:rPr>
                <w:rFonts w:ascii="宋体" w:hAnsi="宋体" w:cs="宋体"/>
                <w:color w:val="000000"/>
                <w:szCs w:val="21"/>
              </w:rPr>
            </w:pPr>
            <w:r>
              <w:rPr>
                <w:rFonts w:hint="eastAsia" w:ascii="宋体" w:hAnsi="宋体" w:cs="宋体"/>
                <w:color w:val="000000"/>
                <w:szCs w:val="21"/>
              </w:rPr>
              <w:t>文献综述与开题报告撰写告</w:t>
            </w:r>
          </w:p>
        </w:tc>
        <w:tc>
          <w:tcPr>
            <w:tcW w:w="1846" w:type="dxa"/>
            <w:gridSpan w:val="4"/>
            <w:tcBorders>
              <w:top w:val="single" w:color="auto" w:sz="4" w:space="0"/>
              <w:left w:val="single" w:color="auto" w:sz="4" w:space="0"/>
              <w:right w:val="single" w:color="auto" w:sz="4" w:space="0"/>
            </w:tcBorders>
          </w:tcPr>
          <w:p w14:paraId="0E2E0D58">
            <w:pPr>
              <w:rPr>
                <w:rFonts w:ascii="宋体" w:hAnsi="宋体" w:cs="宋体"/>
                <w:color w:val="000000"/>
                <w:szCs w:val="21"/>
              </w:rPr>
            </w:pPr>
            <w:r>
              <w:rPr>
                <w:rFonts w:hint="eastAsia" w:ascii="宋体" w:hAnsi="宋体" w:cs="宋体"/>
                <w:color w:val="000000"/>
                <w:szCs w:val="21"/>
              </w:rPr>
              <w:t xml:space="preserve">2025年8月 </w:t>
            </w:r>
          </w:p>
        </w:tc>
        <w:tc>
          <w:tcPr>
            <w:tcW w:w="1846" w:type="dxa"/>
            <w:tcBorders>
              <w:top w:val="single" w:color="auto" w:sz="4" w:space="0"/>
              <w:left w:val="single" w:color="auto" w:sz="4" w:space="0"/>
              <w:right w:val="single" w:color="auto" w:sz="4" w:space="0"/>
            </w:tcBorders>
          </w:tcPr>
          <w:p w14:paraId="5E73C079">
            <w:pPr>
              <w:rPr>
                <w:rFonts w:ascii="宋体" w:hAnsi="宋体" w:cs="宋体"/>
                <w:color w:val="000000"/>
                <w:szCs w:val="21"/>
              </w:rPr>
            </w:pPr>
            <w:r>
              <w:rPr>
                <w:rFonts w:hint="eastAsia" w:ascii="宋体" w:hAnsi="宋体" w:cs="宋体"/>
                <w:color w:val="000000"/>
                <w:szCs w:val="21"/>
              </w:rPr>
              <w:t>完成国内外研究现状分析，确定研究方向与技术路线，提交开题报</w:t>
            </w:r>
          </w:p>
        </w:tc>
      </w:tr>
      <w:tr w14:paraId="5A0834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429EFBE3">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39282B32">
            <w:pPr>
              <w:rPr>
                <w:rFonts w:ascii="宋体" w:hAnsi="宋体" w:cs="宋体"/>
                <w:color w:val="000000"/>
                <w:szCs w:val="21"/>
              </w:rPr>
            </w:pPr>
            <w:r>
              <w:rPr>
                <w:rFonts w:hint="eastAsia" w:ascii="宋体" w:hAnsi="宋体" w:cs="宋体"/>
                <w:color w:val="000000"/>
                <w:szCs w:val="21"/>
              </w:rPr>
              <w:t>3</w:t>
            </w:r>
          </w:p>
        </w:tc>
        <w:tc>
          <w:tcPr>
            <w:tcW w:w="1846" w:type="dxa"/>
            <w:tcBorders>
              <w:top w:val="single" w:color="auto" w:sz="4" w:space="0"/>
              <w:left w:val="single" w:color="auto" w:sz="4" w:space="0"/>
              <w:right w:val="single" w:color="auto" w:sz="4" w:space="0"/>
            </w:tcBorders>
          </w:tcPr>
          <w:p w14:paraId="1DD06BAA">
            <w:pPr>
              <w:rPr>
                <w:rFonts w:ascii="宋体" w:hAnsi="宋体" w:cs="宋体"/>
                <w:color w:val="000000"/>
                <w:szCs w:val="21"/>
              </w:rPr>
            </w:pPr>
            <w:r>
              <w:rPr>
                <w:rFonts w:hint="eastAsia" w:ascii="宋体" w:hAnsi="宋体" w:cs="宋体"/>
                <w:color w:val="000000"/>
                <w:szCs w:val="21"/>
              </w:rPr>
              <w:t>需求预测模型构建与验证</w:t>
            </w:r>
          </w:p>
        </w:tc>
        <w:tc>
          <w:tcPr>
            <w:tcW w:w="1846" w:type="dxa"/>
            <w:gridSpan w:val="4"/>
            <w:tcBorders>
              <w:top w:val="single" w:color="auto" w:sz="4" w:space="0"/>
              <w:left w:val="single" w:color="auto" w:sz="4" w:space="0"/>
              <w:right w:val="single" w:color="auto" w:sz="4" w:space="0"/>
            </w:tcBorders>
          </w:tcPr>
          <w:p w14:paraId="2A5AA236">
            <w:pPr>
              <w:rPr>
                <w:rFonts w:ascii="宋体" w:hAnsi="宋体" w:cs="宋体"/>
                <w:color w:val="000000"/>
                <w:szCs w:val="21"/>
              </w:rPr>
            </w:pPr>
            <w:r>
              <w:rPr>
                <w:rFonts w:hint="eastAsia" w:ascii="宋体" w:hAnsi="宋体" w:cs="宋体"/>
                <w:color w:val="000000"/>
                <w:szCs w:val="21"/>
              </w:rPr>
              <w:t>2025年9月 - 2025年12月</w:t>
            </w:r>
          </w:p>
        </w:tc>
        <w:tc>
          <w:tcPr>
            <w:tcW w:w="1846" w:type="dxa"/>
            <w:tcBorders>
              <w:top w:val="single" w:color="auto" w:sz="4" w:space="0"/>
              <w:left w:val="single" w:color="auto" w:sz="4" w:space="0"/>
              <w:right w:val="single" w:color="auto" w:sz="4" w:space="0"/>
            </w:tcBorders>
          </w:tcPr>
          <w:p w14:paraId="0FC9867C">
            <w:pPr>
              <w:rPr>
                <w:rFonts w:ascii="宋体" w:hAnsi="宋体" w:cs="宋体"/>
                <w:color w:val="000000"/>
                <w:szCs w:val="21"/>
              </w:rPr>
            </w:pPr>
            <w:r>
              <w:rPr>
                <w:rFonts w:hint="eastAsia" w:ascii="宋体" w:hAnsi="宋体" w:cs="宋体"/>
                <w:color w:val="000000"/>
                <w:szCs w:val="21"/>
              </w:rPr>
              <w:t>完成预测模型构建、训练与评估；</w:t>
            </w:r>
          </w:p>
        </w:tc>
      </w:tr>
      <w:tr w14:paraId="5133FD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4D1C4AAB">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17BB7E27">
            <w:pPr>
              <w:rPr>
                <w:rFonts w:ascii="宋体" w:hAnsi="宋体" w:cs="宋体"/>
                <w:color w:val="000000"/>
                <w:szCs w:val="21"/>
              </w:rPr>
            </w:pPr>
            <w:r>
              <w:rPr>
                <w:rFonts w:hint="eastAsia" w:ascii="宋体" w:hAnsi="宋体" w:cs="宋体"/>
                <w:color w:val="000000"/>
                <w:szCs w:val="21"/>
              </w:rPr>
              <w:t>4</w:t>
            </w:r>
          </w:p>
        </w:tc>
        <w:tc>
          <w:tcPr>
            <w:tcW w:w="1846" w:type="dxa"/>
            <w:tcBorders>
              <w:top w:val="single" w:color="auto" w:sz="4" w:space="0"/>
              <w:left w:val="single" w:color="auto" w:sz="4" w:space="0"/>
              <w:right w:val="single" w:color="auto" w:sz="4" w:space="0"/>
            </w:tcBorders>
          </w:tcPr>
          <w:p w14:paraId="2AAD6097">
            <w:pPr>
              <w:rPr>
                <w:rFonts w:ascii="宋体" w:hAnsi="宋体" w:cs="宋体"/>
                <w:color w:val="000000"/>
                <w:szCs w:val="21"/>
              </w:rPr>
            </w:pPr>
            <w:r>
              <w:rPr>
                <w:rFonts w:hint="eastAsia" w:ascii="宋体" w:hAnsi="宋体" w:cs="宋体"/>
                <w:color w:val="000000"/>
                <w:szCs w:val="21"/>
              </w:rPr>
              <w:t>资源调度优化模型设计与实现</w:t>
            </w:r>
          </w:p>
        </w:tc>
        <w:tc>
          <w:tcPr>
            <w:tcW w:w="1846" w:type="dxa"/>
            <w:gridSpan w:val="4"/>
            <w:tcBorders>
              <w:top w:val="single" w:color="auto" w:sz="4" w:space="0"/>
              <w:left w:val="single" w:color="auto" w:sz="4" w:space="0"/>
              <w:right w:val="single" w:color="auto" w:sz="4" w:space="0"/>
            </w:tcBorders>
          </w:tcPr>
          <w:p w14:paraId="7704CFC8">
            <w:pPr>
              <w:rPr>
                <w:rFonts w:ascii="宋体" w:hAnsi="宋体" w:cs="宋体"/>
                <w:color w:val="000000"/>
                <w:szCs w:val="21"/>
              </w:rPr>
            </w:pPr>
            <w:r>
              <w:rPr>
                <w:rFonts w:hint="eastAsia" w:ascii="宋体" w:hAnsi="宋体" w:cs="宋体"/>
                <w:color w:val="000000"/>
                <w:szCs w:val="21"/>
              </w:rPr>
              <w:t>2026年1月 - 2026年2月</w:t>
            </w:r>
          </w:p>
        </w:tc>
        <w:tc>
          <w:tcPr>
            <w:tcW w:w="1846" w:type="dxa"/>
            <w:tcBorders>
              <w:top w:val="single" w:color="auto" w:sz="4" w:space="0"/>
              <w:left w:val="single" w:color="auto" w:sz="4" w:space="0"/>
              <w:right w:val="single" w:color="auto" w:sz="4" w:space="0"/>
            </w:tcBorders>
          </w:tcPr>
          <w:p w14:paraId="35779871">
            <w:pPr>
              <w:rPr>
                <w:rFonts w:ascii="宋体" w:hAnsi="宋体" w:cs="宋体"/>
                <w:color w:val="000000"/>
                <w:szCs w:val="21"/>
              </w:rPr>
            </w:pPr>
            <w:r>
              <w:rPr>
                <w:rFonts w:hint="eastAsia" w:ascii="宋体" w:hAnsi="宋体" w:cs="宋体"/>
                <w:color w:val="000000"/>
                <w:szCs w:val="21"/>
              </w:rPr>
              <w:t>设计多目标调度模型框架；实现基于整数规划和强化学习的核心调度算法；</w:t>
            </w:r>
          </w:p>
        </w:tc>
      </w:tr>
      <w:tr w14:paraId="4B1833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4228B3D4">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1C2D3FA3">
            <w:pPr>
              <w:rPr>
                <w:rFonts w:ascii="宋体" w:hAnsi="宋体" w:cs="宋体"/>
                <w:color w:val="000000"/>
                <w:szCs w:val="21"/>
              </w:rPr>
            </w:pPr>
            <w:r>
              <w:rPr>
                <w:rFonts w:hint="eastAsia" w:ascii="宋体" w:hAnsi="宋体" w:cs="宋体"/>
                <w:color w:val="000000"/>
                <w:szCs w:val="21"/>
              </w:rPr>
              <w:t>5</w:t>
            </w:r>
          </w:p>
        </w:tc>
        <w:tc>
          <w:tcPr>
            <w:tcW w:w="1846" w:type="dxa"/>
            <w:tcBorders>
              <w:top w:val="single" w:color="auto" w:sz="4" w:space="0"/>
              <w:left w:val="single" w:color="auto" w:sz="4" w:space="0"/>
              <w:right w:val="single" w:color="auto" w:sz="4" w:space="0"/>
            </w:tcBorders>
          </w:tcPr>
          <w:p w14:paraId="410DDEA1">
            <w:pPr>
              <w:rPr>
                <w:rFonts w:ascii="宋体" w:hAnsi="宋体" w:cs="宋体"/>
                <w:color w:val="000000"/>
                <w:szCs w:val="21"/>
              </w:rPr>
            </w:pPr>
            <w:r>
              <w:rPr>
                <w:rFonts w:hint="eastAsia" w:ascii="宋体" w:hAnsi="宋体" w:cs="宋体"/>
                <w:color w:val="000000"/>
                <w:szCs w:val="21"/>
              </w:rPr>
              <w:t>模型优化与论文出稿撰写</w:t>
            </w:r>
          </w:p>
        </w:tc>
        <w:tc>
          <w:tcPr>
            <w:tcW w:w="1846" w:type="dxa"/>
            <w:gridSpan w:val="4"/>
            <w:tcBorders>
              <w:top w:val="single" w:color="auto" w:sz="4" w:space="0"/>
              <w:left w:val="single" w:color="auto" w:sz="4" w:space="0"/>
              <w:right w:val="single" w:color="auto" w:sz="4" w:space="0"/>
            </w:tcBorders>
          </w:tcPr>
          <w:p w14:paraId="754E73F6">
            <w:pPr>
              <w:rPr>
                <w:rFonts w:ascii="宋体" w:hAnsi="宋体" w:cs="宋体"/>
                <w:color w:val="000000"/>
                <w:szCs w:val="21"/>
              </w:rPr>
            </w:pPr>
            <w:r>
              <w:rPr>
                <w:rFonts w:hint="eastAsia" w:ascii="宋体" w:hAnsi="宋体" w:cs="宋体"/>
                <w:color w:val="000000"/>
                <w:szCs w:val="21"/>
              </w:rPr>
              <w:t>2026年3月</w:t>
            </w:r>
          </w:p>
        </w:tc>
        <w:tc>
          <w:tcPr>
            <w:tcW w:w="1846" w:type="dxa"/>
            <w:tcBorders>
              <w:top w:val="single" w:color="auto" w:sz="4" w:space="0"/>
              <w:left w:val="single" w:color="auto" w:sz="4" w:space="0"/>
              <w:right w:val="single" w:color="auto" w:sz="4" w:space="0"/>
            </w:tcBorders>
          </w:tcPr>
          <w:p w14:paraId="5A352731">
            <w:pPr>
              <w:rPr>
                <w:rFonts w:ascii="宋体" w:hAnsi="宋体" w:cs="宋体"/>
                <w:color w:val="000000"/>
                <w:szCs w:val="21"/>
              </w:rPr>
            </w:pPr>
            <w:r>
              <w:rPr>
                <w:rFonts w:hint="eastAsia" w:ascii="宋体" w:hAnsi="宋体" w:cs="宋体"/>
                <w:color w:val="000000"/>
                <w:szCs w:val="21"/>
              </w:rPr>
              <w:t>对实验结果进行深入分析，迭代优化模型；撰写论文初稿。</w:t>
            </w:r>
          </w:p>
        </w:tc>
      </w:tr>
      <w:tr w14:paraId="1B914F5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38" w:hRule="atLeast"/>
          <w:jc w:val="center"/>
        </w:trPr>
        <w:tc>
          <w:tcPr>
            <w:tcW w:w="897" w:type="dxa"/>
            <w:vMerge w:val="continue"/>
            <w:tcBorders>
              <w:left w:val="single" w:color="auto" w:sz="4" w:space="0"/>
              <w:right w:val="single" w:color="auto" w:sz="4" w:space="0"/>
            </w:tcBorders>
          </w:tcPr>
          <w:p w14:paraId="077B71B6">
            <w:pPr>
              <w:rPr>
                <w:rFonts w:ascii="宋体" w:hAnsi="宋体" w:cs="宋体"/>
                <w:color w:val="000000"/>
                <w:szCs w:val="21"/>
              </w:rPr>
            </w:pPr>
          </w:p>
        </w:tc>
        <w:tc>
          <w:tcPr>
            <w:tcW w:w="1845" w:type="dxa"/>
            <w:gridSpan w:val="3"/>
            <w:tcBorders>
              <w:top w:val="single" w:color="auto" w:sz="4" w:space="0"/>
              <w:left w:val="single" w:color="auto" w:sz="4" w:space="0"/>
              <w:right w:val="single" w:color="auto" w:sz="4" w:space="0"/>
            </w:tcBorders>
          </w:tcPr>
          <w:p w14:paraId="7CE394D1">
            <w:pPr>
              <w:rPr>
                <w:rFonts w:ascii="宋体" w:hAnsi="宋体" w:cs="宋体"/>
                <w:color w:val="000000"/>
                <w:szCs w:val="21"/>
              </w:rPr>
            </w:pPr>
            <w:r>
              <w:rPr>
                <w:rFonts w:hint="eastAsia" w:ascii="宋体" w:hAnsi="宋体" w:cs="宋体"/>
                <w:color w:val="000000"/>
                <w:szCs w:val="21"/>
              </w:rPr>
              <w:t>6</w:t>
            </w:r>
          </w:p>
        </w:tc>
        <w:tc>
          <w:tcPr>
            <w:tcW w:w="1846" w:type="dxa"/>
            <w:tcBorders>
              <w:top w:val="single" w:color="auto" w:sz="4" w:space="0"/>
              <w:left w:val="single" w:color="auto" w:sz="4" w:space="0"/>
              <w:right w:val="single" w:color="auto" w:sz="4" w:space="0"/>
            </w:tcBorders>
          </w:tcPr>
          <w:p w14:paraId="5368AE64">
            <w:pPr>
              <w:rPr>
                <w:rFonts w:ascii="宋体" w:hAnsi="宋体" w:cs="宋体"/>
                <w:color w:val="000000"/>
                <w:szCs w:val="21"/>
              </w:rPr>
            </w:pPr>
            <w:r>
              <w:rPr>
                <w:rFonts w:hint="eastAsia" w:ascii="宋体" w:hAnsi="宋体" w:cs="宋体"/>
                <w:color w:val="000000"/>
                <w:szCs w:val="21"/>
              </w:rPr>
              <w:t>论文修改、定稿与答辩准备</w:t>
            </w:r>
          </w:p>
        </w:tc>
        <w:tc>
          <w:tcPr>
            <w:tcW w:w="1846" w:type="dxa"/>
            <w:gridSpan w:val="4"/>
            <w:tcBorders>
              <w:top w:val="single" w:color="auto" w:sz="4" w:space="0"/>
              <w:left w:val="single" w:color="auto" w:sz="4" w:space="0"/>
              <w:right w:val="single" w:color="auto" w:sz="4" w:space="0"/>
            </w:tcBorders>
          </w:tcPr>
          <w:p w14:paraId="5EBFF46D">
            <w:pPr>
              <w:rPr>
                <w:rFonts w:ascii="宋体" w:hAnsi="宋体" w:cs="宋体"/>
                <w:color w:val="000000"/>
                <w:szCs w:val="21"/>
              </w:rPr>
            </w:pPr>
            <w:r>
              <w:rPr>
                <w:rFonts w:hint="eastAsia" w:ascii="宋体" w:hAnsi="宋体" w:cs="宋体"/>
                <w:color w:val="000000"/>
                <w:szCs w:val="21"/>
              </w:rPr>
              <w:t xml:space="preserve">2026年4月 </w:t>
            </w:r>
          </w:p>
        </w:tc>
        <w:tc>
          <w:tcPr>
            <w:tcW w:w="1846" w:type="dxa"/>
            <w:tcBorders>
              <w:top w:val="single" w:color="auto" w:sz="4" w:space="0"/>
              <w:left w:val="single" w:color="auto" w:sz="4" w:space="0"/>
              <w:right w:val="single" w:color="auto" w:sz="4" w:space="0"/>
            </w:tcBorders>
          </w:tcPr>
          <w:p w14:paraId="09640DFC">
            <w:pPr>
              <w:rPr>
                <w:rFonts w:ascii="宋体" w:hAnsi="宋体" w:cs="宋体"/>
                <w:color w:val="000000"/>
                <w:szCs w:val="21"/>
              </w:rPr>
            </w:pPr>
            <w:r>
              <w:rPr>
                <w:rFonts w:hint="eastAsia" w:ascii="宋体" w:hAnsi="宋体" w:cs="宋体"/>
                <w:color w:val="000000"/>
                <w:szCs w:val="21"/>
              </w:rPr>
              <w:t>根据导师意见反复修改论文，完成论文定稿；准备答辩PPT。</w:t>
            </w:r>
          </w:p>
        </w:tc>
      </w:tr>
      <w:tr w14:paraId="4D40EDF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0" w:hRule="atLeast"/>
          <w:jc w:val="center"/>
        </w:trPr>
        <w:tc>
          <w:tcPr>
            <w:tcW w:w="897" w:type="dxa"/>
            <w:tcBorders>
              <w:top w:val="single" w:color="auto" w:sz="4" w:space="0"/>
              <w:left w:val="single" w:color="auto" w:sz="4" w:space="0"/>
              <w:right w:val="single" w:color="auto" w:sz="4" w:space="0"/>
            </w:tcBorders>
          </w:tcPr>
          <w:p w14:paraId="46A35D49">
            <w:pPr>
              <w:jc w:val="center"/>
              <w:rPr>
                <w:rFonts w:ascii="宋体" w:hAnsi="宋体" w:cs="宋体"/>
                <w:color w:val="000000"/>
                <w:szCs w:val="21"/>
              </w:rPr>
            </w:pPr>
            <w:r>
              <w:rPr>
                <w:rFonts w:hint="eastAsia" w:ascii="宋体" w:hAnsi="宋体" w:cs="宋体"/>
                <w:color w:val="000000"/>
                <w:szCs w:val="21"/>
              </w:rPr>
              <w:t>六、</w:t>
            </w:r>
          </w:p>
          <w:p w14:paraId="2D33804D">
            <w:pPr>
              <w:jc w:val="center"/>
              <w:rPr>
                <w:rFonts w:ascii="宋体" w:hAnsi="宋体" w:cs="宋体"/>
                <w:color w:val="000000"/>
                <w:szCs w:val="21"/>
              </w:rPr>
            </w:pPr>
          </w:p>
          <w:p w14:paraId="41371655">
            <w:pPr>
              <w:jc w:val="center"/>
              <w:rPr>
                <w:rFonts w:ascii="宋体" w:hAnsi="宋体" w:cs="宋体"/>
                <w:color w:val="000000"/>
                <w:szCs w:val="21"/>
              </w:rPr>
            </w:pPr>
            <w:r>
              <w:rPr>
                <w:rFonts w:hint="eastAsia" w:ascii="宋体" w:hAnsi="宋体" w:cs="宋体"/>
                <w:color w:val="000000"/>
                <w:szCs w:val="21"/>
              </w:rPr>
              <w:t>主</w:t>
            </w:r>
          </w:p>
          <w:p w14:paraId="75C19242">
            <w:pPr>
              <w:jc w:val="center"/>
              <w:rPr>
                <w:rFonts w:ascii="宋体" w:hAnsi="宋体" w:cs="宋体"/>
                <w:color w:val="000000"/>
                <w:szCs w:val="21"/>
              </w:rPr>
            </w:pPr>
            <w:r>
              <w:rPr>
                <w:rFonts w:hint="eastAsia" w:ascii="宋体" w:hAnsi="宋体" w:cs="宋体"/>
                <w:color w:val="000000"/>
                <w:szCs w:val="21"/>
              </w:rPr>
              <w:t>要</w:t>
            </w:r>
          </w:p>
          <w:p w14:paraId="74861B46">
            <w:pPr>
              <w:jc w:val="center"/>
              <w:rPr>
                <w:rFonts w:ascii="宋体" w:hAnsi="宋体" w:cs="宋体"/>
                <w:color w:val="000000"/>
                <w:szCs w:val="21"/>
              </w:rPr>
            </w:pPr>
            <w:r>
              <w:rPr>
                <w:rFonts w:hint="eastAsia" w:ascii="宋体" w:hAnsi="宋体" w:cs="宋体"/>
                <w:color w:val="000000"/>
                <w:szCs w:val="21"/>
              </w:rPr>
              <w:t>参</w:t>
            </w:r>
          </w:p>
          <w:p w14:paraId="630075FE">
            <w:pPr>
              <w:jc w:val="center"/>
              <w:rPr>
                <w:rFonts w:ascii="宋体" w:hAnsi="宋体" w:cs="宋体"/>
                <w:color w:val="000000"/>
                <w:szCs w:val="21"/>
              </w:rPr>
            </w:pPr>
            <w:r>
              <w:rPr>
                <w:rFonts w:hint="eastAsia" w:ascii="宋体" w:hAnsi="宋体" w:cs="宋体"/>
                <w:color w:val="000000"/>
                <w:szCs w:val="21"/>
              </w:rPr>
              <w:t>考</w:t>
            </w:r>
          </w:p>
          <w:p w14:paraId="721A54EB">
            <w:pPr>
              <w:jc w:val="center"/>
              <w:rPr>
                <w:rFonts w:ascii="宋体" w:hAnsi="宋体" w:cs="宋体"/>
                <w:color w:val="000000"/>
                <w:szCs w:val="21"/>
              </w:rPr>
            </w:pPr>
            <w:r>
              <w:rPr>
                <w:rFonts w:hint="eastAsia" w:ascii="宋体" w:hAnsi="宋体" w:cs="宋体"/>
                <w:color w:val="000000"/>
                <w:szCs w:val="21"/>
              </w:rPr>
              <w:t>文</w:t>
            </w:r>
          </w:p>
          <w:p w14:paraId="06F2DCE6">
            <w:pPr>
              <w:spacing w:line="240" w:lineRule="exact"/>
              <w:jc w:val="center"/>
              <w:rPr>
                <w:rFonts w:ascii="宋体" w:hAnsi="宋体" w:cs="宋体"/>
                <w:color w:val="000000"/>
                <w:szCs w:val="21"/>
              </w:rPr>
            </w:pPr>
            <w:r>
              <w:rPr>
                <w:rFonts w:hint="eastAsia" w:ascii="宋体" w:hAnsi="宋体" w:cs="宋体"/>
                <w:color w:val="000000"/>
                <w:szCs w:val="21"/>
              </w:rPr>
              <w:t>献</w:t>
            </w:r>
          </w:p>
        </w:tc>
        <w:tc>
          <w:tcPr>
            <w:tcW w:w="7383" w:type="dxa"/>
            <w:gridSpan w:val="9"/>
            <w:tcBorders>
              <w:top w:val="single" w:color="auto" w:sz="4" w:space="0"/>
              <w:left w:val="single" w:color="auto" w:sz="4" w:space="0"/>
              <w:bottom w:val="single" w:color="auto" w:sz="4" w:space="0"/>
              <w:right w:val="single" w:color="auto" w:sz="4" w:space="0"/>
            </w:tcBorders>
          </w:tcPr>
          <w:p w14:paraId="793C58BA">
            <w:pPr>
              <w:ind w:firstLine="210" w:firstLineChars="100"/>
              <w:rPr>
                <w:szCs w:val="21"/>
              </w:rPr>
            </w:pPr>
            <w:r>
              <w:rPr>
                <w:rFonts w:hint="eastAsia"/>
                <w:szCs w:val="21"/>
              </w:rPr>
              <w:t>所阅文献的查阅范围及手段，附参考文献（不少于20篇，其中近3年英文文献不少于10篇，全部按照学校要求的标准格式列出，并在文中顺序标注）</w:t>
            </w:r>
          </w:p>
          <w:p w14:paraId="5E489DAD">
            <w:pPr>
              <w:ind w:firstLine="210" w:firstLineChars="100"/>
              <w:rPr>
                <w:szCs w:val="21"/>
              </w:rPr>
            </w:pPr>
            <w:r>
              <w:rPr>
                <w:szCs w:val="21"/>
              </w:rPr>
              <w:t>[1] Amindoust A, Asadpour M, Shirmohammadi S. A hybrid genetic algorithm for nurse scheduling problem considering the fatigue factor[J]. Journal of Healthcare Engineering, 2021: 1-11.</w:t>
            </w:r>
          </w:p>
          <w:p w14:paraId="1ACED265">
            <w:pPr>
              <w:ind w:firstLine="210" w:firstLineChars="100"/>
              <w:rPr>
                <w:szCs w:val="21"/>
              </w:rPr>
            </w:pPr>
          </w:p>
          <w:p w14:paraId="3383B1B6">
            <w:pPr>
              <w:ind w:firstLine="210" w:firstLineChars="100"/>
              <w:rPr>
                <w:szCs w:val="21"/>
              </w:rPr>
            </w:pPr>
            <w:r>
              <w:rPr>
                <w:rFonts w:hint="eastAsia"/>
                <w:szCs w:val="21"/>
              </w:rPr>
              <w:t>[2] Awadallah M A, Bolaji A L A, Al-Betar M A. A hybrid artificial bee colony for a nurse rostering problem[J]. Applied Soft Computing, 2015, 35: 726-739.</w:t>
            </w:r>
          </w:p>
          <w:p w14:paraId="1EF352D8">
            <w:pPr>
              <w:ind w:firstLine="210" w:firstLineChars="100"/>
              <w:rPr>
                <w:szCs w:val="21"/>
              </w:rPr>
            </w:pPr>
          </w:p>
          <w:p w14:paraId="59EBD9B4">
            <w:pPr>
              <w:ind w:firstLine="210" w:firstLineChars="100"/>
              <w:rPr>
                <w:szCs w:val="21"/>
              </w:rPr>
            </w:pPr>
            <w:r>
              <w:rPr>
                <w:rFonts w:hint="eastAsia"/>
                <w:szCs w:val="21"/>
              </w:rPr>
              <w:t>[3] Beddoe G, Petrovic S, Li J. A hybrid metaheuristic case-based reasoning system for nurse rostering[J]. Journal of Scheduling, 2009, 12(2): 99-113.</w:t>
            </w:r>
          </w:p>
          <w:p w14:paraId="6036385E">
            <w:pPr>
              <w:ind w:firstLine="210" w:firstLineChars="100"/>
              <w:rPr>
                <w:szCs w:val="21"/>
              </w:rPr>
            </w:pPr>
          </w:p>
          <w:p w14:paraId="00CEA2FD">
            <w:pPr>
              <w:ind w:firstLine="210" w:firstLineChars="100"/>
              <w:rPr>
                <w:szCs w:val="21"/>
              </w:rPr>
            </w:pPr>
            <w:r>
              <w:rPr>
                <w:rFonts w:hint="eastAsia"/>
                <w:szCs w:val="21"/>
              </w:rPr>
              <w:t>[4] Bhethanabhotla S K, Swelam O, Siems J, et al. Mamba4Cast: Efficient zero-shot time series forecasting with state space models[EB/OL]. arXiv, 2024[2025-08-16]. Available from: https://arxiv.org/abs/2403.01234.</w:t>
            </w:r>
          </w:p>
          <w:p w14:paraId="392B76D9">
            <w:pPr>
              <w:ind w:firstLine="210" w:firstLineChars="100"/>
              <w:rPr>
                <w:szCs w:val="21"/>
              </w:rPr>
            </w:pPr>
          </w:p>
          <w:p w14:paraId="43E52DB1">
            <w:pPr>
              <w:ind w:firstLine="210" w:firstLineChars="100"/>
              <w:rPr>
                <w:szCs w:val="21"/>
              </w:rPr>
            </w:pPr>
            <w:r>
              <w:rPr>
                <w:rFonts w:hint="eastAsia"/>
                <w:szCs w:val="21"/>
              </w:rPr>
              <w:t>[5] Elkamel B, Fgaier A, Mekki A. Optimizing nurse and dialysis unit scheduling for hemodialysis patients[C]// Proceedings of the International Conference on Industrial Engineering and Operations Management. Lisbon: IEOM Society International, 2023.</w:t>
            </w:r>
          </w:p>
          <w:p w14:paraId="2137BC2F">
            <w:pPr>
              <w:ind w:firstLine="210" w:firstLineChars="100"/>
              <w:rPr>
                <w:szCs w:val="21"/>
              </w:rPr>
            </w:pPr>
          </w:p>
          <w:p w14:paraId="48660DDD">
            <w:pPr>
              <w:ind w:firstLine="210" w:firstLineChars="100"/>
              <w:rPr>
                <w:szCs w:val="21"/>
              </w:rPr>
            </w:pPr>
            <w:r>
              <w:rPr>
                <w:rFonts w:hint="eastAsia"/>
                <w:szCs w:val="21"/>
              </w:rPr>
              <w:t>[6] Farhadi F, Ansari S, Jara-Moroni F. Optimization models for patient and technician scheduling in hemodialysis centers[J]. Health Care Management Science, 2023, 26(3): 558-582.</w:t>
            </w:r>
          </w:p>
          <w:p w14:paraId="1FECCED1">
            <w:pPr>
              <w:ind w:firstLine="210" w:firstLineChars="100"/>
              <w:rPr>
                <w:szCs w:val="21"/>
              </w:rPr>
            </w:pPr>
          </w:p>
          <w:p w14:paraId="4125153F">
            <w:pPr>
              <w:ind w:firstLine="210" w:firstLineChars="100"/>
              <w:rPr>
                <w:szCs w:val="21"/>
              </w:rPr>
            </w:pPr>
            <w:r>
              <w:rPr>
                <w:rFonts w:hint="eastAsia"/>
                <w:szCs w:val="21"/>
              </w:rPr>
              <w:t>[7] Goyal K K, Jain P, Jain M. Optimal configuration selection for reconfigurable manufacturing system using NSGA-II and TOPSIS[J]. International Journal of Production Research, 2012, 50(15): 4175-4191.</w:t>
            </w:r>
          </w:p>
          <w:p w14:paraId="61AB58F3">
            <w:pPr>
              <w:ind w:firstLine="210" w:firstLineChars="100"/>
              <w:rPr>
                <w:szCs w:val="21"/>
              </w:rPr>
            </w:pPr>
          </w:p>
          <w:p w14:paraId="23704A45">
            <w:pPr>
              <w:ind w:firstLine="210" w:firstLineChars="100"/>
              <w:rPr>
                <w:szCs w:val="21"/>
              </w:rPr>
            </w:pPr>
            <w:r>
              <w:rPr>
                <w:rFonts w:hint="eastAsia"/>
                <w:szCs w:val="21"/>
              </w:rPr>
              <w:t>[8] 郭华, 陆炯炳. 一种高维多目标血液透析服务患者调度进化算法[J]. 河南理工大学学报(自然科学版), 2023, 42(5): 154-160.</w:t>
            </w:r>
          </w:p>
          <w:p w14:paraId="4ABA5AF7">
            <w:pPr>
              <w:ind w:firstLine="210" w:firstLineChars="100"/>
              <w:rPr>
                <w:szCs w:val="21"/>
              </w:rPr>
            </w:pPr>
          </w:p>
          <w:p w14:paraId="50A6A8DA">
            <w:pPr>
              <w:ind w:firstLine="210" w:firstLineChars="100"/>
              <w:rPr>
                <w:szCs w:val="21"/>
              </w:rPr>
            </w:pPr>
            <w:r>
              <w:rPr>
                <w:rFonts w:hint="eastAsia"/>
                <w:szCs w:val="21"/>
              </w:rPr>
              <w:t>[9] Hamid M, Tavakkoli-Moghaddam R, Golpaygani F, et al. A multi-objective model for a nurse scheduling problem by emphasizing human factors[J]. Proceedings of the Institution of Mechanical Engineers, Part H: Journal of Engineering in Medicine, 2020, 234(2): 179-199.</w:t>
            </w:r>
          </w:p>
          <w:p w14:paraId="320DF33D">
            <w:pPr>
              <w:ind w:firstLine="210" w:firstLineChars="100"/>
              <w:rPr>
                <w:szCs w:val="21"/>
              </w:rPr>
            </w:pPr>
          </w:p>
          <w:p w14:paraId="590721C7">
            <w:pPr>
              <w:ind w:firstLine="210" w:firstLineChars="100"/>
              <w:rPr>
                <w:szCs w:val="21"/>
              </w:rPr>
            </w:pPr>
            <w:r>
              <w:rPr>
                <w:rFonts w:hint="eastAsia"/>
                <w:szCs w:val="21"/>
              </w:rPr>
              <w:t>[10] Jafari H, Salmasi N. Maximizing the nurses’ preferences in nurse scheduling problem: mathematical modeling and a meta-heuristic algorithm[J]. Journal of Industrial Engineering International, 2015, 11(4): 439-458.</w:t>
            </w:r>
          </w:p>
          <w:p w14:paraId="17638584">
            <w:pPr>
              <w:ind w:firstLine="210" w:firstLineChars="100"/>
              <w:rPr>
                <w:szCs w:val="21"/>
              </w:rPr>
            </w:pPr>
          </w:p>
          <w:p w14:paraId="4E47DA3C">
            <w:pPr>
              <w:ind w:firstLine="210" w:firstLineChars="100"/>
              <w:rPr>
                <w:szCs w:val="21"/>
              </w:rPr>
            </w:pPr>
            <w:r>
              <w:rPr>
                <w:rFonts w:hint="eastAsia"/>
                <w:szCs w:val="21"/>
              </w:rPr>
              <w:t>[11] Jia Y, Lin Y, Yu J, et al. PGN: The RNN's new successor is effective for long-range time series forecasting[EB/OL]. arXiv, 2024[2025-08-16]. Available from: https://arxiv.org/abs/2404.01234.</w:t>
            </w:r>
          </w:p>
          <w:p w14:paraId="359397A2">
            <w:pPr>
              <w:ind w:firstLine="210" w:firstLineChars="100"/>
              <w:rPr>
                <w:szCs w:val="21"/>
              </w:rPr>
            </w:pPr>
          </w:p>
          <w:p w14:paraId="72525190">
            <w:pPr>
              <w:ind w:firstLine="210" w:firstLineChars="100"/>
              <w:rPr>
                <w:szCs w:val="21"/>
              </w:rPr>
            </w:pPr>
            <w:r>
              <w:rPr>
                <w:rFonts w:hint="eastAsia"/>
                <w:szCs w:val="21"/>
              </w:rPr>
              <w:t>[12] Karadag Y M, Kalkan S, Dino I G. ms-Mamba: Multi-scale Mamba for time-series forecasting[EB/OL]. arXiv, 2025[2025-08-16]. Available from: https://arxiv.org/abs/2501.01234.</w:t>
            </w:r>
          </w:p>
          <w:p w14:paraId="593A5B92">
            <w:pPr>
              <w:ind w:firstLine="210" w:firstLineChars="100"/>
              <w:rPr>
                <w:szCs w:val="21"/>
              </w:rPr>
            </w:pPr>
          </w:p>
          <w:p w14:paraId="7D9F30C6">
            <w:pPr>
              <w:ind w:firstLine="210" w:firstLineChars="100"/>
              <w:rPr>
                <w:szCs w:val="21"/>
              </w:rPr>
            </w:pPr>
            <w:r>
              <w:rPr>
                <w:rFonts w:hint="eastAsia"/>
                <w:szCs w:val="21"/>
              </w:rPr>
              <w:t>[13] Kong Y, Wang Z, Nie Y, et al. Unlocking the power of LSTM for long-term time series forecasting[EB/OL]. arXiv, 2025[2025-08-16]. Available from: https://arxiv.org/abs/2503.01234.</w:t>
            </w:r>
          </w:p>
          <w:p w14:paraId="693D5D0D">
            <w:pPr>
              <w:ind w:firstLine="210" w:firstLineChars="100"/>
              <w:rPr>
                <w:szCs w:val="21"/>
              </w:rPr>
            </w:pPr>
          </w:p>
          <w:p w14:paraId="1224AC93">
            <w:pPr>
              <w:ind w:firstLine="210" w:firstLineChars="100"/>
              <w:rPr>
                <w:szCs w:val="21"/>
              </w:rPr>
            </w:pPr>
            <w:r>
              <w:rPr>
                <w:rFonts w:hint="eastAsia"/>
                <w:szCs w:val="21"/>
              </w:rPr>
              <w:t>[14] Lin X, Liu Z, Fu D, et al. Backtime: Backdoor attacks on multivariate time series forecasting[C]// Proceedings of the 38th Conference on Neural Information Processing Systems (NeurIPS). 2024.</w:t>
            </w:r>
          </w:p>
          <w:p w14:paraId="6DC3B51E">
            <w:pPr>
              <w:ind w:firstLine="210" w:firstLineChars="100"/>
              <w:rPr>
                <w:szCs w:val="21"/>
              </w:rPr>
            </w:pPr>
          </w:p>
          <w:p w14:paraId="4CEC1A73">
            <w:pPr>
              <w:ind w:firstLine="210" w:firstLineChars="100"/>
              <w:rPr>
                <w:szCs w:val="21"/>
              </w:rPr>
            </w:pPr>
            <w:r>
              <w:rPr>
                <w:rFonts w:hint="eastAsia"/>
                <w:szCs w:val="21"/>
              </w:rPr>
              <w:t>[15] Liu F, Zhang W, Liu H. Robust spatiotemporal traffic forecasting with reinforced dynamic adversarial training[C]// Proceedings of the 29th ACM SIGKDD Conference on Knowledge Discovery and Data Mining. 2023: 1417-1428.</w:t>
            </w:r>
          </w:p>
          <w:p w14:paraId="4556B8C5">
            <w:pPr>
              <w:ind w:firstLine="210" w:firstLineChars="100"/>
              <w:rPr>
                <w:szCs w:val="21"/>
              </w:rPr>
            </w:pPr>
          </w:p>
          <w:p w14:paraId="3CFFAF1B">
            <w:pPr>
              <w:ind w:firstLine="210" w:firstLineChars="100"/>
              <w:rPr>
                <w:szCs w:val="21"/>
              </w:rPr>
            </w:pPr>
            <w:r>
              <w:rPr>
                <w:rFonts w:hint="eastAsia"/>
                <w:szCs w:val="21"/>
              </w:rPr>
              <w:t>[16] Liu Z, Liu Z, Zhu Z, et al. Simulated annealing for a multi-level nurse rostering problem in hemodialysis service[J]. Applied Soft Computing, 2018, 64: 148-160.</w:t>
            </w:r>
          </w:p>
          <w:p w14:paraId="1FBF5CBB">
            <w:pPr>
              <w:ind w:firstLine="210" w:firstLineChars="100"/>
              <w:rPr>
                <w:szCs w:val="21"/>
              </w:rPr>
            </w:pPr>
          </w:p>
          <w:p w14:paraId="2FFD6142">
            <w:pPr>
              <w:ind w:firstLine="210" w:firstLineChars="100"/>
              <w:rPr>
                <w:szCs w:val="21"/>
              </w:rPr>
            </w:pPr>
            <w:r>
              <w:rPr>
                <w:rFonts w:hint="eastAsia"/>
                <w:szCs w:val="21"/>
              </w:rPr>
              <w:t>[17] Liu Z, Lu J, Zhu Z, et al. Patient scheduling in hemodialysis service[J]. Journal of Combinatorial Optimization, 2019, 37(1): 337-362.</w:t>
            </w:r>
          </w:p>
          <w:p w14:paraId="6BE7E375">
            <w:pPr>
              <w:ind w:firstLine="210" w:firstLineChars="100"/>
              <w:rPr>
                <w:szCs w:val="21"/>
              </w:rPr>
            </w:pPr>
          </w:p>
          <w:p w14:paraId="6D58DDCA">
            <w:pPr>
              <w:ind w:firstLine="210" w:firstLineChars="100"/>
              <w:rPr>
                <w:szCs w:val="21"/>
              </w:rPr>
            </w:pPr>
            <w:r>
              <w:rPr>
                <w:rFonts w:hint="eastAsia"/>
                <w:szCs w:val="21"/>
              </w:rPr>
              <w:t>[18] 刘哲, 陆建, 刘哲, 等. 血液透析服务中的患者排程[J]. 组合优化杂志, 2019, 37(1): 337-362.</w:t>
            </w:r>
          </w:p>
          <w:p w14:paraId="06413A03">
            <w:pPr>
              <w:ind w:firstLine="210" w:firstLineChars="100"/>
              <w:rPr>
                <w:szCs w:val="21"/>
              </w:rPr>
            </w:pPr>
          </w:p>
          <w:p w14:paraId="7F430772">
            <w:pPr>
              <w:ind w:firstLine="210" w:firstLineChars="100"/>
              <w:rPr>
                <w:szCs w:val="21"/>
              </w:rPr>
            </w:pPr>
            <w:r>
              <w:rPr>
                <w:rFonts w:hint="eastAsia"/>
                <w:szCs w:val="21"/>
              </w:rPr>
              <w:t>[19] 陆炯炳. 血液透析服务中心的患者调度优化方法研究[D]. 武汉: 华中科技大学, 2020.</w:t>
            </w:r>
          </w:p>
          <w:p w14:paraId="6DA08B7C">
            <w:pPr>
              <w:ind w:firstLine="210" w:firstLineChars="100"/>
              <w:rPr>
                <w:szCs w:val="21"/>
              </w:rPr>
            </w:pPr>
          </w:p>
          <w:p w14:paraId="27FB6CFA">
            <w:pPr>
              <w:ind w:firstLine="210" w:firstLineChars="100"/>
              <w:rPr>
                <w:szCs w:val="21"/>
              </w:rPr>
            </w:pPr>
            <w:r>
              <w:rPr>
                <w:rFonts w:hint="eastAsia"/>
                <w:szCs w:val="21"/>
              </w:rPr>
              <w:t>[20] Muklason A, Kusuma S D R, Riksakomara E, et al. Solving nurse rostering optimization problem using reinforcement learning – simulated annealing with reheating hyper-heuristics algorithm[J]. Procedia Computer Science, 2024, 234: 486-493.</w:t>
            </w:r>
          </w:p>
          <w:p w14:paraId="7573EE68">
            <w:pPr>
              <w:ind w:firstLine="210" w:firstLineChars="100"/>
              <w:rPr>
                <w:szCs w:val="21"/>
              </w:rPr>
            </w:pPr>
          </w:p>
          <w:p w14:paraId="53F7A76C">
            <w:pPr>
              <w:ind w:firstLine="210" w:firstLineChars="100"/>
              <w:rPr>
                <w:szCs w:val="21"/>
              </w:rPr>
            </w:pPr>
            <w:r>
              <w:rPr>
                <w:rFonts w:hint="eastAsia"/>
                <w:szCs w:val="21"/>
              </w:rPr>
              <w:t>[21] Pessoa P, Campitelli P, Shepherd D P, et al. Mamba time series forecasting with uncertainty quantification[EB/OL]. alphaxiv, 2025[2025-08-16]. Available from: https://alphaxiv.org/abs/2506.01234.</w:t>
            </w:r>
          </w:p>
          <w:p w14:paraId="66A649EB">
            <w:pPr>
              <w:ind w:firstLine="210" w:firstLineChars="100"/>
              <w:rPr>
                <w:szCs w:val="21"/>
              </w:rPr>
            </w:pPr>
          </w:p>
          <w:p w14:paraId="504AFD45">
            <w:pPr>
              <w:ind w:firstLine="210" w:firstLineChars="100"/>
              <w:rPr>
                <w:szCs w:val="21"/>
              </w:rPr>
            </w:pPr>
            <w:r>
              <w:rPr>
                <w:rFonts w:hint="eastAsia"/>
                <w:szCs w:val="21"/>
              </w:rPr>
              <w:t>[22] Rabbani M, Heidari R, Yazdanparast R. A stochastic multi-period industrial hazardous waste location-routing problem: integrating NSGA-II and Monte Carlo simulation[J]. European Journal of Operational Research, 2019, 272(3): 945-961.</w:t>
            </w:r>
          </w:p>
          <w:p w14:paraId="6DC714E4">
            <w:pPr>
              <w:ind w:firstLine="210" w:firstLineChars="100"/>
              <w:rPr>
                <w:szCs w:val="21"/>
              </w:rPr>
            </w:pPr>
          </w:p>
          <w:p w14:paraId="0593A315">
            <w:pPr>
              <w:ind w:firstLine="210" w:firstLineChars="100"/>
              <w:rPr>
                <w:szCs w:val="21"/>
              </w:rPr>
            </w:pPr>
            <w:r>
              <w:rPr>
                <w:rFonts w:hint="eastAsia"/>
                <w:szCs w:val="21"/>
              </w:rPr>
              <w:t>[23] Scavuzzo L, Aardal K, Lodi A, et al. Machine learning-assisted branch-and-bound for mixed-integer linear programming[J]. Mathematical Programming, 2024.</w:t>
            </w:r>
          </w:p>
          <w:p w14:paraId="597110B1">
            <w:pPr>
              <w:ind w:firstLine="210" w:firstLineChars="100"/>
              <w:rPr>
                <w:szCs w:val="21"/>
              </w:rPr>
            </w:pPr>
          </w:p>
          <w:p w14:paraId="0D918A6E">
            <w:pPr>
              <w:ind w:firstLine="210" w:firstLineChars="100"/>
              <w:rPr>
                <w:szCs w:val="21"/>
              </w:rPr>
            </w:pPr>
            <w:r>
              <w:rPr>
                <w:rFonts w:hint="eastAsia"/>
                <w:szCs w:val="21"/>
              </w:rPr>
              <w:t>[24] Sundar A, Rahmin N A A, 等. 基于模拟退火的血液透析单元门诊排程方法[J]. 数学建模与计算, 2022, 9(4): 860-870.</w:t>
            </w:r>
          </w:p>
          <w:p w14:paraId="303558E7">
            <w:pPr>
              <w:ind w:firstLine="210" w:firstLineChars="100"/>
              <w:rPr>
                <w:szCs w:val="21"/>
              </w:rPr>
            </w:pPr>
          </w:p>
          <w:p w14:paraId="1EE8DD83">
            <w:pPr>
              <w:ind w:firstLine="210" w:firstLineChars="100"/>
              <w:rPr>
                <w:szCs w:val="21"/>
              </w:rPr>
            </w:pPr>
            <w:r>
              <w:rPr>
                <w:rFonts w:hint="eastAsia"/>
                <w:szCs w:val="21"/>
              </w:rPr>
              <w:t>[25] 唐加福, 曹萍萍. 多医生环境考虑患者爽约的门诊预约决策方法[J]. 系统工程理论与实践, 2017, 37(4): 928-936.</w:t>
            </w:r>
          </w:p>
          <w:p w14:paraId="408AE157">
            <w:pPr>
              <w:ind w:firstLine="210" w:firstLineChars="100"/>
              <w:rPr>
                <w:szCs w:val="21"/>
              </w:rPr>
            </w:pPr>
          </w:p>
          <w:p w14:paraId="1DC61A06">
            <w:pPr>
              <w:ind w:firstLine="210" w:firstLineChars="100"/>
              <w:rPr>
                <w:szCs w:val="21"/>
              </w:rPr>
            </w:pPr>
            <w:r>
              <w:rPr>
                <w:rFonts w:hint="eastAsia"/>
                <w:szCs w:val="21"/>
              </w:rPr>
              <w:t>[26] 唐加福, 姜博文, 袁成, 等. 可增加号源策略下高需求门诊的能力配置问题[J]. 系统工程理论与实践, 2017, 37(12): 3146-3159.</w:t>
            </w:r>
          </w:p>
          <w:p w14:paraId="16D264CD">
            <w:pPr>
              <w:ind w:firstLine="210" w:firstLineChars="100"/>
              <w:rPr>
                <w:szCs w:val="21"/>
              </w:rPr>
            </w:pPr>
          </w:p>
          <w:p w14:paraId="1006CD95">
            <w:pPr>
              <w:ind w:firstLine="210" w:firstLineChars="100"/>
              <w:rPr>
                <w:szCs w:val="21"/>
              </w:rPr>
            </w:pPr>
            <w:r>
              <w:rPr>
                <w:rFonts w:hint="eastAsia"/>
                <w:szCs w:val="21"/>
              </w:rPr>
              <w:t>[27] Turhan A M, Bilgen B. A hybrid fix-and-optimize and simulated annealing approaches for nurse rostering problem[J]. Computers &amp; Industrial Engineering, 2020, 145: 106531.</w:t>
            </w:r>
          </w:p>
          <w:p w14:paraId="3E763D38">
            <w:pPr>
              <w:ind w:firstLine="210" w:firstLineChars="100"/>
              <w:rPr>
                <w:szCs w:val="21"/>
              </w:rPr>
            </w:pPr>
          </w:p>
          <w:p w14:paraId="482217F2">
            <w:pPr>
              <w:ind w:firstLine="210" w:firstLineChars="100"/>
              <w:rPr>
                <w:szCs w:val="21"/>
              </w:rPr>
            </w:pPr>
            <w:r>
              <w:rPr>
                <w:rFonts w:hint="eastAsia"/>
                <w:szCs w:val="21"/>
              </w:rPr>
              <w:t>[28] Vlah S, Luka</w:t>
            </w:r>
            <w:r>
              <w:rPr>
                <w:rFonts w:ascii="Cambria" w:hAnsi="Cambria" w:cs="Cambria"/>
                <w:szCs w:val="21"/>
              </w:rPr>
              <w:t>č</w:t>
            </w:r>
            <w:r>
              <w:rPr>
                <w:rFonts w:hint="eastAsia"/>
                <w:szCs w:val="21"/>
              </w:rPr>
              <w:t xml:space="preserve"> Z, Pacheco J. Hospital patient scheduling using a VNS heuristic[J]. Journal of the Operational Research Society, 2011, 62(7): 1227-1238.</w:t>
            </w:r>
          </w:p>
          <w:p w14:paraId="0E17EAA0">
            <w:pPr>
              <w:ind w:firstLine="210" w:firstLineChars="100"/>
              <w:rPr>
                <w:szCs w:val="21"/>
              </w:rPr>
            </w:pPr>
          </w:p>
          <w:p w14:paraId="4EA65A40">
            <w:pPr>
              <w:ind w:firstLine="210" w:firstLineChars="100"/>
              <w:rPr>
                <w:szCs w:val="21"/>
              </w:rPr>
            </w:pPr>
            <w:r>
              <w:rPr>
                <w:rFonts w:hint="eastAsia"/>
                <w:szCs w:val="21"/>
              </w:rPr>
              <w:t>[29] Xiong S, Liu S, Tang C, et al. Attention Mamba: Time series modeling with adaptive pooling acceleration and receptive field enhancements[EB/OL]. alphaxiv, 2025[2025-08-16]. Available from: https://alphaxiv.org/abs/2507.01234.</w:t>
            </w:r>
          </w:p>
          <w:p w14:paraId="0455AB33">
            <w:pPr>
              <w:ind w:firstLine="210" w:firstLineChars="100"/>
              <w:rPr>
                <w:szCs w:val="21"/>
              </w:rPr>
            </w:pPr>
          </w:p>
          <w:p w14:paraId="4F57AD00">
            <w:pPr>
              <w:ind w:firstLine="210" w:firstLineChars="100"/>
              <w:rPr>
                <w:szCs w:val="21"/>
              </w:rPr>
            </w:pPr>
            <w:r>
              <w:rPr>
                <w:rFonts w:hint="eastAsia"/>
                <w:szCs w:val="21"/>
              </w:rPr>
              <w:t>[30] Yan C, Tang J, Jiang B, Fung R Y K. Sequential appointment scheduling considering patient choice and service fairness[J]. International Journal of Production Research, 2015, 53(24): 7376-7395.</w:t>
            </w:r>
          </w:p>
          <w:p w14:paraId="37D4741D">
            <w:pPr>
              <w:ind w:firstLine="210" w:firstLineChars="100"/>
              <w:rPr>
                <w:szCs w:val="21"/>
              </w:rPr>
            </w:pPr>
          </w:p>
          <w:p w14:paraId="1AE12F3B">
            <w:pPr>
              <w:ind w:firstLine="210" w:firstLineChars="100"/>
              <w:rPr>
                <w:szCs w:val="21"/>
              </w:rPr>
            </w:pPr>
            <w:r>
              <w:rPr>
                <w:rFonts w:hint="eastAsia"/>
                <w:szCs w:val="21"/>
              </w:rPr>
              <w:t>[31] Yan W, Cao H, Tan Y. Repetitive contrastive learning enhances Mamba's selectivity in time series prediction[EB/OL]. alphaxiv, 2025[2025-08-16]. Available from: https://alphaxiv.org/abs/2508.01234.</w:t>
            </w:r>
          </w:p>
          <w:p w14:paraId="17DB3A64">
            <w:pPr>
              <w:ind w:firstLine="210" w:firstLineChars="100"/>
              <w:rPr>
                <w:szCs w:val="21"/>
              </w:rPr>
            </w:pPr>
          </w:p>
          <w:p w14:paraId="394CC1F1">
            <w:pPr>
              <w:ind w:firstLine="210" w:firstLineChars="100"/>
              <w:rPr>
                <w:szCs w:val="21"/>
              </w:rPr>
            </w:pPr>
            <w:r>
              <w:rPr>
                <w:rFonts w:hint="eastAsia"/>
                <w:szCs w:val="21"/>
              </w:rPr>
              <w:t>[32] 姚志明, 白立军, 孟红艳. 血液透析机自动排班优化算法的设计与应用[J]. 测量与控制技术, 2012, 31(9): 51-55.</w:t>
            </w:r>
          </w:p>
          <w:p w14:paraId="5790A452">
            <w:pPr>
              <w:ind w:firstLine="210" w:firstLineChars="100"/>
              <w:rPr>
                <w:szCs w:val="21"/>
              </w:rPr>
            </w:pPr>
          </w:p>
          <w:p w14:paraId="442AACFD">
            <w:pPr>
              <w:ind w:firstLine="210" w:firstLineChars="100"/>
              <w:rPr>
                <w:szCs w:val="21"/>
              </w:rPr>
            </w:pPr>
            <w:r>
              <w:rPr>
                <w:rFonts w:hint="eastAsia"/>
                <w:szCs w:val="21"/>
              </w:rPr>
              <w:t>[33] Zhang X, Wang H, Wang X. Patients scheduling problems with deferred deteriorated functions[J]. Journal of Combinatorial Optimization, 2015, 30(4): 1027-1041.</w:t>
            </w:r>
          </w:p>
          <w:p w14:paraId="7197DDFB">
            <w:pPr>
              <w:ind w:firstLine="210" w:firstLineChars="100"/>
              <w:rPr>
                <w:szCs w:val="21"/>
              </w:rPr>
            </w:pPr>
          </w:p>
          <w:p w14:paraId="43DB4450">
            <w:pPr>
              <w:ind w:firstLine="210" w:firstLineChars="100"/>
              <w:rPr>
                <w:szCs w:val="21"/>
              </w:rPr>
            </w:pPr>
            <w:r>
              <w:rPr>
                <w:rFonts w:hint="eastAsia"/>
                <w:szCs w:val="21"/>
              </w:rPr>
              <w:t>[34] Zhong L, Luo S, Wu L, et al. A two-stage approach for surgery scheduling[J]. Journal of Combinatorial Optimization, 2014, 27(3): 545-556.</w:t>
            </w:r>
          </w:p>
          <w:p w14:paraId="301E2C0E">
            <w:pPr>
              <w:ind w:firstLine="210" w:firstLineChars="100"/>
              <w:rPr>
                <w:szCs w:val="21"/>
              </w:rPr>
            </w:pPr>
          </w:p>
          <w:p w14:paraId="0132A4C2">
            <w:pPr>
              <w:ind w:firstLine="210" w:firstLineChars="100"/>
              <w:rPr>
                <w:szCs w:val="21"/>
              </w:rPr>
            </w:pPr>
          </w:p>
          <w:p w14:paraId="66FFEE1C">
            <w:pPr>
              <w:ind w:firstLine="210" w:firstLineChars="100"/>
              <w:rPr>
                <w:szCs w:val="21"/>
              </w:rPr>
            </w:pPr>
          </w:p>
          <w:p w14:paraId="7C8BB698">
            <w:pPr>
              <w:ind w:firstLine="210" w:firstLineChars="100"/>
              <w:rPr>
                <w:szCs w:val="21"/>
              </w:rPr>
            </w:pPr>
          </w:p>
          <w:p w14:paraId="0712760C">
            <w:pPr>
              <w:ind w:firstLine="210" w:firstLineChars="100"/>
              <w:rPr>
                <w:szCs w:val="21"/>
              </w:rPr>
            </w:pPr>
          </w:p>
        </w:tc>
      </w:tr>
      <w:tr w14:paraId="3B265E2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0" w:hRule="atLeast"/>
          <w:jc w:val="center"/>
        </w:trPr>
        <w:tc>
          <w:tcPr>
            <w:tcW w:w="897" w:type="dxa"/>
            <w:vMerge w:val="restart"/>
            <w:tcBorders>
              <w:top w:val="single" w:color="auto" w:sz="4" w:space="0"/>
              <w:left w:val="single" w:color="auto" w:sz="4" w:space="0"/>
              <w:right w:val="single" w:color="auto" w:sz="4" w:space="0"/>
            </w:tcBorders>
          </w:tcPr>
          <w:p w14:paraId="5DDBDCAD">
            <w:pPr>
              <w:spacing w:line="240" w:lineRule="exact"/>
              <w:jc w:val="center"/>
              <w:rPr>
                <w:rFonts w:ascii="宋体" w:hAnsi="宋体" w:cs="宋体"/>
                <w:color w:val="000000"/>
                <w:szCs w:val="21"/>
              </w:rPr>
            </w:pPr>
          </w:p>
          <w:p w14:paraId="55113A5F">
            <w:pPr>
              <w:spacing w:line="240" w:lineRule="exact"/>
              <w:jc w:val="center"/>
              <w:rPr>
                <w:rFonts w:ascii="宋体" w:hAnsi="宋体" w:cs="宋体"/>
                <w:color w:val="000000"/>
                <w:szCs w:val="21"/>
              </w:rPr>
            </w:pPr>
          </w:p>
          <w:p w14:paraId="345639C5">
            <w:pPr>
              <w:spacing w:line="240" w:lineRule="exact"/>
              <w:jc w:val="center"/>
              <w:rPr>
                <w:rFonts w:ascii="宋体" w:hAnsi="宋体" w:cs="宋体"/>
                <w:color w:val="000000"/>
                <w:szCs w:val="21"/>
              </w:rPr>
            </w:pPr>
          </w:p>
          <w:p w14:paraId="458B3B07">
            <w:pPr>
              <w:spacing w:line="240" w:lineRule="exact"/>
              <w:jc w:val="center"/>
              <w:rPr>
                <w:rFonts w:ascii="宋体" w:hAnsi="宋体" w:cs="宋体"/>
                <w:color w:val="000000"/>
                <w:szCs w:val="21"/>
              </w:rPr>
            </w:pPr>
            <w:r>
              <w:rPr>
                <w:rFonts w:hint="eastAsia" w:ascii="宋体" w:hAnsi="宋体" w:cs="宋体"/>
                <w:color w:val="000000"/>
                <w:szCs w:val="21"/>
              </w:rPr>
              <w:t>开</w:t>
            </w:r>
          </w:p>
          <w:p w14:paraId="658343B9">
            <w:pPr>
              <w:spacing w:line="240" w:lineRule="exact"/>
              <w:jc w:val="center"/>
              <w:rPr>
                <w:rFonts w:ascii="宋体" w:hAnsi="宋体" w:cs="宋体"/>
                <w:color w:val="000000"/>
                <w:szCs w:val="21"/>
              </w:rPr>
            </w:pPr>
            <w:r>
              <w:rPr>
                <w:rFonts w:hint="eastAsia" w:ascii="宋体" w:hAnsi="宋体" w:cs="宋体"/>
                <w:color w:val="000000"/>
                <w:szCs w:val="21"/>
              </w:rPr>
              <w:t>题</w:t>
            </w:r>
          </w:p>
          <w:p w14:paraId="31284A80">
            <w:pPr>
              <w:spacing w:line="240" w:lineRule="exact"/>
              <w:jc w:val="center"/>
              <w:rPr>
                <w:rFonts w:ascii="宋体" w:hAnsi="宋体" w:cs="宋体"/>
                <w:color w:val="000000"/>
                <w:szCs w:val="21"/>
              </w:rPr>
            </w:pPr>
            <w:r>
              <w:rPr>
                <w:rFonts w:hint="eastAsia" w:ascii="宋体" w:hAnsi="宋体" w:cs="宋体"/>
                <w:color w:val="000000"/>
                <w:szCs w:val="21"/>
              </w:rPr>
              <w:t>报</w:t>
            </w:r>
          </w:p>
          <w:p w14:paraId="33380ADA">
            <w:pPr>
              <w:spacing w:line="240" w:lineRule="exact"/>
              <w:jc w:val="center"/>
              <w:rPr>
                <w:rFonts w:ascii="宋体" w:hAnsi="宋体" w:cs="宋体"/>
                <w:color w:val="000000"/>
                <w:szCs w:val="21"/>
              </w:rPr>
            </w:pPr>
            <w:r>
              <w:rPr>
                <w:rFonts w:hint="eastAsia" w:ascii="宋体" w:hAnsi="宋体" w:cs="宋体"/>
                <w:color w:val="000000"/>
                <w:szCs w:val="21"/>
              </w:rPr>
              <w:t>告</w:t>
            </w:r>
          </w:p>
          <w:p w14:paraId="3844D9B8">
            <w:pPr>
              <w:spacing w:line="240" w:lineRule="exact"/>
              <w:jc w:val="center"/>
              <w:rPr>
                <w:rFonts w:ascii="宋体" w:hAnsi="宋体" w:cs="宋体"/>
                <w:color w:val="000000"/>
                <w:szCs w:val="21"/>
              </w:rPr>
            </w:pPr>
            <w:r>
              <w:rPr>
                <w:rFonts w:hint="eastAsia" w:ascii="宋体" w:hAnsi="宋体" w:cs="宋体"/>
                <w:color w:val="000000"/>
                <w:szCs w:val="21"/>
              </w:rPr>
              <w:t>审</w:t>
            </w:r>
          </w:p>
          <w:p w14:paraId="6B22B98E">
            <w:pPr>
              <w:spacing w:line="240" w:lineRule="exact"/>
              <w:jc w:val="center"/>
              <w:rPr>
                <w:rFonts w:ascii="宋体" w:hAnsi="宋体" w:cs="宋体"/>
                <w:color w:val="000000"/>
                <w:szCs w:val="21"/>
              </w:rPr>
            </w:pPr>
            <w:r>
              <w:rPr>
                <w:rFonts w:hint="eastAsia" w:ascii="宋体" w:hAnsi="宋体" w:cs="宋体"/>
                <w:color w:val="000000"/>
                <w:szCs w:val="21"/>
              </w:rPr>
              <w:t>核</w:t>
            </w:r>
          </w:p>
          <w:p w14:paraId="23532410">
            <w:pPr>
              <w:spacing w:line="240" w:lineRule="exact"/>
              <w:jc w:val="center"/>
              <w:rPr>
                <w:rFonts w:ascii="宋体" w:hAnsi="宋体" w:cs="宋体"/>
                <w:color w:val="000000"/>
                <w:szCs w:val="21"/>
              </w:rPr>
            </w:pPr>
            <w:r>
              <w:rPr>
                <w:rFonts w:hint="eastAsia" w:ascii="宋体" w:hAnsi="宋体" w:cs="宋体"/>
                <w:color w:val="000000"/>
                <w:szCs w:val="21"/>
              </w:rPr>
              <w:t>小</w:t>
            </w:r>
          </w:p>
          <w:p w14:paraId="5D4A3C15">
            <w:pPr>
              <w:spacing w:line="240" w:lineRule="exact"/>
              <w:jc w:val="center"/>
              <w:rPr>
                <w:rFonts w:ascii="宋体" w:hAnsi="宋体" w:cs="宋体"/>
                <w:color w:val="000000"/>
                <w:szCs w:val="21"/>
              </w:rPr>
            </w:pPr>
            <w:r>
              <w:rPr>
                <w:rFonts w:hint="eastAsia" w:ascii="宋体" w:hAnsi="宋体" w:cs="宋体"/>
                <w:color w:val="000000"/>
                <w:szCs w:val="21"/>
              </w:rPr>
              <w:t>组</w:t>
            </w:r>
          </w:p>
          <w:p w14:paraId="7D028852">
            <w:pPr>
              <w:spacing w:line="240" w:lineRule="exact"/>
              <w:jc w:val="center"/>
              <w:rPr>
                <w:rFonts w:ascii="宋体" w:hAnsi="宋体" w:cs="宋体"/>
                <w:color w:val="000000"/>
                <w:szCs w:val="21"/>
              </w:rPr>
            </w:pPr>
            <w:r>
              <w:rPr>
                <w:rFonts w:hint="eastAsia" w:ascii="宋体" w:hAnsi="宋体" w:cs="宋体"/>
                <w:color w:val="000000"/>
                <w:szCs w:val="21"/>
              </w:rPr>
              <w:t>成</w:t>
            </w:r>
          </w:p>
          <w:p w14:paraId="46456F97">
            <w:pPr>
              <w:spacing w:line="240" w:lineRule="exact"/>
              <w:jc w:val="center"/>
              <w:rPr>
                <w:rFonts w:ascii="宋体" w:hAnsi="宋体" w:cs="宋体"/>
                <w:color w:val="000000"/>
                <w:szCs w:val="21"/>
              </w:rPr>
            </w:pPr>
            <w:r>
              <w:rPr>
                <w:rFonts w:hint="eastAsia" w:ascii="宋体" w:hAnsi="宋体" w:cs="宋体"/>
                <w:color w:val="000000"/>
                <w:szCs w:val="21"/>
              </w:rPr>
              <w:t>员</w:t>
            </w:r>
          </w:p>
        </w:tc>
        <w:tc>
          <w:tcPr>
            <w:tcW w:w="1818" w:type="dxa"/>
            <w:gridSpan w:val="2"/>
            <w:tcBorders>
              <w:top w:val="single" w:color="auto" w:sz="4" w:space="0"/>
              <w:left w:val="single" w:color="auto" w:sz="4" w:space="0"/>
              <w:bottom w:val="single" w:color="auto" w:sz="4" w:space="0"/>
              <w:right w:val="single" w:color="auto" w:sz="4" w:space="0"/>
            </w:tcBorders>
            <w:vAlign w:val="center"/>
          </w:tcPr>
          <w:p w14:paraId="109D52CF">
            <w:pPr>
              <w:spacing w:line="280" w:lineRule="exact"/>
              <w:jc w:val="center"/>
              <w:rPr>
                <w:rFonts w:ascii="宋体" w:hAnsi="宋体" w:cs="宋体"/>
                <w:color w:val="000000"/>
                <w:szCs w:val="21"/>
              </w:rPr>
            </w:pPr>
            <w:r>
              <w:rPr>
                <w:rFonts w:hint="eastAsia" w:ascii="宋体" w:hAnsi="宋体" w:cs="宋体"/>
                <w:color w:val="000000"/>
                <w:szCs w:val="21"/>
              </w:rPr>
              <w:t>姓    名</w:t>
            </w:r>
          </w:p>
        </w:tc>
        <w:tc>
          <w:tcPr>
            <w:tcW w:w="2361" w:type="dxa"/>
            <w:gridSpan w:val="4"/>
            <w:tcBorders>
              <w:top w:val="single" w:color="auto" w:sz="4" w:space="0"/>
              <w:left w:val="single" w:color="auto" w:sz="4" w:space="0"/>
              <w:bottom w:val="single" w:color="auto" w:sz="4" w:space="0"/>
              <w:right w:val="single" w:color="auto" w:sz="4" w:space="0"/>
            </w:tcBorders>
            <w:vAlign w:val="center"/>
          </w:tcPr>
          <w:p w14:paraId="56CB3B05">
            <w:pPr>
              <w:spacing w:line="280" w:lineRule="exact"/>
              <w:jc w:val="center"/>
              <w:rPr>
                <w:rFonts w:ascii="宋体" w:hAnsi="宋体" w:cs="宋体"/>
                <w:color w:val="000000"/>
                <w:szCs w:val="21"/>
              </w:rPr>
            </w:pPr>
            <w:r>
              <w:rPr>
                <w:rFonts w:hint="eastAsia" w:ascii="宋体" w:hAnsi="宋体" w:cs="宋体"/>
                <w:color w:val="000000"/>
                <w:szCs w:val="21"/>
              </w:rPr>
              <w:t>职    称</w:t>
            </w:r>
          </w:p>
        </w:tc>
        <w:tc>
          <w:tcPr>
            <w:tcW w:w="3204" w:type="dxa"/>
            <w:gridSpan w:val="3"/>
            <w:tcBorders>
              <w:top w:val="single" w:color="auto" w:sz="4" w:space="0"/>
              <w:left w:val="single" w:color="auto" w:sz="4" w:space="0"/>
              <w:bottom w:val="single" w:color="auto" w:sz="4" w:space="0"/>
              <w:right w:val="single" w:color="auto" w:sz="4" w:space="0"/>
            </w:tcBorders>
            <w:vAlign w:val="center"/>
          </w:tcPr>
          <w:p w14:paraId="227E4F44">
            <w:pPr>
              <w:spacing w:line="280" w:lineRule="exact"/>
              <w:jc w:val="center"/>
              <w:rPr>
                <w:rFonts w:ascii="宋体" w:hAnsi="宋体" w:cs="宋体"/>
                <w:color w:val="000000"/>
                <w:szCs w:val="21"/>
              </w:rPr>
            </w:pPr>
            <w:r>
              <w:rPr>
                <w:rFonts w:hint="eastAsia" w:ascii="宋体" w:hAnsi="宋体" w:cs="宋体"/>
                <w:color w:val="000000"/>
                <w:szCs w:val="21"/>
              </w:rPr>
              <w:t>是否硕士生导师</w:t>
            </w:r>
          </w:p>
        </w:tc>
      </w:tr>
      <w:tr w14:paraId="6391E65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0" w:hRule="atLeast"/>
          <w:jc w:val="center"/>
        </w:trPr>
        <w:tc>
          <w:tcPr>
            <w:tcW w:w="897" w:type="dxa"/>
            <w:vMerge w:val="continue"/>
            <w:tcBorders>
              <w:left w:val="single" w:color="auto" w:sz="4" w:space="0"/>
              <w:right w:val="single" w:color="auto" w:sz="4" w:space="0"/>
            </w:tcBorders>
          </w:tcPr>
          <w:p w14:paraId="6214B933">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2448ACAD">
            <w:pPr>
              <w:rPr>
                <w:rFonts w:ascii="宋体" w:hAnsi="宋体" w:cs="宋体"/>
                <w:color w:val="000000"/>
                <w:szCs w:val="21"/>
              </w:rPr>
            </w:pPr>
            <w:r>
              <w:rPr>
                <w:rFonts w:hint="eastAsia" w:ascii="宋体" w:hAnsi="宋体" w:cs="宋体"/>
                <w:color w:val="000000"/>
                <w:szCs w:val="21"/>
              </w:rPr>
              <w:t>高明</w:t>
            </w:r>
          </w:p>
        </w:tc>
        <w:tc>
          <w:tcPr>
            <w:tcW w:w="2361" w:type="dxa"/>
            <w:gridSpan w:val="4"/>
            <w:tcBorders>
              <w:top w:val="single" w:color="auto" w:sz="4" w:space="0"/>
              <w:left w:val="single" w:color="auto" w:sz="4" w:space="0"/>
              <w:bottom w:val="single" w:color="auto" w:sz="4" w:space="0"/>
              <w:right w:val="single" w:color="auto" w:sz="4" w:space="0"/>
            </w:tcBorders>
          </w:tcPr>
          <w:p w14:paraId="2674308F">
            <w:pPr>
              <w:rPr>
                <w:rFonts w:ascii="宋体" w:hAnsi="宋体" w:cs="宋体"/>
                <w:color w:val="000000"/>
                <w:szCs w:val="21"/>
              </w:rPr>
            </w:pPr>
            <w:r>
              <w:rPr>
                <w:rFonts w:hint="eastAsia" w:ascii="宋体" w:hAnsi="宋体" w:cs="宋体"/>
                <w:color w:val="000000"/>
                <w:szCs w:val="21"/>
              </w:rPr>
              <w:t>教授</w:t>
            </w:r>
          </w:p>
        </w:tc>
        <w:tc>
          <w:tcPr>
            <w:tcW w:w="3204" w:type="dxa"/>
            <w:gridSpan w:val="3"/>
            <w:tcBorders>
              <w:top w:val="single" w:color="auto" w:sz="4" w:space="0"/>
              <w:left w:val="single" w:color="auto" w:sz="4" w:space="0"/>
              <w:bottom w:val="single" w:color="auto" w:sz="4" w:space="0"/>
              <w:right w:val="single" w:color="auto" w:sz="4" w:space="0"/>
            </w:tcBorders>
          </w:tcPr>
          <w:p w14:paraId="7ED92D02">
            <w:pPr>
              <w:rPr>
                <w:rFonts w:ascii="宋体" w:hAnsi="宋体" w:cs="宋体"/>
                <w:color w:val="000000"/>
                <w:szCs w:val="21"/>
              </w:rPr>
            </w:pPr>
            <w:r>
              <w:rPr>
                <w:rFonts w:hint="eastAsia" w:ascii="宋体" w:hAnsi="宋体" w:cs="宋体"/>
                <w:color w:val="000000"/>
                <w:szCs w:val="21"/>
              </w:rPr>
              <w:t>是</w:t>
            </w:r>
          </w:p>
        </w:tc>
      </w:tr>
      <w:tr w14:paraId="6408D2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8" w:hRule="atLeast"/>
          <w:jc w:val="center"/>
        </w:trPr>
        <w:tc>
          <w:tcPr>
            <w:tcW w:w="897" w:type="dxa"/>
            <w:vMerge w:val="continue"/>
            <w:tcBorders>
              <w:left w:val="single" w:color="auto" w:sz="4" w:space="0"/>
              <w:right w:val="single" w:color="auto" w:sz="4" w:space="0"/>
            </w:tcBorders>
          </w:tcPr>
          <w:p w14:paraId="5670A8A6">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40C8EADC">
            <w:pPr>
              <w:rPr>
                <w:rFonts w:ascii="宋体" w:hAnsi="宋体" w:cs="宋体"/>
                <w:color w:val="000000"/>
                <w:szCs w:val="21"/>
              </w:rPr>
            </w:pPr>
            <w:r>
              <w:rPr>
                <w:rFonts w:hint="eastAsia" w:ascii="宋体" w:hAnsi="宋体" w:cs="宋体"/>
                <w:color w:val="000000"/>
                <w:szCs w:val="21"/>
              </w:rPr>
              <w:t>潘震东</w:t>
            </w:r>
          </w:p>
        </w:tc>
        <w:tc>
          <w:tcPr>
            <w:tcW w:w="2361" w:type="dxa"/>
            <w:gridSpan w:val="4"/>
            <w:tcBorders>
              <w:top w:val="single" w:color="auto" w:sz="4" w:space="0"/>
              <w:left w:val="single" w:color="auto" w:sz="4" w:space="0"/>
              <w:bottom w:val="single" w:color="auto" w:sz="4" w:space="0"/>
              <w:right w:val="single" w:color="auto" w:sz="4" w:space="0"/>
            </w:tcBorders>
          </w:tcPr>
          <w:p w14:paraId="3F9645F4">
            <w:pPr>
              <w:rPr>
                <w:rFonts w:ascii="宋体" w:hAnsi="宋体" w:cs="宋体"/>
                <w:color w:val="000000"/>
                <w:szCs w:val="21"/>
              </w:rPr>
            </w:pPr>
            <w:r>
              <w:rPr>
                <w:rFonts w:hint="eastAsia" w:ascii="宋体" w:hAnsi="宋体" w:cs="宋体"/>
                <w:color w:val="000000"/>
                <w:szCs w:val="21"/>
              </w:rPr>
              <w:t>副教授</w:t>
            </w:r>
          </w:p>
        </w:tc>
        <w:tc>
          <w:tcPr>
            <w:tcW w:w="3204" w:type="dxa"/>
            <w:gridSpan w:val="3"/>
            <w:tcBorders>
              <w:top w:val="single" w:color="auto" w:sz="4" w:space="0"/>
              <w:left w:val="single" w:color="auto" w:sz="4" w:space="0"/>
              <w:bottom w:val="single" w:color="auto" w:sz="4" w:space="0"/>
              <w:right w:val="single" w:color="auto" w:sz="4" w:space="0"/>
            </w:tcBorders>
          </w:tcPr>
          <w:p w14:paraId="58D5F57D">
            <w:pPr>
              <w:rPr>
                <w:rFonts w:ascii="宋体" w:hAnsi="宋体" w:cs="宋体"/>
                <w:color w:val="000000"/>
                <w:szCs w:val="21"/>
              </w:rPr>
            </w:pPr>
            <w:r>
              <w:rPr>
                <w:rFonts w:hint="eastAsia" w:ascii="宋体" w:hAnsi="宋体" w:cs="宋体"/>
                <w:color w:val="000000"/>
                <w:szCs w:val="21"/>
              </w:rPr>
              <w:t>是</w:t>
            </w:r>
          </w:p>
        </w:tc>
      </w:tr>
      <w:tr w14:paraId="112E87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30" w:hRule="atLeast"/>
          <w:jc w:val="center"/>
        </w:trPr>
        <w:tc>
          <w:tcPr>
            <w:tcW w:w="897" w:type="dxa"/>
            <w:vMerge w:val="continue"/>
            <w:tcBorders>
              <w:left w:val="single" w:color="auto" w:sz="4" w:space="0"/>
              <w:right w:val="single" w:color="auto" w:sz="4" w:space="0"/>
            </w:tcBorders>
          </w:tcPr>
          <w:p w14:paraId="4BB1EBF8">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6B5B6756">
            <w:pPr>
              <w:rPr>
                <w:rFonts w:ascii="宋体" w:hAnsi="宋体" w:cs="宋体"/>
                <w:color w:val="000000"/>
                <w:szCs w:val="21"/>
              </w:rPr>
            </w:pPr>
            <w:r>
              <w:rPr>
                <w:rFonts w:hint="eastAsia" w:ascii="宋体" w:hAnsi="宋体" w:cs="宋体"/>
                <w:color w:val="000000"/>
                <w:szCs w:val="21"/>
              </w:rPr>
              <w:t>白宗凯</w:t>
            </w:r>
          </w:p>
        </w:tc>
        <w:tc>
          <w:tcPr>
            <w:tcW w:w="2361" w:type="dxa"/>
            <w:gridSpan w:val="4"/>
            <w:tcBorders>
              <w:top w:val="single" w:color="auto" w:sz="4" w:space="0"/>
              <w:left w:val="single" w:color="auto" w:sz="4" w:space="0"/>
              <w:bottom w:val="single" w:color="auto" w:sz="4" w:space="0"/>
              <w:right w:val="single" w:color="auto" w:sz="4" w:space="0"/>
            </w:tcBorders>
          </w:tcPr>
          <w:p w14:paraId="7D158353">
            <w:pPr>
              <w:rPr>
                <w:rFonts w:ascii="宋体" w:hAnsi="宋体" w:cs="宋体"/>
                <w:color w:val="000000"/>
                <w:szCs w:val="21"/>
              </w:rPr>
            </w:pPr>
            <w:r>
              <w:rPr>
                <w:rFonts w:hint="eastAsia" w:ascii="宋体" w:hAnsi="宋体" w:cs="宋体"/>
                <w:color w:val="000000"/>
                <w:szCs w:val="21"/>
              </w:rPr>
              <w:t>副教授</w:t>
            </w:r>
          </w:p>
        </w:tc>
        <w:tc>
          <w:tcPr>
            <w:tcW w:w="3204" w:type="dxa"/>
            <w:gridSpan w:val="3"/>
            <w:tcBorders>
              <w:top w:val="single" w:color="auto" w:sz="4" w:space="0"/>
              <w:left w:val="single" w:color="auto" w:sz="4" w:space="0"/>
              <w:bottom w:val="single" w:color="auto" w:sz="4" w:space="0"/>
              <w:right w:val="single" w:color="auto" w:sz="4" w:space="0"/>
            </w:tcBorders>
          </w:tcPr>
          <w:p w14:paraId="6D7A3160">
            <w:pPr>
              <w:rPr>
                <w:rFonts w:ascii="宋体" w:hAnsi="宋体" w:cs="宋体"/>
                <w:color w:val="000000"/>
                <w:szCs w:val="21"/>
              </w:rPr>
            </w:pPr>
            <w:r>
              <w:rPr>
                <w:rFonts w:hint="eastAsia" w:ascii="宋体" w:hAnsi="宋体" w:cs="宋体"/>
                <w:color w:val="000000"/>
                <w:szCs w:val="21"/>
              </w:rPr>
              <w:t>是</w:t>
            </w:r>
          </w:p>
        </w:tc>
      </w:tr>
      <w:tr w14:paraId="6BCA4EB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45" w:hRule="atLeast"/>
          <w:jc w:val="center"/>
        </w:trPr>
        <w:tc>
          <w:tcPr>
            <w:tcW w:w="897" w:type="dxa"/>
            <w:vMerge w:val="continue"/>
            <w:tcBorders>
              <w:left w:val="single" w:color="auto" w:sz="4" w:space="0"/>
              <w:bottom w:val="single" w:color="auto" w:sz="4" w:space="0"/>
              <w:right w:val="single" w:color="auto" w:sz="4" w:space="0"/>
            </w:tcBorders>
          </w:tcPr>
          <w:p w14:paraId="42975B71">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11F3A5AA">
            <w:pPr>
              <w:rPr>
                <w:rFonts w:ascii="宋体" w:hAnsi="宋体" w:cs="宋体"/>
                <w:color w:val="000000"/>
                <w:szCs w:val="21"/>
              </w:rPr>
            </w:pPr>
          </w:p>
        </w:tc>
        <w:tc>
          <w:tcPr>
            <w:tcW w:w="2361" w:type="dxa"/>
            <w:gridSpan w:val="4"/>
            <w:tcBorders>
              <w:top w:val="single" w:color="auto" w:sz="4" w:space="0"/>
              <w:left w:val="single" w:color="auto" w:sz="4" w:space="0"/>
              <w:bottom w:val="single" w:color="auto" w:sz="4" w:space="0"/>
              <w:right w:val="single" w:color="auto" w:sz="4" w:space="0"/>
            </w:tcBorders>
          </w:tcPr>
          <w:p w14:paraId="74069110">
            <w:pPr>
              <w:rPr>
                <w:rFonts w:ascii="宋体" w:hAnsi="宋体" w:cs="宋体"/>
                <w:color w:val="000000"/>
                <w:szCs w:val="21"/>
              </w:rPr>
            </w:pPr>
          </w:p>
        </w:tc>
        <w:tc>
          <w:tcPr>
            <w:tcW w:w="3204" w:type="dxa"/>
            <w:gridSpan w:val="3"/>
            <w:tcBorders>
              <w:top w:val="single" w:color="auto" w:sz="4" w:space="0"/>
              <w:left w:val="single" w:color="auto" w:sz="4" w:space="0"/>
              <w:bottom w:val="single" w:color="auto" w:sz="4" w:space="0"/>
              <w:right w:val="single" w:color="auto" w:sz="4" w:space="0"/>
            </w:tcBorders>
          </w:tcPr>
          <w:p w14:paraId="75955CB9">
            <w:pPr>
              <w:rPr>
                <w:rFonts w:ascii="宋体" w:hAnsi="宋体" w:cs="宋体"/>
                <w:color w:val="000000"/>
                <w:szCs w:val="21"/>
              </w:rPr>
            </w:pPr>
          </w:p>
        </w:tc>
      </w:tr>
      <w:tr w14:paraId="7B3F324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527" w:hRule="atLeast"/>
          <w:jc w:val="center"/>
        </w:trPr>
        <w:tc>
          <w:tcPr>
            <w:tcW w:w="897" w:type="dxa"/>
            <w:vMerge w:val="continue"/>
            <w:tcBorders>
              <w:left w:val="single" w:color="auto" w:sz="4" w:space="0"/>
              <w:bottom w:val="single" w:color="auto" w:sz="4" w:space="0"/>
              <w:right w:val="single" w:color="auto" w:sz="4" w:space="0"/>
            </w:tcBorders>
          </w:tcPr>
          <w:p w14:paraId="1B2A1769">
            <w:pPr>
              <w:jc w:val="center"/>
              <w:rPr>
                <w:rFonts w:ascii="宋体" w:hAnsi="宋体" w:cs="宋体"/>
                <w:color w:val="000000"/>
                <w:szCs w:val="21"/>
              </w:rPr>
            </w:pPr>
          </w:p>
        </w:tc>
        <w:tc>
          <w:tcPr>
            <w:tcW w:w="1818" w:type="dxa"/>
            <w:gridSpan w:val="2"/>
            <w:tcBorders>
              <w:top w:val="single" w:color="auto" w:sz="4" w:space="0"/>
              <w:left w:val="single" w:color="auto" w:sz="4" w:space="0"/>
              <w:bottom w:val="single" w:color="auto" w:sz="4" w:space="0"/>
              <w:right w:val="single" w:color="auto" w:sz="4" w:space="0"/>
            </w:tcBorders>
          </w:tcPr>
          <w:p w14:paraId="7565B9F1">
            <w:pPr>
              <w:rPr>
                <w:rFonts w:ascii="宋体" w:hAnsi="宋体" w:cs="宋体"/>
                <w:color w:val="000000"/>
                <w:szCs w:val="21"/>
              </w:rPr>
            </w:pPr>
          </w:p>
        </w:tc>
        <w:tc>
          <w:tcPr>
            <w:tcW w:w="2361" w:type="dxa"/>
            <w:gridSpan w:val="4"/>
            <w:tcBorders>
              <w:top w:val="single" w:color="auto" w:sz="4" w:space="0"/>
              <w:left w:val="single" w:color="auto" w:sz="4" w:space="0"/>
              <w:bottom w:val="single" w:color="auto" w:sz="4" w:space="0"/>
              <w:right w:val="single" w:color="auto" w:sz="4" w:space="0"/>
            </w:tcBorders>
          </w:tcPr>
          <w:p w14:paraId="320F1ED0">
            <w:pPr>
              <w:rPr>
                <w:rFonts w:ascii="宋体" w:hAnsi="宋体" w:cs="宋体"/>
                <w:color w:val="000000"/>
                <w:szCs w:val="21"/>
              </w:rPr>
            </w:pPr>
          </w:p>
        </w:tc>
        <w:tc>
          <w:tcPr>
            <w:tcW w:w="3204" w:type="dxa"/>
            <w:gridSpan w:val="3"/>
            <w:tcBorders>
              <w:top w:val="single" w:color="auto" w:sz="4" w:space="0"/>
              <w:left w:val="single" w:color="auto" w:sz="4" w:space="0"/>
              <w:bottom w:val="single" w:color="auto" w:sz="4" w:space="0"/>
              <w:right w:val="single" w:color="auto" w:sz="4" w:space="0"/>
            </w:tcBorders>
          </w:tcPr>
          <w:p w14:paraId="7B332AFF">
            <w:pPr>
              <w:rPr>
                <w:rFonts w:ascii="宋体" w:hAnsi="宋体" w:cs="宋体"/>
                <w:color w:val="000000"/>
                <w:szCs w:val="21"/>
              </w:rPr>
            </w:pPr>
          </w:p>
        </w:tc>
      </w:tr>
      <w:tr w14:paraId="0458762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3988" w:hRule="atLeast"/>
          <w:jc w:val="center"/>
        </w:trPr>
        <w:tc>
          <w:tcPr>
            <w:tcW w:w="897" w:type="dxa"/>
            <w:vMerge w:val="restart"/>
            <w:tcBorders>
              <w:top w:val="single" w:color="auto" w:sz="4" w:space="0"/>
              <w:left w:val="single" w:color="auto" w:sz="4" w:space="0"/>
              <w:right w:val="single" w:color="auto" w:sz="4" w:space="0"/>
            </w:tcBorders>
          </w:tcPr>
          <w:p w14:paraId="1408F8DD">
            <w:pPr>
              <w:jc w:val="center"/>
              <w:rPr>
                <w:rFonts w:ascii="宋体" w:hAnsi="宋体" w:cs="宋体"/>
                <w:color w:val="000000"/>
                <w:szCs w:val="21"/>
              </w:rPr>
            </w:pPr>
          </w:p>
          <w:p w14:paraId="67822436">
            <w:pPr>
              <w:jc w:val="center"/>
              <w:rPr>
                <w:rFonts w:ascii="宋体" w:hAnsi="宋体" w:cs="宋体"/>
                <w:color w:val="000000"/>
                <w:szCs w:val="21"/>
              </w:rPr>
            </w:pPr>
          </w:p>
          <w:p w14:paraId="3BDA54D1">
            <w:pPr>
              <w:jc w:val="center"/>
              <w:rPr>
                <w:rFonts w:ascii="宋体" w:hAnsi="宋体" w:cs="宋体"/>
                <w:color w:val="000000"/>
                <w:szCs w:val="21"/>
              </w:rPr>
            </w:pPr>
          </w:p>
          <w:p w14:paraId="06A69724">
            <w:pPr>
              <w:jc w:val="center"/>
              <w:rPr>
                <w:rFonts w:ascii="宋体" w:hAnsi="宋体" w:cs="宋体"/>
                <w:color w:val="000000"/>
                <w:szCs w:val="21"/>
              </w:rPr>
            </w:pPr>
          </w:p>
          <w:p w14:paraId="70F55F87">
            <w:pPr>
              <w:jc w:val="center"/>
              <w:rPr>
                <w:rFonts w:ascii="宋体" w:hAnsi="宋体" w:cs="宋体"/>
                <w:color w:val="000000"/>
                <w:szCs w:val="21"/>
              </w:rPr>
            </w:pPr>
          </w:p>
          <w:p w14:paraId="4EE335B6">
            <w:pPr>
              <w:jc w:val="center"/>
              <w:rPr>
                <w:rFonts w:ascii="宋体" w:hAnsi="宋体" w:cs="宋体"/>
                <w:color w:val="000000"/>
                <w:szCs w:val="21"/>
              </w:rPr>
            </w:pPr>
          </w:p>
          <w:p w14:paraId="703EFC73">
            <w:pPr>
              <w:jc w:val="center"/>
              <w:rPr>
                <w:rFonts w:ascii="宋体" w:hAnsi="宋体" w:cs="宋体"/>
                <w:color w:val="000000"/>
                <w:szCs w:val="21"/>
              </w:rPr>
            </w:pPr>
            <w:r>
              <w:rPr>
                <w:rFonts w:hint="eastAsia" w:ascii="宋体" w:hAnsi="宋体" w:cs="宋体"/>
                <w:color w:val="000000"/>
                <w:szCs w:val="21"/>
              </w:rPr>
              <w:t>开</w:t>
            </w:r>
          </w:p>
          <w:p w14:paraId="544FE3F5">
            <w:pPr>
              <w:jc w:val="center"/>
              <w:rPr>
                <w:rFonts w:ascii="宋体" w:hAnsi="宋体" w:cs="宋体"/>
                <w:color w:val="000000"/>
                <w:szCs w:val="21"/>
              </w:rPr>
            </w:pPr>
            <w:r>
              <w:rPr>
                <w:rFonts w:hint="eastAsia" w:ascii="宋体" w:hAnsi="宋体" w:cs="宋体"/>
                <w:color w:val="000000"/>
                <w:szCs w:val="21"/>
              </w:rPr>
              <w:t>题</w:t>
            </w:r>
          </w:p>
          <w:p w14:paraId="36953D33">
            <w:pPr>
              <w:jc w:val="center"/>
              <w:rPr>
                <w:rFonts w:ascii="宋体" w:hAnsi="宋体" w:cs="宋体"/>
                <w:color w:val="000000"/>
                <w:szCs w:val="21"/>
              </w:rPr>
            </w:pPr>
            <w:r>
              <w:rPr>
                <w:rFonts w:hint="eastAsia" w:ascii="宋体" w:hAnsi="宋体" w:cs="宋体"/>
                <w:color w:val="000000"/>
                <w:szCs w:val="21"/>
              </w:rPr>
              <w:t>报</w:t>
            </w:r>
          </w:p>
          <w:p w14:paraId="638F7C6D">
            <w:pPr>
              <w:jc w:val="center"/>
              <w:rPr>
                <w:rFonts w:ascii="宋体" w:hAnsi="宋体" w:cs="宋体"/>
                <w:color w:val="000000"/>
                <w:szCs w:val="21"/>
              </w:rPr>
            </w:pPr>
            <w:r>
              <w:rPr>
                <w:rFonts w:hint="eastAsia" w:ascii="宋体" w:hAnsi="宋体" w:cs="宋体"/>
                <w:color w:val="000000"/>
                <w:szCs w:val="21"/>
              </w:rPr>
              <w:t>告</w:t>
            </w:r>
          </w:p>
          <w:p w14:paraId="5177FE4D">
            <w:pPr>
              <w:jc w:val="center"/>
              <w:rPr>
                <w:rFonts w:ascii="宋体" w:hAnsi="宋体" w:cs="宋体"/>
                <w:color w:val="000000"/>
                <w:szCs w:val="21"/>
              </w:rPr>
            </w:pPr>
            <w:r>
              <w:rPr>
                <w:rFonts w:hint="eastAsia" w:ascii="宋体" w:hAnsi="宋体" w:cs="宋体"/>
                <w:color w:val="000000"/>
                <w:szCs w:val="21"/>
              </w:rPr>
              <w:t>评</w:t>
            </w:r>
          </w:p>
          <w:p w14:paraId="7B1AAF82">
            <w:pPr>
              <w:jc w:val="center"/>
              <w:rPr>
                <w:rFonts w:ascii="宋体" w:hAnsi="宋体" w:cs="宋体"/>
                <w:color w:val="000000"/>
                <w:szCs w:val="21"/>
              </w:rPr>
            </w:pPr>
            <w:r>
              <w:rPr>
                <w:rFonts w:hint="eastAsia" w:ascii="宋体" w:hAnsi="宋体" w:cs="宋体"/>
                <w:color w:val="000000"/>
                <w:szCs w:val="21"/>
              </w:rPr>
              <w:t>语</w:t>
            </w:r>
          </w:p>
        </w:tc>
        <w:tc>
          <w:tcPr>
            <w:tcW w:w="7383" w:type="dxa"/>
            <w:gridSpan w:val="9"/>
            <w:tcBorders>
              <w:top w:val="single" w:color="auto" w:sz="4" w:space="0"/>
              <w:left w:val="single" w:color="auto" w:sz="4" w:space="0"/>
              <w:bottom w:val="single" w:color="auto" w:sz="4" w:space="0"/>
              <w:right w:val="single" w:color="auto" w:sz="4" w:space="0"/>
            </w:tcBorders>
          </w:tcPr>
          <w:p w14:paraId="30BF05C8">
            <w:pPr>
              <w:rPr>
                <w:rFonts w:ascii="宋体" w:hAnsi="宋体" w:cs="宋体"/>
                <w:color w:val="000000"/>
                <w:szCs w:val="21"/>
              </w:rPr>
            </w:pPr>
            <w:r>
              <w:rPr>
                <w:rFonts w:hint="eastAsia" w:ascii="宋体" w:hAnsi="宋体" w:cs="宋体"/>
                <w:color w:val="000000"/>
                <w:szCs w:val="21"/>
              </w:rPr>
              <w:t>与会人员主要意见：</w:t>
            </w:r>
          </w:p>
          <w:p w14:paraId="5130B6F1">
            <w:pPr>
              <w:rPr>
                <w:rFonts w:ascii="宋体" w:hAnsi="宋体" w:cs="宋体"/>
                <w:color w:val="000000"/>
                <w:szCs w:val="21"/>
              </w:rPr>
            </w:pPr>
          </w:p>
          <w:p w14:paraId="4A021D81">
            <w:pPr>
              <w:ind w:firstLine="420" w:firstLineChars="200"/>
              <w:rPr>
                <w:rFonts w:ascii="宋体" w:hAnsi="宋体" w:cs="宋体"/>
                <w:color w:val="000000"/>
                <w:szCs w:val="21"/>
              </w:rPr>
            </w:pPr>
            <w:r>
              <w:rPr>
                <w:rFonts w:ascii="Segoe UI" w:hAnsi="Segoe UI" w:cs="Segoe UI"/>
                <w:color w:val="0F1115"/>
              </w:rPr>
              <w:t>该</w:t>
            </w:r>
            <w:r>
              <w:rPr>
                <w:rFonts w:ascii="宋体" w:hAnsi="宋体" w:cs="宋体"/>
                <w:color w:val="000000"/>
                <w:szCs w:val="21"/>
              </w:rPr>
              <w:t>开题报告选题具有明确的现实背景与研究价值，聚焦于透析中心资源调度中的关键问题，研究目标清晰，内容设计系统完整，体现出较强的理论与实践意义。研究方案融合了数据挖掘、机器学习与运筹优化等多学科方法，技术路线合理，研究计划安排得当，具备较强的可行性。学生在前期已开展了扎实的数据准备与初步建模工作，展现出良好的研究基础与执行能力。值得肯定的是，研究尝试构建“预测—优化”一体化框架，具备创新性与前瞻性。但也需注意，该课题涉及内容较为复杂，工作量较大，尤其在预测模型与调度模型的深度融合、多目标动态优化等方面存在一定挑战。建议在研究过程中进一步聚焦核心问题，合理控制研究范围，注重模型的可解释性与实际落地性。</w:t>
            </w:r>
          </w:p>
          <w:p w14:paraId="796AA22A">
            <w:pPr>
              <w:ind w:firstLine="420" w:firstLineChars="200"/>
              <w:rPr>
                <w:rFonts w:ascii="宋体" w:hAnsi="宋体" w:cs="宋体"/>
                <w:color w:val="000000"/>
                <w:szCs w:val="21"/>
              </w:rPr>
            </w:pPr>
          </w:p>
          <w:p w14:paraId="20CA74CA">
            <w:pPr>
              <w:ind w:firstLine="420" w:firstLineChars="200"/>
              <w:rPr>
                <w:rFonts w:ascii="宋体" w:hAnsi="宋体" w:cs="宋体"/>
                <w:color w:val="000000"/>
                <w:szCs w:val="21"/>
              </w:rPr>
            </w:pPr>
            <w:r>
              <w:rPr>
                <w:rFonts w:ascii="宋体" w:hAnsi="宋体" w:cs="宋体"/>
                <w:color w:val="000000"/>
                <w:szCs w:val="21"/>
              </w:rPr>
              <w:t>总体认为，该开题报告符合要求，同意进入下一阶段论文工作。希望学生在后续研究中保持节奏，逐步推进，力争取得预期成果。</w:t>
            </w:r>
          </w:p>
          <w:p w14:paraId="151AC158">
            <w:pPr>
              <w:rPr>
                <w:rFonts w:ascii="宋体" w:hAnsi="宋体" w:cs="宋体"/>
                <w:color w:val="000000"/>
                <w:szCs w:val="21"/>
              </w:rPr>
            </w:pPr>
          </w:p>
          <w:p w14:paraId="1D574062">
            <w:pPr>
              <w:rPr>
                <w:rFonts w:ascii="宋体" w:hAnsi="宋体" w:cs="宋体"/>
                <w:color w:val="000000"/>
                <w:szCs w:val="21"/>
              </w:rPr>
            </w:pPr>
          </w:p>
          <w:p w14:paraId="45735B51">
            <w:pPr>
              <w:rPr>
                <w:rFonts w:ascii="宋体" w:hAnsi="宋体" w:cs="宋体"/>
                <w:color w:val="000000"/>
                <w:szCs w:val="21"/>
              </w:rPr>
            </w:pPr>
          </w:p>
          <w:p w14:paraId="4AD57B45">
            <w:pPr>
              <w:rPr>
                <w:rFonts w:ascii="宋体" w:hAnsi="宋体" w:cs="宋体"/>
                <w:color w:val="000000"/>
                <w:szCs w:val="21"/>
              </w:rPr>
            </w:pPr>
          </w:p>
          <w:p w14:paraId="174FF950">
            <w:pPr>
              <w:rPr>
                <w:rFonts w:ascii="宋体" w:hAnsi="宋体" w:cs="宋体"/>
                <w:color w:val="000000"/>
                <w:szCs w:val="21"/>
              </w:rPr>
            </w:pPr>
          </w:p>
          <w:p w14:paraId="3F2E0A33">
            <w:pPr>
              <w:rPr>
                <w:rFonts w:ascii="宋体" w:hAnsi="宋体" w:cs="宋体"/>
                <w:color w:val="000000"/>
                <w:szCs w:val="21"/>
              </w:rPr>
            </w:pPr>
          </w:p>
          <w:p w14:paraId="411CE4C2">
            <w:pPr>
              <w:rPr>
                <w:rFonts w:ascii="宋体" w:hAnsi="宋体" w:cs="宋体"/>
                <w:color w:val="000000"/>
                <w:szCs w:val="21"/>
              </w:rPr>
            </w:pPr>
          </w:p>
          <w:p w14:paraId="7EC20D7B">
            <w:pPr>
              <w:rPr>
                <w:rFonts w:ascii="宋体" w:hAnsi="宋体" w:cs="宋体"/>
                <w:color w:val="000000"/>
                <w:szCs w:val="21"/>
              </w:rPr>
            </w:pPr>
          </w:p>
          <w:p w14:paraId="71B623AE">
            <w:pPr>
              <w:rPr>
                <w:rFonts w:ascii="宋体" w:hAnsi="宋体" w:cs="宋体"/>
                <w:color w:val="000000"/>
                <w:szCs w:val="21"/>
              </w:rPr>
            </w:pPr>
          </w:p>
          <w:p w14:paraId="7348A330">
            <w:pPr>
              <w:rPr>
                <w:rFonts w:ascii="宋体" w:hAnsi="宋体" w:cs="宋体"/>
                <w:color w:val="000000"/>
                <w:szCs w:val="21"/>
              </w:rPr>
            </w:pPr>
          </w:p>
          <w:p w14:paraId="589AC741">
            <w:pPr>
              <w:rPr>
                <w:rFonts w:ascii="宋体" w:hAnsi="宋体" w:cs="宋体"/>
                <w:color w:val="000000"/>
                <w:szCs w:val="21"/>
              </w:rPr>
            </w:pPr>
          </w:p>
          <w:p w14:paraId="1554911A">
            <w:pPr>
              <w:rPr>
                <w:rFonts w:ascii="宋体" w:hAnsi="宋体" w:cs="宋体"/>
                <w:color w:val="000000"/>
                <w:szCs w:val="21"/>
              </w:rPr>
            </w:pPr>
          </w:p>
        </w:tc>
      </w:tr>
      <w:tr w14:paraId="53C2AB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01" w:hRule="atLeast"/>
          <w:jc w:val="center"/>
        </w:trPr>
        <w:tc>
          <w:tcPr>
            <w:tcW w:w="897" w:type="dxa"/>
            <w:vMerge w:val="continue"/>
            <w:tcBorders>
              <w:left w:val="single" w:color="auto" w:sz="4" w:space="0"/>
              <w:bottom w:val="single" w:color="auto" w:sz="4" w:space="0"/>
              <w:right w:val="single" w:color="auto" w:sz="4" w:space="0"/>
            </w:tcBorders>
          </w:tcPr>
          <w:p w14:paraId="02EEDCE1">
            <w:pPr>
              <w:jc w:val="center"/>
              <w:rPr>
                <w:rFonts w:ascii="宋体" w:hAnsi="宋体" w:cs="宋体"/>
                <w:color w:val="000000"/>
                <w:szCs w:val="21"/>
              </w:rPr>
            </w:pPr>
          </w:p>
        </w:tc>
        <w:tc>
          <w:tcPr>
            <w:tcW w:w="1443" w:type="dxa"/>
            <w:tcBorders>
              <w:top w:val="single" w:color="auto" w:sz="4" w:space="0"/>
              <w:left w:val="single" w:color="auto" w:sz="4" w:space="0"/>
              <w:bottom w:val="single" w:color="auto" w:sz="4" w:space="0"/>
              <w:right w:val="single" w:color="auto" w:sz="4" w:space="0"/>
            </w:tcBorders>
          </w:tcPr>
          <w:p w14:paraId="7A111CB7">
            <w:pPr>
              <w:spacing w:before="156" w:beforeLines="50"/>
              <w:ind w:firstLine="210" w:firstLineChars="100"/>
              <w:rPr>
                <w:rFonts w:ascii="宋体" w:hAnsi="宋体" w:cs="宋体"/>
                <w:color w:val="000000"/>
                <w:szCs w:val="21"/>
              </w:rPr>
            </w:pPr>
            <w:r>
              <w:rPr>
                <w:rFonts w:hint="eastAsia" w:ascii="宋体" w:hAnsi="宋体" w:cs="宋体"/>
                <w:color w:val="000000"/>
                <w:szCs w:val="21"/>
              </w:rPr>
              <w:t>评议结果</w:t>
            </w:r>
          </w:p>
        </w:tc>
        <w:tc>
          <w:tcPr>
            <w:tcW w:w="2340" w:type="dxa"/>
            <w:gridSpan w:val="4"/>
            <w:tcBorders>
              <w:top w:val="single" w:color="auto" w:sz="4" w:space="0"/>
              <w:left w:val="single" w:color="auto" w:sz="4" w:space="0"/>
              <w:bottom w:val="single" w:color="auto" w:sz="4" w:space="0"/>
              <w:right w:val="single" w:color="auto" w:sz="4" w:space="0"/>
            </w:tcBorders>
          </w:tcPr>
          <w:p w14:paraId="5AF681AF">
            <w:pPr>
              <w:spacing w:before="156" w:beforeLines="50"/>
              <w:rPr>
                <w:rFonts w:ascii="宋体" w:hAnsi="宋体" w:cs="宋体"/>
                <w:color w:val="000000"/>
                <w:szCs w:val="21"/>
              </w:rPr>
            </w:pPr>
            <w:r>
              <w:rPr>
                <w:rFonts w:hint="eastAsia" w:ascii="宋体" w:hAnsi="宋体" w:cs="宋体"/>
                <w:color w:val="000000"/>
                <w:szCs w:val="21"/>
              </w:rPr>
              <w:t>□√合格   □不合格</w:t>
            </w:r>
          </w:p>
        </w:tc>
        <w:tc>
          <w:tcPr>
            <w:tcW w:w="1620" w:type="dxa"/>
            <w:gridSpan w:val="2"/>
            <w:tcBorders>
              <w:top w:val="single" w:color="auto" w:sz="4" w:space="0"/>
              <w:left w:val="single" w:color="auto" w:sz="4" w:space="0"/>
              <w:bottom w:val="single" w:color="auto" w:sz="4" w:space="0"/>
              <w:right w:val="single" w:color="auto" w:sz="4" w:space="0"/>
            </w:tcBorders>
          </w:tcPr>
          <w:p w14:paraId="7F6DE550">
            <w:pPr>
              <w:spacing w:before="156" w:beforeLines="50"/>
              <w:ind w:firstLine="210" w:firstLineChars="100"/>
              <w:rPr>
                <w:rFonts w:ascii="宋体" w:hAnsi="宋体" w:cs="宋体"/>
                <w:color w:val="000000"/>
                <w:szCs w:val="21"/>
              </w:rPr>
            </w:pPr>
            <w:r>
              <w:rPr>
                <w:rFonts w:hint="eastAsia" w:ascii="宋体" w:hAnsi="宋体" w:cs="宋体"/>
                <w:color w:val="000000"/>
                <w:szCs w:val="21"/>
              </w:rPr>
              <w:t>负责人签字</w:t>
            </w:r>
          </w:p>
        </w:tc>
        <w:tc>
          <w:tcPr>
            <w:tcW w:w="1980" w:type="dxa"/>
            <w:gridSpan w:val="2"/>
            <w:tcBorders>
              <w:top w:val="single" w:color="auto" w:sz="4" w:space="0"/>
              <w:left w:val="single" w:color="auto" w:sz="4" w:space="0"/>
              <w:bottom w:val="single" w:color="auto" w:sz="4" w:space="0"/>
              <w:right w:val="single" w:color="auto" w:sz="4" w:space="0"/>
            </w:tcBorders>
          </w:tcPr>
          <w:p w14:paraId="6BC28FE2">
            <w:pPr>
              <w:spacing w:before="156" w:beforeLines="50"/>
              <w:rPr>
                <w:rFonts w:ascii="宋体" w:hAnsi="宋体" w:cs="宋体"/>
                <w:color w:val="000000"/>
                <w:szCs w:val="21"/>
              </w:rPr>
            </w:pPr>
            <w:r>
              <w:rPr>
                <w:rFonts w:hint="eastAsia"/>
              </w:rPr>
              <w:drawing>
                <wp:inline distT="0" distB="0" distL="114300" distR="114300">
                  <wp:extent cx="765810" cy="375285"/>
                  <wp:effectExtent l="0" t="0" r="8890" b="5715"/>
                  <wp:docPr id="10" name="图片 10" descr="8669f7550d8284a1359bf4033d7a5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669f7550d8284a1359bf4033d7a5ae4"/>
                          <pic:cNvPicPr>
                            <a:picLocks noChangeAspect="1"/>
                          </pic:cNvPicPr>
                        </pic:nvPicPr>
                        <pic:blipFill>
                          <a:blip r:embed="rId6"/>
                          <a:stretch>
                            <a:fillRect/>
                          </a:stretch>
                        </pic:blipFill>
                        <pic:spPr>
                          <a:xfrm>
                            <a:off x="0" y="0"/>
                            <a:ext cx="765810" cy="375285"/>
                          </a:xfrm>
                          <a:prstGeom prst="rect">
                            <a:avLst/>
                          </a:prstGeom>
                        </pic:spPr>
                      </pic:pic>
                    </a:graphicData>
                  </a:graphic>
                </wp:inline>
              </w:drawing>
            </w:r>
          </w:p>
        </w:tc>
      </w:tr>
      <w:tr w14:paraId="046E737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351" w:hRule="atLeast"/>
          <w:jc w:val="center"/>
        </w:trPr>
        <w:tc>
          <w:tcPr>
            <w:tcW w:w="897" w:type="dxa"/>
            <w:vMerge w:val="restart"/>
            <w:tcBorders>
              <w:top w:val="single" w:color="auto" w:sz="4" w:space="0"/>
              <w:left w:val="single" w:color="auto" w:sz="4" w:space="0"/>
              <w:right w:val="single" w:color="auto" w:sz="4" w:space="0"/>
            </w:tcBorders>
          </w:tcPr>
          <w:p w14:paraId="0B7C3B4E">
            <w:pPr>
              <w:spacing w:line="220" w:lineRule="exact"/>
              <w:jc w:val="center"/>
              <w:rPr>
                <w:rFonts w:ascii="宋体" w:hAnsi="宋体" w:cs="宋体"/>
                <w:color w:val="000000"/>
                <w:szCs w:val="21"/>
              </w:rPr>
            </w:pPr>
          </w:p>
          <w:p w14:paraId="7B4B6803">
            <w:pPr>
              <w:spacing w:line="220" w:lineRule="exact"/>
              <w:jc w:val="center"/>
              <w:rPr>
                <w:rFonts w:ascii="宋体" w:hAnsi="宋体" w:cs="宋体"/>
                <w:color w:val="000000"/>
                <w:szCs w:val="21"/>
              </w:rPr>
            </w:pPr>
            <w:r>
              <w:rPr>
                <w:rFonts w:hint="eastAsia" w:ascii="宋体" w:hAnsi="宋体" w:cs="宋体"/>
                <w:color w:val="000000"/>
                <w:szCs w:val="21"/>
              </w:rPr>
              <w:t>是</w:t>
            </w:r>
          </w:p>
          <w:p w14:paraId="00B51DEE">
            <w:pPr>
              <w:spacing w:line="220" w:lineRule="exact"/>
              <w:jc w:val="center"/>
              <w:rPr>
                <w:rFonts w:ascii="宋体" w:hAnsi="宋体" w:cs="宋体"/>
                <w:color w:val="000000"/>
                <w:szCs w:val="21"/>
              </w:rPr>
            </w:pPr>
            <w:r>
              <w:rPr>
                <w:rFonts w:hint="eastAsia" w:ascii="宋体" w:hAnsi="宋体" w:cs="宋体"/>
                <w:color w:val="000000"/>
                <w:szCs w:val="21"/>
              </w:rPr>
              <w:t>否</w:t>
            </w:r>
          </w:p>
          <w:p w14:paraId="1887E582">
            <w:pPr>
              <w:spacing w:line="220" w:lineRule="exact"/>
              <w:jc w:val="center"/>
              <w:rPr>
                <w:rFonts w:ascii="宋体" w:hAnsi="宋体" w:cs="宋体"/>
                <w:color w:val="000000"/>
                <w:szCs w:val="21"/>
              </w:rPr>
            </w:pPr>
            <w:r>
              <w:rPr>
                <w:rFonts w:hint="eastAsia" w:ascii="宋体" w:hAnsi="宋体" w:cs="宋体"/>
                <w:color w:val="000000"/>
                <w:szCs w:val="21"/>
              </w:rPr>
              <w:t>同</w:t>
            </w:r>
          </w:p>
          <w:p w14:paraId="1D67AFD2">
            <w:pPr>
              <w:spacing w:line="220" w:lineRule="exact"/>
              <w:jc w:val="center"/>
              <w:rPr>
                <w:rFonts w:ascii="宋体" w:hAnsi="宋体" w:cs="宋体"/>
                <w:color w:val="000000"/>
                <w:szCs w:val="21"/>
              </w:rPr>
            </w:pPr>
            <w:r>
              <w:rPr>
                <w:rFonts w:hint="eastAsia" w:ascii="宋体" w:hAnsi="宋体" w:cs="宋体"/>
                <w:color w:val="000000"/>
                <w:szCs w:val="21"/>
              </w:rPr>
              <w:t>意</w:t>
            </w:r>
          </w:p>
          <w:p w14:paraId="1144876C">
            <w:pPr>
              <w:spacing w:line="220" w:lineRule="exact"/>
              <w:jc w:val="center"/>
              <w:rPr>
                <w:rFonts w:ascii="宋体" w:hAnsi="宋体" w:cs="宋体"/>
                <w:color w:val="000000"/>
                <w:szCs w:val="21"/>
              </w:rPr>
            </w:pPr>
            <w:r>
              <w:rPr>
                <w:rFonts w:hint="eastAsia" w:ascii="宋体" w:hAnsi="宋体" w:cs="宋体"/>
                <w:color w:val="000000"/>
                <w:szCs w:val="21"/>
              </w:rPr>
              <w:t>进</w:t>
            </w:r>
          </w:p>
          <w:p w14:paraId="027F3674">
            <w:pPr>
              <w:spacing w:line="220" w:lineRule="exact"/>
              <w:jc w:val="center"/>
              <w:rPr>
                <w:rFonts w:ascii="宋体" w:hAnsi="宋体" w:cs="宋体"/>
                <w:color w:val="000000"/>
                <w:szCs w:val="21"/>
              </w:rPr>
            </w:pPr>
            <w:r>
              <w:rPr>
                <w:rFonts w:hint="eastAsia" w:ascii="宋体" w:hAnsi="宋体" w:cs="宋体"/>
                <w:color w:val="000000"/>
                <w:szCs w:val="21"/>
              </w:rPr>
              <w:t>入</w:t>
            </w:r>
          </w:p>
          <w:p w14:paraId="4D7917CE">
            <w:pPr>
              <w:spacing w:line="220" w:lineRule="exact"/>
              <w:jc w:val="center"/>
              <w:rPr>
                <w:rFonts w:ascii="宋体" w:hAnsi="宋体" w:cs="宋体"/>
                <w:color w:val="000000"/>
                <w:szCs w:val="21"/>
              </w:rPr>
            </w:pPr>
            <w:r>
              <w:rPr>
                <w:rFonts w:hint="eastAsia" w:ascii="宋体" w:hAnsi="宋体" w:cs="宋体"/>
                <w:color w:val="000000"/>
                <w:szCs w:val="21"/>
              </w:rPr>
              <w:t>论</w:t>
            </w:r>
          </w:p>
          <w:p w14:paraId="0F30D121">
            <w:pPr>
              <w:spacing w:line="220" w:lineRule="exact"/>
              <w:jc w:val="center"/>
              <w:rPr>
                <w:rFonts w:ascii="宋体" w:hAnsi="宋体" w:cs="宋体"/>
                <w:color w:val="000000"/>
                <w:szCs w:val="21"/>
              </w:rPr>
            </w:pPr>
            <w:r>
              <w:rPr>
                <w:rFonts w:hint="eastAsia" w:ascii="宋体" w:hAnsi="宋体" w:cs="宋体"/>
                <w:color w:val="000000"/>
                <w:szCs w:val="21"/>
              </w:rPr>
              <w:t>文</w:t>
            </w:r>
          </w:p>
          <w:p w14:paraId="31327C40">
            <w:pPr>
              <w:spacing w:line="220" w:lineRule="exact"/>
              <w:jc w:val="center"/>
              <w:rPr>
                <w:rFonts w:ascii="宋体" w:hAnsi="宋体" w:cs="宋体"/>
                <w:color w:val="000000"/>
                <w:szCs w:val="21"/>
              </w:rPr>
            </w:pPr>
            <w:r>
              <w:rPr>
                <w:rFonts w:hint="eastAsia" w:ascii="宋体" w:hAnsi="宋体" w:cs="宋体"/>
                <w:color w:val="000000"/>
                <w:szCs w:val="21"/>
              </w:rPr>
              <w:t>工</w:t>
            </w:r>
          </w:p>
          <w:p w14:paraId="6B15AB40">
            <w:pPr>
              <w:spacing w:line="220" w:lineRule="exact"/>
              <w:jc w:val="center"/>
              <w:rPr>
                <w:rFonts w:ascii="宋体" w:hAnsi="宋体" w:cs="宋体"/>
                <w:color w:val="000000"/>
                <w:szCs w:val="21"/>
              </w:rPr>
            </w:pPr>
            <w:r>
              <w:rPr>
                <w:rFonts w:hint="eastAsia" w:ascii="宋体" w:hAnsi="宋体" w:cs="宋体"/>
                <w:color w:val="000000"/>
                <w:szCs w:val="21"/>
              </w:rPr>
              <w:t>作</w:t>
            </w:r>
          </w:p>
          <w:p w14:paraId="3EF7B28B">
            <w:pPr>
              <w:spacing w:line="220" w:lineRule="exact"/>
              <w:jc w:val="center"/>
              <w:rPr>
                <w:rFonts w:ascii="宋体" w:hAnsi="宋体" w:cs="宋体"/>
                <w:color w:val="000000"/>
                <w:szCs w:val="21"/>
              </w:rPr>
            </w:pPr>
            <w:r>
              <w:rPr>
                <w:rFonts w:hint="eastAsia" w:ascii="宋体" w:hAnsi="宋体" w:cs="宋体"/>
                <w:color w:val="000000"/>
                <w:szCs w:val="21"/>
              </w:rPr>
              <w:t>阶</w:t>
            </w:r>
          </w:p>
          <w:p w14:paraId="508406E2">
            <w:pPr>
              <w:spacing w:line="220" w:lineRule="exact"/>
              <w:jc w:val="center"/>
              <w:rPr>
                <w:rFonts w:ascii="宋体" w:hAnsi="宋体" w:cs="宋体"/>
                <w:color w:val="000000"/>
                <w:szCs w:val="21"/>
              </w:rPr>
            </w:pPr>
            <w:r>
              <w:rPr>
                <w:rFonts w:hint="eastAsia" w:ascii="宋体" w:hAnsi="宋体" w:cs="宋体"/>
                <w:color w:val="000000"/>
                <w:szCs w:val="21"/>
              </w:rPr>
              <w:t>段</w:t>
            </w:r>
          </w:p>
        </w:tc>
        <w:tc>
          <w:tcPr>
            <w:tcW w:w="7383" w:type="dxa"/>
            <w:gridSpan w:val="9"/>
            <w:tcBorders>
              <w:top w:val="single" w:color="auto" w:sz="4" w:space="0"/>
              <w:left w:val="single" w:color="auto" w:sz="4" w:space="0"/>
              <w:bottom w:val="single" w:color="auto" w:sz="4" w:space="0"/>
              <w:right w:val="single" w:color="auto" w:sz="4" w:space="0"/>
            </w:tcBorders>
          </w:tcPr>
          <w:p w14:paraId="7B99B576">
            <w:pPr>
              <w:rPr>
                <w:rFonts w:ascii="宋体" w:hAnsi="宋体" w:cs="宋体"/>
                <w:color w:val="000000"/>
                <w:szCs w:val="21"/>
              </w:rPr>
            </w:pPr>
            <w:r>
              <w:rPr>
                <w:rFonts w:hint="eastAsia" w:ascii="宋体" w:hAnsi="宋体" w:cs="宋体"/>
                <w:color w:val="000000"/>
                <w:szCs w:val="21"/>
              </w:rPr>
              <w:t>导师意见：</w:t>
            </w:r>
          </w:p>
          <w:p w14:paraId="2C5BE29A">
            <w:pPr>
              <w:rPr>
                <w:rFonts w:ascii="宋体" w:hAnsi="宋体" w:cs="宋体"/>
                <w:color w:val="000000"/>
                <w:szCs w:val="21"/>
              </w:rPr>
            </w:pPr>
            <w:r>
              <w:rPr>
                <w:rFonts w:ascii="宋体" w:hAnsi="宋体" w:cs="宋体"/>
                <w:color w:val="000000"/>
                <w:szCs w:val="21"/>
              </w:rPr>
              <w:t>开题报告《基于患者需求驱动的透析中心资源实时调度》选题精准，直面透析中心运营管理中的核心痛点，兼具重要的理论价值与广阔的实践应用前景。报告结构完整，逻辑清晰，对国内外研究现状的梳理较为全面，研究目标明确，技术路线详实可行，表明申请人已进行了充分的文献调研与前期思考，具备了开展本项研究工作的坚实基础。</w:t>
            </w:r>
          </w:p>
          <w:p w14:paraId="4903E45B">
            <w:pPr>
              <w:pStyle w:val="7"/>
              <w:shd w:val="clear" w:color="auto" w:fill="FFFFFF"/>
              <w:spacing w:before="240" w:beforeAutospacing="0" w:after="240" w:afterAutospacing="0"/>
              <w:rPr>
                <w:color w:val="000000"/>
                <w:kern w:val="2"/>
                <w:sz w:val="21"/>
                <w:szCs w:val="21"/>
              </w:rPr>
            </w:pPr>
            <w:r>
              <w:rPr>
                <w:b/>
                <w:bCs/>
                <w:color w:val="000000"/>
                <w:kern w:val="2"/>
                <w:sz w:val="21"/>
                <w:szCs w:val="21"/>
              </w:rPr>
              <w:t>一、 主要优点与可行性：</w:t>
            </w:r>
          </w:p>
          <w:p w14:paraId="48224146">
            <w:pPr>
              <w:pStyle w:val="7"/>
              <w:numPr>
                <w:ilvl w:val="0"/>
                <w:numId w:val="1"/>
              </w:numPr>
              <w:shd w:val="clear" w:color="auto" w:fill="FFFFFF"/>
              <w:spacing w:after="0" w:afterAutospacing="0"/>
              <w:ind w:left="0"/>
              <w:rPr>
                <w:color w:val="000000"/>
                <w:kern w:val="2"/>
                <w:sz w:val="21"/>
                <w:szCs w:val="21"/>
              </w:rPr>
            </w:pPr>
            <w:r>
              <w:rPr>
                <w:b/>
                <w:bCs/>
                <w:color w:val="000000"/>
                <w:kern w:val="2"/>
                <w:sz w:val="21"/>
                <w:szCs w:val="21"/>
              </w:rPr>
              <w:t>问题导向突出，立意新颖：</w:t>
            </w:r>
            <w:r>
              <w:rPr>
                <w:color w:val="000000"/>
                <w:kern w:val="2"/>
                <w:sz w:val="21"/>
                <w:szCs w:val="21"/>
              </w:rPr>
              <w:t>研究没有孤立地看待预测或调度问题，而是创新性地提出了“预测-优化一体化”的核心构想，旨在构建一个数据驱动的智能闭环管理系统。这一思路切中了当前研究的空白，是本研究最主要的理论创新点。</w:t>
            </w:r>
          </w:p>
          <w:p w14:paraId="4391ECF3">
            <w:pPr>
              <w:pStyle w:val="7"/>
              <w:numPr>
                <w:ilvl w:val="0"/>
                <w:numId w:val="1"/>
              </w:numPr>
              <w:shd w:val="clear" w:color="auto" w:fill="FFFFFF"/>
              <w:spacing w:after="0" w:afterAutospacing="0"/>
              <w:ind w:left="0"/>
              <w:rPr>
                <w:color w:val="000000"/>
                <w:kern w:val="2"/>
                <w:sz w:val="21"/>
                <w:szCs w:val="21"/>
              </w:rPr>
            </w:pPr>
            <w:r>
              <w:rPr>
                <w:b/>
                <w:bCs/>
                <w:color w:val="000000"/>
                <w:kern w:val="2"/>
                <w:sz w:val="21"/>
                <w:szCs w:val="21"/>
              </w:rPr>
              <w:t>技术方案先进，路线合理：</w:t>
            </w:r>
            <w:r>
              <w:rPr>
                <w:color w:val="000000"/>
                <w:kern w:val="2"/>
                <w:sz w:val="21"/>
                <w:szCs w:val="21"/>
              </w:rPr>
              <w:t>报告中规划的技术路线融合了数据科学（如Mamba, XGBoost）与运筹优化（如整数规划、深度强化学习）两大前沿领域，方案设计具有前瞻性。从数据预处理、特征工程，到预测模型构建与动态调度优化，再到闭环反馈，技术链条完整，逻辑自洽。</w:t>
            </w:r>
          </w:p>
          <w:p w14:paraId="08E08002">
            <w:pPr>
              <w:pStyle w:val="7"/>
              <w:numPr>
                <w:ilvl w:val="0"/>
                <w:numId w:val="1"/>
              </w:numPr>
              <w:shd w:val="clear" w:color="auto" w:fill="FFFFFF"/>
              <w:spacing w:after="0" w:afterAutospacing="0"/>
              <w:ind w:left="0"/>
              <w:rPr>
                <w:color w:val="000000"/>
                <w:kern w:val="2"/>
                <w:sz w:val="21"/>
                <w:szCs w:val="21"/>
              </w:rPr>
            </w:pPr>
            <w:r>
              <w:rPr>
                <w:b/>
                <w:bCs/>
                <w:color w:val="000000"/>
                <w:kern w:val="2"/>
                <w:sz w:val="21"/>
                <w:szCs w:val="21"/>
              </w:rPr>
              <w:t>研究基础扎实，准备充分：</w:t>
            </w:r>
            <w:r>
              <w:rPr>
                <w:color w:val="000000"/>
                <w:kern w:val="2"/>
                <w:sz w:val="21"/>
                <w:szCs w:val="21"/>
              </w:rPr>
              <w:t>申请人已掌握了相关理论课程知识，并已开展了实质性的前期工作，包括获取并清洗了长达数年的真实历史数据、进行了初步的文献综述与方法探索（如LSTM、XGBoost预测，DQN/PPO算法调研），这为后续研究的顺利推进提供了有力保障。</w:t>
            </w:r>
          </w:p>
          <w:p w14:paraId="338BD7E2">
            <w:pPr>
              <w:pStyle w:val="7"/>
              <w:numPr>
                <w:ilvl w:val="0"/>
                <w:numId w:val="1"/>
              </w:numPr>
              <w:shd w:val="clear" w:color="auto" w:fill="FFFFFF"/>
              <w:spacing w:after="0" w:afterAutospacing="0"/>
              <w:ind w:left="0"/>
              <w:rPr>
                <w:color w:val="000000"/>
                <w:kern w:val="2"/>
                <w:sz w:val="21"/>
                <w:szCs w:val="21"/>
              </w:rPr>
            </w:pPr>
            <w:r>
              <w:rPr>
                <w:b/>
                <w:bCs/>
                <w:color w:val="000000"/>
                <w:kern w:val="2"/>
                <w:sz w:val="21"/>
                <w:szCs w:val="21"/>
              </w:rPr>
              <w:t>研究计划详尽，安排得当：</w:t>
            </w:r>
            <w:r>
              <w:rPr>
                <w:color w:val="000000"/>
                <w:kern w:val="2"/>
                <w:sz w:val="21"/>
                <w:szCs w:val="21"/>
              </w:rPr>
              <w:t>工作计划阶段划分清晰，时间节点明确，任务安排具体，符合硕士学位论文的工作节奏，具有较强的可操作性。</w:t>
            </w:r>
          </w:p>
          <w:p w14:paraId="2AEC52C2">
            <w:pPr>
              <w:pStyle w:val="7"/>
              <w:shd w:val="clear" w:color="auto" w:fill="FFFFFF"/>
              <w:spacing w:before="240" w:beforeAutospacing="0" w:after="240" w:afterAutospacing="0"/>
              <w:rPr>
                <w:color w:val="000000"/>
                <w:kern w:val="2"/>
                <w:sz w:val="21"/>
                <w:szCs w:val="21"/>
              </w:rPr>
            </w:pPr>
            <w:r>
              <w:rPr>
                <w:b/>
                <w:bCs/>
                <w:color w:val="000000"/>
                <w:kern w:val="2"/>
                <w:sz w:val="21"/>
                <w:szCs w:val="21"/>
              </w:rPr>
              <w:t>二、 潜在挑战与改进建议：</w:t>
            </w:r>
          </w:p>
          <w:p w14:paraId="3FBC0E70">
            <w:pPr>
              <w:pStyle w:val="7"/>
              <w:shd w:val="clear" w:color="auto" w:fill="FFFFFF"/>
              <w:spacing w:before="240" w:beforeAutospacing="0" w:after="240" w:afterAutospacing="0"/>
              <w:rPr>
                <w:color w:val="000000"/>
                <w:kern w:val="2"/>
                <w:sz w:val="21"/>
                <w:szCs w:val="21"/>
              </w:rPr>
            </w:pPr>
            <w:r>
              <w:rPr>
                <w:color w:val="000000"/>
                <w:kern w:val="2"/>
                <w:sz w:val="21"/>
                <w:szCs w:val="21"/>
              </w:rPr>
              <w:t>尽管开题报告整体优秀，但本研究课题宏大，内涵丰富，工作量巨大。为确保学位论文能够按时、保质地完成，特提出以下几点深化建议与注意事项：</w:t>
            </w:r>
          </w:p>
          <w:p w14:paraId="750F2E0F">
            <w:pPr>
              <w:pStyle w:val="7"/>
              <w:numPr>
                <w:ilvl w:val="0"/>
                <w:numId w:val="2"/>
              </w:numPr>
              <w:shd w:val="clear" w:color="auto" w:fill="FFFFFF"/>
              <w:spacing w:after="0" w:afterAutospacing="0"/>
              <w:ind w:left="0"/>
              <w:rPr>
                <w:color w:val="000000"/>
                <w:kern w:val="2"/>
                <w:sz w:val="21"/>
                <w:szCs w:val="21"/>
              </w:rPr>
            </w:pPr>
            <w:r>
              <w:rPr>
                <w:b/>
                <w:bCs/>
                <w:color w:val="000000"/>
                <w:kern w:val="2"/>
                <w:sz w:val="21"/>
                <w:szCs w:val="21"/>
              </w:rPr>
              <w:t>聚焦研究范围，明确成果边界：</w:t>
            </w:r>
            <w:r>
              <w:rPr>
                <w:color w:val="000000"/>
                <w:kern w:val="2"/>
                <w:sz w:val="21"/>
                <w:szCs w:val="21"/>
              </w:rPr>
              <w:t>当前研究内容涵盖了从需求预测到动态调度的全流程，范围较广。建议在后续研究中进一步聚焦核心创新点。例如，在预测部分，可明确是以“患者人次”预测为主，还是细化到“不同治疗模式的需求”预测；在优化部分，是侧重于“护士排班”、“设备调度”还是“患者预约分配”，或是三者的轻量级耦合。建议先构建一个核心问题的简化模型，确保其完整性与深度，再考虑扩展，以避免陷入“大而全”却“不深不透”的困境。</w:t>
            </w:r>
          </w:p>
          <w:p w14:paraId="2B21D9D8">
            <w:pPr>
              <w:pStyle w:val="7"/>
              <w:numPr>
                <w:ilvl w:val="0"/>
                <w:numId w:val="2"/>
              </w:numPr>
              <w:shd w:val="clear" w:color="auto" w:fill="FFFFFF"/>
              <w:spacing w:after="120" w:afterAutospacing="0"/>
              <w:ind w:left="0"/>
              <w:rPr>
                <w:color w:val="000000"/>
                <w:kern w:val="2"/>
                <w:sz w:val="21"/>
                <w:szCs w:val="21"/>
              </w:rPr>
            </w:pPr>
            <w:r>
              <w:rPr>
                <w:b/>
                <w:bCs/>
                <w:color w:val="000000"/>
                <w:kern w:val="2"/>
                <w:sz w:val="21"/>
                <w:szCs w:val="21"/>
              </w:rPr>
              <w:t>深化“预测-优化”耦合机制的设计：</w:t>
            </w:r>
            <w:r>
              <w:rPr>
                <w:color w:val="000000"/>
                <w:kern w:val="2"/>
                <w:sz w:val="21"/>
                <w:szCs w:val="21"/>
              </w:rPr>
              <w:t>这是本研究的灵魂，也是最大的挑战。报告提出了构想，但如何具体实现“预测驱动优化”和“闭环反馈”需要更细致的设计。例如：</w:t>
            </w:r>
          </w:p>
          <w:p w14:paraId="09B86C51">
            <w:pPr>
              <w:pStyle w:val="7"/>
              <w:numPr>
                <w:ilvl w:val="1"/>
                <w:numId w:val="2"/>
              </w:numPr>
              <w:shd w:val="clear" w:color="auto" w:fill="FFFFFF"/>
              <w:spacing w:after="0" w:afterAutospacing="0"/>
              <w:ind w:left="0"/>
              <w:rPr>
                <w:color w:val="000000"/>
                <w:kern w:val="2"/>
                <w:sz w:val="21"/>
                <w:szCs w:val="21"/>
              </w:rPr>
            </w:pPr>
            <w:r>
              <w:rPr>
                <w:color w:val="000000"/>
                <w:kern w:val="2"/>
                <w:sz w:val="21"/>
                <w:szCs w:val="21"/>
              </w:rPr>
              <w:t>预测模型输出的不确定性（如置信区间）如何被后续的鲁棒优化或随机规划模型所利用？</w:t>
            </w:r>
          </w:p>
          <w:p w14:paraId="422EE75A">
            <w:pPr>
              <w:pStyle w:val="7"/>
              <w:numPr>
                <w:ilvl w:val="1"/>
                <w:numId w:val="2"/>
              </w:numPr>
              <w:shd w:val="clear" w:color="auto" w:fill="FFFFFF"/>
              <w:spacing w:after="0" w:afterAutospacing="0"/>
              <w:ind w:left="0"/>
              <w:rPr>
                <w:color w:val="000000"/>
                <w:kern w:val="2"/>
                <w:sz w:val="21"/>
                <w:szCs w:val="21"/>
              </w:rPr>
            </w:pPr>
            <w:r>
              <w:rPr>
                <w:color w:val="000000"/>
                <w:kern w:val="2"/>
                <w:sz w:val="21"/>
                <w:szCs w:val="21"/>
              </w:rPr>
              <w:t>强化学习的环境状态（State）如何精准地融入预测信息？奖励函数（Reward）的设计如何有效平衡设备利用率、护士负荷、患者等待时间等多个冲突目标？</w:t>
            </w:r>
          </w:p>
          <w:p w14:paraId="36000141">
            <w:pPr>
              <w:pStyle w:val="7"/>
              <w:numPr>
                <w:ilvl w:val="1"/>
                <w:numId w:val="2"/>
              </w:numPr>
              <w:shd w:val="clear" w:color="auto" w:fill="FFFFFF"/>
              <w:spacing w:after="0" w:afterAutospacing="0"/>
              <w:ind w:left="0"/>
              <w:rPr>
                <w:color w:val="000000"/>
                <w:kern w:val="2"/>
                <w:sz w:val="21"/>
                <w:szCs w:val="21"/>
              </w:rPr>
            </w:pPr>
            <w:r>
              <w:rPr>
                <w:color w:val="000000"/>
                <w:kern w:val="2"/>
                <w:sz w:val="21"/>
                <w:szCs w:val="21"/>
              </w:rPr>
              <w:t>“闭环”的具体实现路径是什么？是每天滚动优化，还是每周？反馈的数据如何触发模型的再训练？这些都需要在模型设计阶段进行深入的思考与细化。</w:t>
            </w:r>
          </w:p>
          <w:p w14:paraId="6418156E">
            <w:pPr>
              <w:pStyle w:val="7"/>
              <w:numPr>
                <w:ilvl w:val="0"/>
                <w:numId w:val="2"/>
              </w:numPr>
              <w:shd w:val="clear" w:color="auto" w:fill="FFFFFF"/>
              <w:spacing w:after="0" w:afterAutospacing="0"/>
              <w:ind w:left="0"/>
              <w:rPr>
                <w:color w:val="000000"/>
                <w:kern w:val="2"/>
                <w:sz w:val="21"/>
                <w:szCs w:val="21"/>
              </w:rPr>
            </w:pPr>
            <w:r>
              <w:rPr>
                <w:b/>
                <w:bCs/>
                <w:color w:val="000000"/>
                <w:kern w:val="2"/>
                <w:sz w:val="21"/>
                <w:szCs w:val="21"/>
              </w:rPr>
              <w:t>注重模型的实用性与可解释性：</w:t>
            </w:r>
            <w:r>
              <w:rPr>
                <w:color w:val="000000"/>
                <w:kern w:val="2"/>
                <w:sz w:val="21"/>
                <w:szCs w:val="21"/>
              </w:rPr>
              <w:t>在追求算法先进性的同时，必须考虑模型在真实医疗环境下的落地潜力。过于复杂的“黑箱”模型（如深度强化学习）可能面临落地阻力。建议在研究中加入对模型决策结果的解释性分析，或设计对比实验，证明其相较于简单规则或传统优化方法的优越性。同时，要充分考虑透析中心固有的、不可动摇的业务规则（如紧急患者插队、护士资质绑定等），并将其作为硬约束融入模型。</w:t>
            </w:r>
          </w:p>
          <w:p w14:paraId="749E96C8">
            <w:pPr>
              <w:pStyle w:val="7"/>
              <w:numPr>
                <w:ilvl w:val="0"/>
                <w:numId w:val="2"/>
              </w:numPr>
              <w:shd w:val="clear" w:color="auto" w:fill="FFFFFF"/>
              <w:spacing w:after="0" w:afterAutospacing="0"/>
              <w:ind w:left="0"/>
              <w:rPr>
                <w:color w:val="000000"/>
                <w:kern w:val="2"/>
                <w:sz w:val="21"/>
                <w:szCs w:val="21"/>
              </w:rPr>
            </w:pPr>
            <w:r>
              <w:rPr>
                <w:b/>
                <w:bCs/>
                <w:color w:val="000000"/>
                <w:kern w:val="2"/>
                <w:sz w:val="21"/>
                <w:szCs w:val="21"/>
              </w:rPr>
              <w:t>合理安排工作重心与时间：</w:t>
            </w:r>
            <w:r>
              <w:rPr>
                <w:color w:val="000000"/>
                <w:kern w:val="2"/>
                <w:sz w:val="21"/>
                <w:szCs w:val="21"/>
              </w:rPr>
              <w:t>鉴于工作量，务必做好时间管理。强化学习模型的训练与调参过程可能非常耗时且结果具有不确定性。建议制定备选方案，例如，若DRL模型训练效果不理想或时间不足，可先专注于构建一个高质量的多目标整数规划模型，并采用精确算法或高效启发式算法求解，同样能形成一篇扎实的学位论文。将“预测+优化”的集成系统作为核心目标，同时准备好分阶段、分模块的成果展示方案。</w:t>
            </w:r>
          </w:p>
          <w:p w14:paraId="021F3104">
            <w:pPr>
              <w:pStyle w:val="7"/>
              <w:shd w:val="clear" w:color="auto" w:fill="FFFFFF"/>
              <w:spacing w:before="240" w:beforeAutospacing="0" w:after="240" w:afterAutospacing="0"/>
              <w:rPr>
                <w:color w:val="000000"/>
                <w:kern w:val="2"/>
                <w:sz w:val="21"/>
                <w:szCs w:val="21"/>
              </w:rPr>
            </w:pPr>
            <w:r>
              <w:rPr>
                <w:b/>
                <w:bCs/>
                <w:color w:val="000000"/>
                <w:kern w:val="2"/>
                <w:sz w:val="21"/>
                <w:szCs w:val="21"/>
              </w:rPr>
              <w:t>总体结论：</w:t>
            </w:r>
          </w:p>
          <w:p w14:paraId="75760BE6">
            <w:pPr>
              <w:pStyle w:val="7"/>
              <w:shd w:val="clear" w:color="auto" w:fill="FFFFFF"/>
              <w:spacing w:before="240" w:beforeAutospacing="0" w:after="240" w:afterAutospacing="0"/>
              <w:rPr>
                <w:color w:val="000000"/>
                <w:kern w:val="2"/>
                <w:sz w:val="21"/>
                <w:szCs w:val="21"/>
              </w:rPr>
            </w:pPr>
            <w:r>
              <w:rPr>
                <w:color w:val="000000"/>
                <w:kern w:val="2"/>
                <w:sz w:val="21"/>
                <w:szCs w:val="21"/>
              </w:rPr>
              <w:t>该开题报告充分展现了申请人的科研潜力和解决复杂工程管理问题的能力。研究方案设计出色，可行性较高。同意进入论文研究工作阶段。能时刻牢记“聚焦”与“深化”的原则，积极沟通遇到的困难，灵活调整实施策略，勇于探索，严谨求证，力争取得既有理论创新又有实践价值的优秀研究成果。</w:t>
            </w:r>
          </w:p>
          <w:p w14:paraId="750A20D3">
            <w:pPr>
              <w:rPr>
                <w:rFonts w:ascii="宋体" w:hAnsi="宋体" w:cs="宋体"/>
                <w:color w:val="000000"/>
                <w:szCs w:val="21"/>
              </w:rPr>
            </w:pPr>
          </w:p>
          <w:p w14:paraId="776E7083">
            <w:pPr>
              <w:rPr>
                <w:rFonts w:ascii="宋体" w:hAnsi="宋体" w:cs="宋体"/>
                <w:color w:val="000000"/>
                <w:szCs w:val="21"/>
              </w:rPr>
            </w:pPr>
          </w:p>
          <w:p w14:paraId="366107B8">
            <w:pPr>
              <w:rPr>
                <w:rFonts w:ascii="宋体" w:hAnsi="宋体" w:cs="宋体"/>
                <w:color w:val="000000"/>
                <w:szCs w:val="21"/>
              </w:rPr>
            </w:pPr>
            <w:r>
              <w:rPr>
                <w:rFonts w:hint="eastAsia" w:ascii="宋体" w:hAnsi="宋体" w:cs="宋体"/>
                <w:color w:val="000000"/>
                <w:szCs w:val="21"/>
              </w:rPr>
              <w:t xml:space="preserve">签   字：       </w:t>
            </w:r>
            <w:r>
              <w:rPr>
                <w:rFonts w:hint="eastAsia"/>
              </w:rPr>
              <w:drawing>
                <wp:inline distT="0" distB="0" distL="114300" distR="114300">
                  <wp:extent cx="765810" cy="375285"/>
                  <wp:effectExtent l="0" t="0" r="8890" b="5715"/>
                  <wp:docPr id="11" name="图片 11" descr="8669f7550d8284a1359bf4033d7a5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669f7550d8284a1359bf4033d7a5ae4"/>
                          <pic:cNvPicPr>
                            <a:picLocks noChangeAspect="1"/>
                          </pic:cNvPicPr>
                        </pic:nvPicPr>
                        <pic:blipFill>
                          <a:blip r:embed="rId6"/>
                          <a:stretch>
                            <a:fillRect/>
                          </a:stretch>
                        </pic:blipFill>
                        <pic:spPr>
                          <a:xfrm>
                            <a:off x="0" y="0"/>
                            <a:ext cx="765810" cy="375285"/>
                          </a:xfrm>
                          <a:prstGeom prst="rect">
                            <a:avLst/>
                          </a:prstGeom>
                        </pic:spPr>
                      </pic:pic>
                    </a:graphicData>
                  </a:graphic>
                </wp:inline>
              </w:drawing>
            </w:r>
            <w:r>
              <w:rPr>
                <w:rFonts w:hint="eastAsia" w:ascii="宋体" w:hAnsi="宋体" w:cs="宋体"/>
                <w:color w:val="000000"/>
                <w:szCs w:val="21"/>
              </w:rPr>
              <w:t xml:space="preserve">                  </w:t>
            </w:r>
            <w:r>
              <w:rPr>
                <w:rFonts w:ascii="宋体" w:hAnsi="宋体" w:cs="宋体"/>
                <w:color w:val="000000"/>
                <w:szCs w:val="21"/>
              </w:rPr>
              <w:t>2025</w:t>
            </w:r>
            <w:r>
              <w:rPr>
                <w:rFonts w:hint="eastAsia" w:ascii="宋体" w:hAnsi="宋体" w:cs="宋体"/>
                <w:color w:val="000000"/>
                <w:szCs w:val="21"/>
              </w:rPr>
              <w:t xml:space="preserve">  年  </w:t>
            </w:r>
            <w:r>
              <w:rPr>
                <w:rFonts w:ascii="宋体" w:hAnsi="宋体" w:cs="宋体"/>
                <w:color w:val="000000"/>
                <w:szCs w:val="21"/>
              </w:rPr>
              <w:t>09</w:t>
            </w:r>
            <w:r>
              <w:rPr>
                <w:rFonts w:hint="eastAsia" w:ascii="宋体" w:hAnsi="宋体" w:cs="宋体"/>
                <w:color w:val="000000"/>
                <w:szCs w:val="21"/>
              </w:rPr>
              <w:t xml:space="preserve"> 月 </w:t>
            </w:r>
            <w:r>
              <w:rPr>
                <w:rFonts w:ascii="宋体" w:hAnsi="宋体" w:cs="宋体"/>
                <w:color w:val="000000"/>
                <w:szCs w:val="21"/>
              </w:rPr>
              <w:t>28</w:t>
            </w:r>
            <w:r>
              <w:rPr>
                <w:rFonts w:hint="eastAsia" w:ascii="宋体" w:hAnsi="宋体" w:cs="宋体"/>
                <w:color w:val="000000"/>
                <w:szCs w:val="21"/>
              </w:rPr>
              <w:t xml:space="preserve">  日</w:t>
            </w:r>
          </w:p>
        </w:tc>
      </w:tr>
      <w:tr w14:paraId="3E4E76B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1484" w:hRule="atLeast"/>
          <w:jc w:val="center"/>
        </w:trPr>
        <w:tc>
          <w:tcPr>
            <w:tcW w:w="897" w:type="dxa"/>
            <w:vMerge w:val="continue"/>
            <w:tcBorders>
              <w:left w:val="single" w:color="auto" w:sz="4" w:space="0"/>
              <w:bottom w:val="single" w:color="auto" w:sz="4" w:space="0"/>
              <w:right w:val="single" w:color="auto" w:sz="4" w:space="0"/>
            </w:tcBorders>
          </w:tcPr>
          <w:p w14:paraId="5A44FF0A">
            <w:pPr>
              <w:jc w:val="center"/>
              <w:rPr>
                <w:rFonts w:ascii="宋体" w:hAnsi="宋体" w:cs="宋体"/>
                <w:color w:val="000000"/>
                <w:szCs w:val="21"/>
              </w:rPr>
            </w:pPr>
          </w:p>
        </w:tc>
        <w:tc>
          <w:tcPr>
            <w:tcW w:w="7383" w:type="dxa"/>
            <w:gridSpan w:val="9"/>
            <w:tcBorders>
              <w:top w:val="single" w:color="auto" w:sz="4" w:space="0"/>
              <w:left w:val="single" w:color="auto" w:sz="4" w:space="0"/>
              <w:bottom w:val="single" w:color="auto" w:sz="4" w:space="0"/>
              <w:right w:val="single" w:color="auto" w:sz="4" w:space="0"/>
            </w:tcBorders>
          </w:tcPr>
          <w:p w14:paraId="5D654806">
            <w:pPr>
              <w:rPr>
                <w:rFonts w:ascii="宋体" w:hAnsi="宋体" w:cs="宋体"/>
                <w:color w:val="000000"/>
                <w:szCs w:val="21"/>
              </w:rPr>
            </w:pPr>
            <w:r>
              <w:rPr>
                <w:rFonts w:hint="eastAsia" w:ascii="宋体" w:hAnsi="宋体" w:cs="宋体"/>
                <w:color w:val="000000"/>
                <w:szCs w:val="21"/>
              </w:rPr>
              <w:t>院、系审查意见：</w:t>
            </w:r>
          </w:p>
          <w:p w14:paraId="4C14C21A">
            <w:pPr>
              <w:ind w:firstLine="840" w:firstLineChars="400"/>
              <w:rPr>
                <w:rFonts w:ascii="宋体" w:hAnsi="宋体" w:cs="宋体"/>
                <w:color w:val="000000"/>
                <w:szCs w:val="21"/>
              </w:rPr>
            </w:pPr>
          </w:p>
          <w:p w14:paraId="31AA4603">
            <w:pPr>
              <w:rPr>
                <w:rFonts w:ascii="宋体" w:hAnsi="宋体" w:cs="宋体"/>
                <w:color w:val="000000"/>
                <w:szCs w:val="21"/>
              </w:rPr>
            </w:pPr>
          </w:p>
          <w:p w14:paraId="7A010445">
            <w:pPr>
              <w:ind w:firstLine="5040" w:firstLineChars="2400"/>
              <w:rPr>
                <w:rFonts w:ascii="宋体" w:hAnsi="宋体" w:cs="宋体"/>
                <w:color w:val="000000"/>
                <w:szCs w:val="21"/>
              </w:rPr>
            </w:pPr>
          </w:p>
          <w:p w14:paraId="215D5E4A">
            <w:pPr>
              <w:ind w:firstLine="5040" w:firstLineChars="2400"/>
              <w:rPr>
                <w:rFonts w:ascii="宋体" w:hAnsi="宋体" w:cs="宋体"/>
                <w:color w:val="000000"/>
                <w:szCs w:val="21"/>
              </w:rPr>
            </w:pPr>
            <w:r>
              <w:rPr>
                <w:rFonts w:hint="eastAsia" w:ascii="宋体" w:hAnsi="宋体" w:cs="宋体"/>
                <w:color w:val="000000"/>
                <w:szCs w:val="21"/>
              </w:rPr>
              <w:t>公章</w:t>
            </w:r>
          </w:p>
          <w:p w14:paraId="10B3E3EE">
            <w:pPr>
              <w:ind w:firstLine="840" w:firstLineChars="400"/>
              <w:rPr>
                <w:rFonts w:ascii="宋体" w:hAnsi="宋体" w:cs="宋体"/>
                <w:color w:val="000000"/>
                <w:szCs w:val="21"/>
              </w:rPr>
            </w:pPr>
            <w:r>
              <w:rPr>
                <w:rFonts w:hint="eastAsia" w:ascii="宋体" w:hAnsi="宋体" w:cs="宋体"/>
                <w:color w:val="000000"/>
                <w:szCs w:val="21"/>
              </w:rPr>
              <w:t>主管领导签字：                      年   月   日</w:t>
            </w:r>
          </w:p>
        </w:tc>
      </w:tr>
    </w:tbl>
    <w:p w14:paraId="155B5A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5A0FDE"/>
    <w:multiLevelType w:val="multilevel"/>
    <w:tmpl w:val="055A0FD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D23621C"/>
    <w:multiLevelType w:val="multilevel"/>
    <w:tmpl w:val="2D23621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A3F"/>
    <w:rsid w:val="002766D8"/>
    <w:rsid w:val="002C4D88"/>
    <w:rsid w:val="00304E8E"/>
    <w:rsid w:val="00337D0C"/>
    <w:rsid w:val="007414B2"/>
    <w:rsid w:val="00935708"/>
    <w:rsid w:val="00A70D08"/>
    <w:rsid w:val="00B21DC3"/>
    <w:rsid w:val="00BA2487"/>
    <w:rsid w:val="00D36A3F"/>
    <w:rsid w:val="00F27A6A"/>
    <w:rsid w:val="168B140C"/>
    <w:rsid w:val="59201F03"/>
    <w:rsid w:val="6C1C4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6"/>
    <w:autoRedefine/>
    <w:qFormat/>
    <w:uiPriority w:val="9"/>
    <w:pPr>
      <w:keepNext/>
      <w:keepLines/>
      <w:adjustRightInd w:val="0"/>
      <w:snapToGrid w:val="0"/>
      <w:spacing w:before="360" w:beforeLines="150" w:after="360" w:afterLines="150" w:line="420" w:lineRule="atLeast"/>
      <w:jc w:val="center"/>
      <w:outlineLvl w:val="0"/>
    </w:pPr>
    <w:rPr>
      <w:rFonts w:ascii="宋体" w:hAnsi="宋体"/>
      <w:b/>
      <w:bCs/>
      <w:color w:val="000000"/>
      <w:kern w:val="0"/>
      <w:sz w:val="32"/>
      <w:szCs w:val="32"/>
      <w:lang w:val="zh-CN"/>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5">
    <w:name w:val="Strong"/>
    <w:basedOn w:val="4"/>
    <w:qFormat/>
    <w:uiPriority w:val="22"/>
    <w:rPr>
      <w:b/>
      <w:bCs/>
    </w:rPr>
  </w:style>
  <w:style w:type="character" w:customStyle="1" w:styleId="6">
    <w:name w:val="标题 1 字符"/>
    <w:basedOn w:val="4"/>
    <w:link w:val="2"/>
    <w:uiPriority w:val="9"/>
    <w:rPr>
      <w:rFonts w:ascii="宋体" w:hAnsi="宋体" w:eastAsia="宋体" w:cs="Times New Roman"/>
      <w:b/>
      <w:bCs/>
      <w:color w:val="000000"/>
      <w:kern w:val="0"/>
      <w:sz w:val="32"/>
      <w:szCs w:val="32"/>
      <w:lang w:val="zh-CN"/>
    </w:rPr>
  </w:style>
  <w:style w:type="paragraph" w:customStyle="1" w:styleId="7">
    <w:name w:val="ds-markdown-paragraph"/>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7493</Words>
  <Characters>7939</Characters>
  <Lines>121</Lines>
  <Paragraphs>34</Paragraphs>
  <TotalTime>89</TotalTime>
  <ScaleCrop>false</ScaleCrop>
  <LinksUpToDate>false</LinksUpToDate>
  <CharactersWithSpaces>8155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2025-10-13T09:03:00Z</dcterms:created>
  <dc:creator>Administered</dc:creator>
  <cp:lastModifiedBy>柏林无少女</cp:lastModifiedBy>
  <dcterms:modified xsi:type="dcterms:W3CDTF">2026-09-20T14:17:38Z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eyJoZGlkIjoiYzMzNjdiODEzOGMyYjM5ODIxNTE2YmQ5ZTZjMzljZWQiLCJ1c2VySWQiOiIyNzU3Mjk3NTUifQ==</vt:lpwstr>
  </property>
  <property fmtid="{D5CDD505-2E9C-101B-9397-08002B2CF9AE}" pid="3" name="KSOProductBuildVer">
    <vt:lpwstr>2052-12.1.0.26375</vt:lpwstr>
  </property>
  <property fmtid="{D5CDD505-2E9C-101B-9397-08002B2CF9AE}" pid="4" name="ICV">
    <vt:lpwstr>D7C60541F5284C18A4165F0A8BD402D3_13</vt:lpwstr>
  </property>
</Properties>
</file>