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8CA" w:rsidRPr="002F03E9" w:rsidRDefault="00FA48CA" w:rsidP="00FA48CA">
      <w:pPr>
        <w:jc w:val="center"/>
        <w:rPr>
          <w:sz w:val="36"/>
          <w:szCs w:val="36"/>
        </w:rPr>
      </w:pPr>
      <w:r w:rsidRPr="002F03E9">
        <w:rPr>
          <w:sz w:val="36"/>
          <w:szCs w:val="36"/>
        </w:rPr>
        <w:t xml:space="preserve">MAT 221 Calculus I </w:t>
      </w:r>
      <w:r w:rsidRPr="002F03E9">
        <w:rPr>
          <w:rFonts w:hint="eastAsia"/>
          <w:sz w:val="36"/>
          <w:szCs w:val="36"/>
        </w:rPr>
        <w:t>S</w:t>
      </w:r>
      <w:r w:rsidRPr="002F03E9">
        <w:rPr>
          <w:sz w:val="36"/>
          <w:szCs w:val="36"/>
        </w:rPr>
        <w:t>yllabus, Fall 2020</w:t>
      </w:r>
    </w:p>
    <w:p w:rsidR="00522F46" w:rsidRDefault="00FA48CA" w:rsidP="00FA48CA">
      <w:r w:rsidRPr="007F0A22">
        <w:rPr>
          <w:b/>
        </w:rPr>
        <w:t>COURSE CONTENT:</w:t>
      </w:r>
      <w:r>
        <w:t xml:space="preserve"> </w:t>
      </w:r>
      <w:r>
        <w:br/>
        <w:t>MAT</w:t>
      </w:r>
      <w:r w:rsidR="002F03E9">
        <w:t>221</w:t>
      </w:r>
      <w:r>
        <w:t xml:space="preserve"> is the first in the Four-semester sequence Calculus, MAT 221, MAT222, MAT321, MAT322</w:t>
      </w:r>
      <w:r>
        <w:t xml:space="preserve"> covering the basic calculu</w:t>
      </w:r>
      <w:r>
        <w:t xml:space="preserve">s. Intended topics will include review of functions, </w:t>
      </w:r>
      <w:r>
        <w:t xml:space="preserve">limits, differentiation, </w:t>
      </w:r>
      <w:r>
        <w:t xml:space="preserve">and </w:t>
      </w:r>
      <w:r>
        <w:t>applications of the derivative</w:t>
      </w:r>
      <w:r>
        <w:t>. A minimum grade of C in MAT221 satisfies three</w:t>
      </w:r>
      <w:r>
        <w:t xml:space="preserve"> credits of general education requirement</w:t>
      </w:r>
      <w:r>
        <w:t xml:space="preserve">. </w:t>
      </w:r>
      <w:r>
        <w:t xml:space="preserve">This </w:t>
      </w:r>
      <w:r>
        <w:t>is an ONLINE VERSION of MAT221</w:t>
      </w:r>
      <w:r>
        <w:t xml:space="preserve"> − all conten</w:t>
      </w:r>
      <w:r>
        <w:t>t is delivered online. Students view all</w:t>
      </w:r>
      <w:r>
        <w:t xml:space="preserve"> online lectu</w:t>
      </w:r>
      <w:r w:rsidR="003774B6">
        <w:t>res</w:t>
      </w:r>
      <w:r>
        <w:t xml:space="preserve"> </w:t>
      </w:r>
      <w:r>
        <w:t>in the course management system Moodle</w:t>
      </w:r>
      <w:r>
        <w:t xml:space="preserve">, and complete online homework and quizzes using </w:t>
      </w:r>
      <w:proofErr w:type="spellStart"/>
      <w:r>
        <w:t>WebAssign</w:t>
      </w:r>
      <w:proofErr w:type="spellEnd"/>
      <w:r>
        <w:t>. Students are</w:t>
      </w:r>
      <w:r>
        <w:t xml:space="preserve"> </w:t>
      </w:r>
      <w:r>
        <w:t>encouraged to post questions and answers on the c</w:t>
      </w:r>
      <w:r>
        <w:t>ourse discussion board in Moodle. Two</w:t>
      </w:r>
      <w:r>
        <w:t xml:space="preserve"> semester exams </w:t>
      </w:r>
      <w:r>
        <w:t xml:space="preserve">and a final are posted in </w:t>
      </w:r>
      <w:r w:rsidR="002F03E9">
        <w:t>Moodle</w:t>
      </w:r>
      <w:r>
        <w:t>.</w:t>
      </w:r>
    </w:p>
    <w:p w:rsidR="00FA48CA" w:rsidRDefault="00FA48CA" w:rsidP="00FA48CA">
      <w:r w:rsidRPr="007F0A22">
        <w:rPr>
          <w:b/>
        </w:rPr>
        <w:t>PREREQUISITES:</w:t>
      </w:r>
      <w:r>
        <w:t xml:space="preserve"> </w:t>
      </w:r>
      <w:r w:rsidR="007F0A22">
        <w:br/>
      </w:r>
      <w:r>
        <w:t>MA</w:t>
      </w:r>
      <w:r w:rsidR="002F03E9">
        <w:t>T</w:t>
      </w:r>
      <w:r>
        <w:t>22</w:t>
      </w:r>
      <w:r>
        <w:t>1 assumes that you ha</w:t>
      </w:r>
      <w:r>
        <w:t xml:space="preserve">ve essential </w:t>
      </w:r>
      <w:proofErr w:type="spellStart"/>
      <w:r>
        <w:t>precalculus</w:t>
      </w:r>
      <w:proofErr w:type="spellEnd"/>
      <w:r>
        <w:t xml:space="preserve"> skills </w:t>
      </w:r>
      <w:r>
        <w:t>(both algebra and trigonometry) necessary to succeed in calculu</w:t>
      </w:r>
      <w:r>
        <w:t xml:space="preserve">s. Students should </w:t>
      </w:r>
      <w:r>
        <w:t>be able to do arithmetic without a calculator</w:t>
      </w:r>
      <w:r>
        <w:t>.</w:t>
      </w:r>
    </w:p>
    <w:p w:rsidR="000C26F8" w:rsidRDefault="008F2A7A" w:rsidP="000C26F8">
      <w:r w:rsidRPr="000C26F8">
        <w:rPr>
          <w:b/>
        </w:rPr>
        <w:t>REQUIRED MATERIAL</w:t>
      </w:r>
      <w:r w:rsidRPr="000C26F8">
        <w:rPr>
          <w:b/>
        </w:rPr>
        <w:t>S:</w:t>
      </w:r>
      <w:r>
        <w:br/>
      </w:r>
      <w:r w:rsidRPr="006C329D">
        <w:rPr>
          <w:b/>
        </w:rPr>
        <w:t>Textbook:</w:t>
      </w:r>
      <w:r>
        <w:t xml:space="preserve"> Calculus: Early </w:t>
      </w:r>
      <w:proofErr w:type="spellStart"/>
      <w:r>
        <w:t>Transcen</w:t>
      </w:r>
      <w:r>
        <w:t>dentals</w:t>
      </w:r>
      <w:proofErr w:type="spellEnd"/>
      <w:r>
        <w:t xml:space="preserve">, 8th Edition by Stewart </w:t>
      </w:r>
      <w:r>
        <w:br/>
      </w:r>
      <w:r w:rsidR="000C26F8">
        <w:t>The materials required for this course are included in a Cengage Unlimited, subscription (think Netflix or Apple Music) that gives you access to all your Cengage access codes, online textbooks, study guides, and in many cases a print rental for $119.99 (+$7.99 for print rental). No matter how many Cengage products you use, they are included in Cengage Unlimited, and the price stays the same. You can purchase access to Cengage Unlimited in the bookstore, where you can use your financial aid.</w:t>
      </w:r>
    </w:p>
    <w:p w:rsidR="000C26F8" w:rsidRDefault="000C26F8" w:rsidP="000C26F8">
      <w:r>
        <w:t xml:space="preserve">This course will use </w:t>
      </w:r>
      <w:proofErr w:type="spellStart"/>
      <w:r>
        <w:t>WebAssign</w:t>
      </w:r>
      <w:proofErr w:type="spellEnd"/>
      <w:r>
        <w:t xml:space="preserve"> for Stewart's Ca</w:t>
      </w:r>
      <w:r w:rsidR="00627EAB">
        <w:t xml:space="preserve">lculus: Early </w:t>
      </w:r>
      <w:proofErr w:type="spellStart"/>
      <w:r w:rsidR="00627EAB">
        <w:t>Transcendentals</w:t>
      </w:r>
      <w:proofErr w:type="spellEnd"/>
      <w:r w:rsidR="00627EAB">
        <w:t>, 9</w:t>
      </w:r>
      <w:r>
        <w:t>th Edition, Multi-Term 9781337771474 ($125) that is</w:t>
      </w:r>
      <w:r>
        <w:t xml:space="preserve"> included in Cengage Unlimited.</w:t>
      </w:r>
    </w:p>
    <w:p w:rsidR="000C26F8" w:rsidRDefault="000C26F8" w:rsidP="000C26F8">
      <w:pPr>
        <w:pStyle w:val="ListParagraph"/>
        <w:numPr>
          <w:ilvl w:val="0"/>
          <w:numId w:val="3"/>
        </w:numPr>
      </w:pPr>
      <w:r>
        <w:t xml:space="preserve">You should NOT purchase BOTH the Course Materials AND a Cengage Unlimited subscription; only ONE purchase is required and it is recommended that you consider a </w:t>
      </w:r>
      <w:r>
        <w:t>Cengage Unlimited subscription.</w:t>
      </w:r>
    </w:p>
    <w:p w:rsidR="000C26F8" w:rsidRDefault="000C26F8" w:rsidP="000C26F8">
      <w:pPr>
        <w:pStyle w:val="ListParagraph"/>
        <w:numPr>
          <w:ilvl w:val="0"/>
          <w:numId w:val="3"/>
        </w:numPr>
      </w:pPr>
      <w:r>
        <w:t xml:space="preserve">You’ll be able to see other courses at the bookstore using Cengage materials, so be sure to take some time and explore the benefits of a </w:t>
      </w:r>
      <w:r>
        <w:t>Cengage Unlimited subscription.</w:t>
      </w:r>
    </w:p>
    <w:p w:rsidR="000C26F8" w:rsidRDefault="000C26F8" w:rsidP="000C26F8">
      <w:pPr>
        <w:pStyle w:val="ListParagraph"/>
        <w:numPr>
          <w:ilvl w:val="0"/>
          <w:numId w:val="3"/>
        </w:numPr>
      </w:pPr>
      <w:r>
        <w:t>As a bonus, before your subscription ends, you can choose up to six e-books to retain in your virtual locker f</w:t>
      </w:r>
      <w:r>
        <w:t>or an additional twelve months.</w:t>
      </w:r>
    </w:p>
    <w:p w:rsidR="008F2A7A" w:rsidRDefault="008F2A7A" w:rsidP="008F2A7A">
      <w:r w:rsidRPr="006C329D">
        <w:rPr>
          <w:b/>
        </w:rPr>
        <w:t>Computer access and requirements:</w:t>
      </w:r>
      <w:r>
        <w:t xml:space="preserve"> All assignments should be taken on a computer, not cell phone or tablet, since there may be c</w:t>
      </w:r>
      <w:r w:rsidR="00627EAB">
        <w:t>ompatibility issues with Moodle</w:t>
      </w:r>
      <w:r w:rsidR="006C329D">
        <w:t xml:space="preserve"> </w:t>
      </w:r>
      <w:r>
        <w:t xml:space="preserve">and </w:t>
      </w:r>
      <w:proofErr w:type="spellStart"/>
      <w:r>
        <w:t>WebAssign</w:t>
      </w:r>
      <w:proofErr w:type="spellEnd"/>
      <w:r>
        <w:t>. Be sure you are using a browser th</w:t>
      </w:r>
      <w:r w:rsidR="006C329D">
        <w:t xml:space="preserve">at works with </w:t>
      </w:r>
      <w:proofErr w:type="spellStart"/>
      <w:r w:rsidR="006C329D">
        <w:t>WebAssign</w:t>
      </w:r>
      <w:proofErr w:type="spellEnd"/>
      <w:r w:rsidR="006C329D">
        <w:t xml:space="preserve">. Please </w:t>
      </w:r>
      <w:r>
        <w:t xml:space="preserve">check for </w:t>
      </w:r>
      <w:proofErr w:type="spellStart"/>
      <w:r>
        <w:t>WebAssign</w:t>
      </w:r>
      <w:proofErr w:type="spellEnd"/>
      <w:r>
        <w:t xml:space="preserve"> browser recommendations. An</w:t>
      </w:r>
      <w:r w:rsidR="006C329D">
        <w:t xml:space="preserve">y </w:t>
      </w:r>
      <w:proofErr w:type="spellStart"/>
      <w:r w:rsidR="006C329D">
        <w:t>WebAssign</w:t>
      </w:r>
      <w:proofErr w:type="spellEnd"/>
      <w:r w:rsidR="006C329D">
        <w:t xml:space="preserve"> questions should be </w:t>
      </w:r>
      <w:r>
        <w:t xml:space="preserve">directed to your instructor and/or the </w:t>
      </w:r>
      <w:proofErr w:type="spellStart"/>
      <w:r>
        <w:t>WebAssign</w:t>
      </w:r>
      <w:proofErr w:type="spellEnd"/>
      <w:r>
        <w:t xml:space="preserve"> Student Support 1-800-955-8275.</w:t>
      </w:r>
    </w:p>
    <w:p w:rsidR="006C329D" w:rsidRDefault="008F2A7A" w:rsidP="008F2A7A">
      <w:r w:rsidRPr="006C329D">
        <w:rPr>
          <w:b/>
        </w:rPr>
        <w:t>Calculators:</w:t>
      </w:r>
      <w:r>
        <w:t xml:space="preserve"> A graphics calculator and </w:t>
      </w:r>
      <w:proofErr w:type="spellStart"/>
      <w:r>
        <w:t>Wolframalpha</w:t>
      </w:r>
      <w:proofErr w:type="spellEnd"/>
      <w:r>
        <w:t xml:space="preserve"> are useful as a study and learning tool when used appropriately, but they are not essential. Remember that Calculus is a collection of ideas that are not mastered t</w:t>
      </w:r>
      <w:r w:rsidR="000C26F8">
        <w:t xml:space="preserve">hrough calculator skills. </w:t>
      </w:r>
      <w:r>
        <w:t>No ca</w:t>
      </w:r>
      <w:r w:rsidR="006C329D">
        <w:t>lculators are allowed on exams.</w:t>
      </w:r>
    </w:p>
    <w:p w:rsidR="006C329D" w:rsidRDefault="006C329D" w:rsidP="006C329D">
      <w:r w:rsidRPr="006C329D">
        <w:rPr>
          <w:b/>
        </w:rPr>
        <w:t>COURSE CALENDAR:</w:t>
      </w:r>
      <w:r>
        <w:t xml:space="preserve"> Check the course calen</w:t>
      </w:r>
      <w:r>
        <w:t>dar for due dates and plan your schedule accordingly.</w:t>
      </w:r>
    </w:p>
    <w:p w:rsidR="006C329D" w:rsidRDefault="006C329D" w:rsidP="006C329D">
      <w:r w:rsidRPr="000C26F8">
        <w:rPr>
          <w:b/>
        </w:rPr>
        <w:lastRenderedPageBreak/>
        <w:t>Moodle:</w:t>
      </w:r>
      <w:r>
        <w:t xml:space="preserve"> </w:t>
      </w:r>
      <w:proofErr w:type="spellStart"/>
      <w:r>
        <w:t>T</w:t>
      </w:r>
      <w:r w:rsidR="004644A8">
        <w:t>ougaloo</w:t>
      </w:r>
      <w:proofErr w:type="spellEnd"/>
      <w:r w:rsidR="004644A8">
        <w:t xml:space="preserve"> </w:t>
      </w:r>
      <w:r>
        <w:t>C</w:t>
      </w:r>
      <w:r w:rsidR="004644A8">
        <w:t>ollege</w:t>
      </w:r>
      <w:r>
        <w:t xml:space="preserve"> </w:t>
      </w:r>
      <w:r>
        <w:t>Online</w:t>
      </w:r>
      <w:r>
        <w:t xml:space="preserve"> course</w:t>
      </w:r>
      <w:r>
        <w:t xml:space="preserve"> management system</w:t>
      </w:r>
      <w:r w:rsidR="004644A8">
        <w:t xml:space="preserve">. </w:t>
      </w:r>
      <w:r>
        <w:t>All course information</w:t>
      </w:r>
      <w:r w:rsidR="00DD3F23">
        <w:t xml:space="preserve"> including the course</w:t>
      </w:r>
      <w:r>
        <w:t xml:space="preserve"> </w:t>
      </w:r>
      <w:r>
        <w:t>syllabus, and exam information are posted on this sit</w:t>
      </w:r>
      <w:r>
        <w:t xml:space="preserve">e. In addition, there is a mail </w:t>
      </w:r>
      <w:r>
        <w:t>tool and discussion forum for communication.</w:t>
      </w:r>
    </w:p>
    <w:p w:rsidR="006C329D" w:rsidRDefault="00A8551E" w:rsidP="006C329D">
      <w:r>
        <w:t>All grades are posted in Moodle</w:t>
      </w:r>
      <w:r w:rsidR="006C329D">
        <w:t xml:space="preserve"> (except individ</w:t>
      </w:r>
      <w:r w:rsidR="006C329D">
        <w:t xml:space="preserve">ual </w:t>
      </w:r>
      <w:proofErr w:type="spellStart"/>
      <w:r w:rsidR="006C329D">
        <w:t>WebAssign</w:t>
      </w:r>
      <w:proofErr w:type="spellEnd"/>
      <w:r w:rsidR="006C329D">
        <w:t xml:space="preserve"> homework and quiz </w:t>
      </w:r>
      <w:r w:rsidR="006C329D">
        <w:t xml:space="preserve">scores which are accessed in your </w:t>
      </w:r>
      <w:proofErr w:type="spellStart"/>
      <w:r w:rsidR="006C329D">
        <w:t>WebAssign</w:t>
      </w:r>
      <w:proofErr w:type="spellEnd"/>
      <w:r w:rsidR="006C329D">
        <w:t xml:space="preserve"> account). </w:t>
      </w:r>
      <w:r w:rsidR="006C329D" w:rsidRPr="006C329D">
        <w:rPr>
          <w:b/>
        </w:rPr>
        <w:t xml:space="preserve">You are responsible for verifying that those grades are accurate. You have </w:t>
      </w:r>
      <w:r w:rsidR="006C329D" w:rsidRPr="006C329D">
        <w:rPr>
          <w:b/>
        </w:rPr>
        <w:t xml:space="preserve">one week after a score has been </w:t>
      </w:r>
      <w:r w:rsidR="006C329D" w:rsidRPr="006C329D">
        <w:rPr>
          <w:b/>
        </w:rPr>
        <w:t>posted to resolve any grade concerns b</w:t>
      </w:r>
      <w:r w:rsidR="006C329D" w:rsidRPr="006C329D">
        <w:rPr>
          <w:b/>
        </w:rPr>
        <w:t xml:space="preserve">y contacting </w:t>
      </w:r>
      <w:r w:rsidR="006C329D">
        <w:rPr>
          <w:b/>
        </w:rPr>
        <w:t>me. I</w:t>
      </w:r>
      <w:r w:rsidR="006C329D" w:rsidRPr="006C329D">
        <w:rPr>
          <w:b/>
        </w:rPr>
        <w:t xml:space="preserve"> will </w:t>
      </w:r>
      <w:r w:rsidR="006C329D" w:rsidRPr="006C329D">
        <w:rPr>
          <w:b/>
        </w:rPr>
        <w:t>not consider these grade disputes at the end of the semester.</w:t>
      </w:r>
    </w:p>
    <w:p w:rsidR="0061707E" w:rsidRDefault="006C329D" w:rsidP="006C329D">
      <w:r>
        <w:t>Please note: Important course information is clea</w:t>
      </w:r>
      <w:r>
        <w:t xml:space="preserve">rly communicated in this course </w:t>
      </w:r>
      <w:r>
        <w:t>guide and assignments and course materials are easily acc</w:t>
      </w:r>
      <w:r w:rsidR="00D53618">
        <w:t>essible through the Moodle</w:t>
      </w:r>
      <w:r>
        <w:t xml:space="preserve"> modules. If you cannot find your answer in the r</w:t>
      </w:r>
      <w:r>
        <w:t xml:space="preserve">esources above, there is also a </w:t>
      </w:r>
      <w:r>
        <w:t>Disc</w:t>
      </w:r>
      <w:r>
        <w:t>ussion Forum available in Moodle</w:t>
      </w:r>
      <w:r>
        <w:t>. Please use this to post questions and to supply answers to your fellow students. Your instructor will check the</w:t>
      </w:r>
      <w:r>
        <w:t xml:space="preserve"> discussion forum </w:t>
      </w:r>
      <w:r w:rsidR="0061707E">
        <w:t>regularly.</w:t>
      </w:r>
    </w:p>
    <w:p w:rsidR="00A63769" w:rsidRDefault="0061707E" w:rsidP="0061707E">
      <w:r w:rsidRPr="0061707E">
        <w:rPr>
          <w:b/>
        </w:rPr>
        <w:t>LECTURE VIDEOS:</w:t>
      </w:r>
      <w:r>
        <w:t xml:space="preserve"> The lecture and additional example videos provide the main presentation of course material, and are accessed thro</w:t>
      </w:r>
      <w:r w:rsidR="00A63769">
        <w:t>ugh the Moodle</w:t>
      </w:r>
      <w:r>
        <w:t xml:space="preserve"> modules. To stay </w:t>
      </w:r>
      <w:r w:rsidR="00A63769">
        <w:t>current with the course, I</w:t>
      </w:r>
      <w:r>
        <w:t xml:space="preserve"> recommend watching the videos weekly following the schedule posted on the course calendar. You shoul</w:t>
      </w:r>
      <w:r>
        <w:t>d watch the lectures before attempting homework</w:t>
      </w:r>
      <w:r w:rsidR="002D711B">
        <w:t xml:space="preserve"> and Quiz</w:t>
      </w:r>
      <w:r>
        <w:t xml:space="preserve">. </w:t>
      </w:r>
      <w:r w:rsidR="00A63769">
        <w:t>You may contact me</w:t>
      </w:r>
      <w:r>
        <w:t xml:space="preserve"> or post questions on</w:t>
      </w:r>
      <w:r>
        <w:t xml:space="preserve"> the course discussion board if </w:t>
      </w:r>
      <w:r>
        <w:t xml:space="preserve">you need clarification of a topic. </w:t>
      </w:r>
    </w:p>
    <w:p w:rsidR="00A63769" w:rsidRDefault="00A63769" w:rsidP="00A63769">
      <w:r w:rsidRPr="00A63769">
        <w:rPr>
          <w:b/>
        </w:rPr>
        <w:t>SUCCESS:</w:t>
      </w:r>
      <w:r>
        <w:t xml:space="preserve"> Other than having a strong </w:t>
      </w:r>
      <w:proofErr w:type="spellStart"/>
      <w:r>
        <w:t>precalculus</w:t>
      </w:r>
      <w:proofErr w:type="spellEnd"/>
      <w:r>
        <w:t xml:space="preserve"> backg</w:t>
      </w:r>
      <w:r>
        <w:t xml:space="preserve">round, success in MAT221 </w:t>
      </w:r>
      <w:r>
        <w:t>depends largely on your attitude and effort. It is not effe</w:t>
      </w:r>
      <w:r>
        <w:t xml:space="preserve">ctive to watch a video and copy </w:t>
      </w:r>
      <w:r>
        <w:t>notes without following the thought processes involv</w:t>
      </w:r>
      <w:r>
        <w:t xml:space="preserve">ed in the lecture. For example, </w:t>
      </w:r>
      <w:r>
        <w:t>you should try to answer the questions posed by your l</w:t>
      </w:r>
      <w:r>
        <w:t xml:space="preserve">ecturer. Students who do not </w:t>
      </w:r>
      <w:r>
        <w:t xml:space="preserve">actively participate have much more difficulty. For that </w:t>
      </w:r>
      <w:r>
        <w:t>reason,</w:t>
      </w:r>
      <w:r w:rsidR="004078A1">
        <w:t xml:space="preserve"> there are</w:t>
      </w:r>
      <w:r>
        <w:t xml:space="preserve"> quiz </w:t>
      </w:r>
      <w:r>
        <w:t>questions included in each lecture</w:t>
      </w:r>
      <w:r>
        <w:t xml:space="preserve"> which you will answer in </w:t>
      </w:r>
      <w:proofErr w:type="spellStart"/>
      <w:r>
        <w:t>Webassign</w:t>
      </w:r>
      <w:proofErr w:type="spellEnd"/>
      <w:r>
        <w:t xml:space="preserve"> as part of your final </w:t>
      </w:r>
      <w:r>
        <w:t>grade.</w:t>
      </w:r>
    </w:p>
    <w:p w:rsidR="00A63769" w:rsidRDefault="00A63769" w:rsidP="00A63769">
      <w:r>
        <w:t>However, be aware that much of the learning of math</w:t>
      </w:r>
      <w:r>
        <w:t xml:space="preserve">ematics at the college takes </w:t>
      </w:r>
      <w:r>
        <w:t>place outside of the classroom. You need to spend time</w:t>
      </w:r>
      <w:r>
        <w:t xml:space="preserve"> reviewing the concepts of each </w:t>
      </w:r>
      <w:r>
        <w:t>lecture from the videos and textbook before you a</w:t>
      </w:r>
      <w:r>
        <w:t xml:space="preserve">ttempt homework problems. It is </w:t>
      </w:r>
      <w:r>
        <w:t>also important to look over the textbook sections to be</w:t>
      </w:r>
      <w:r>
        <w:t xml:space="preserve"> covered in the next lecture to </w:t>
      </w:r>
      <w:r>
        <w:t xml:space="preserve">become familiar with the vocabulary and main ideas </w:t>
      </w:r>
      <w:r>
        <w:t xml:space="preserve">before watching the video. That </w:t>
      </w:r>
      <w:r>
        <w:t>way you will better be able to grasp the lecture material</w:t>
      </w:r>
      <w:r>
        <w:t xml:space="preserve">. As with most college courses, </w:t>
      </w:r>
      <w:r>
        <w:t>you should expect to spend a minimum of 3 hours</w:t>
      </w:r>
      <w:r>
        <w:t xml:space="preserve"> working on your own for every </w:t>
      </w:r>
      <w:r>
        <w:t>hour of classroom instruction. You should ther</w:t>
      </w:r>
      <w:r>
        <w:t xml:space="preserve">efore plan to spend at least 12 </w:t>
      </w:r>
      <w:r>
        <w:t>hours each week on this online course in</w:t>
      </w:r>
      <w:r>
        <w:t xml:space="preserve">cluding the time spent watching </w:t>
      </w:r>
      <w:r>
        <w:t>the lecture videos.</w:t>
      </w:r>
    </w:p>
    <w:p w:rsidR="00A63769" w:rsidRDefault="00A63769" w:rsidP="00A63769">
      <w:r>
        <w:t>It is critical that you keep pace with the course material</w:t>
      </w:r>
      <w:r>
        <w:t xml:space="preserve"> as presented in the module for </w:t>
      </w:r>
      <w:r>
        <w:t>each week. Do not fall behind. Ask questions ei</w:t>
      </w:r>
      <w:r>
        <w:t xml:space="preserve">ther during online office hours </w:t>
      </w:r>
      <w:r>
        <w:t>or on the discussion board; do not let misun</w:t>
      </w:r>
      <w:r>
        <w:t xml:space="preserve">derstandings go unanswered. You </w:t>
      </w:r>
      <w:r>
        <w:t>should check the discussion board regularly, posting q</w:t>
      </w:r>
      <w:r>
        <w:t xml:space="preserve">uestions and answers for fellow </w:t>
      </w:r>
      <w:r>
        <w:t>students. The effort of asking questions and communic</w:t>
      </w:r>
      <w:r>
        <w:t xml:space="preserve">ating ideas clearly, as well as </w:t>
      </w:r>
      <w:r>
        <w:t>the practice of writing solutions, are effective tools i</w:t>
      </w:r>
      <w:r>
        <w:t xml:space="preserve">n helping you better understand </w:t>
      </w:r>
      <w:r>
        <w:t>calculus concepts. This is YOUR forum, take advantag</w:t>
      </w:r>
      <w:r>
        <w:t xml:space="preserve">e of it by participating in it. </w:t>
      </w:r>
      <w:r>
        <w:t>In studying calculus, you must be careful not to let a tutor</w:t>
      </w:r>
      <w:r>
        <w:t xml:space="preserve">, friend, or calculator “think” </w:t>
      </w:r>
      <w:r>
        <w:t>for you. Be sure that you can work problems comple</w:t>
      </w:r>
      <w:r>
        <w:t xml:space="preserve">tely on your own, without help, </w:t>
      </w:r>
      <w:r>
        <w:t>by the time of a quiz or exam.</w:t>
      </w:r>
    </w:p>
    <w:p w:rsidR="007F0A22" w:rsidRDefault="00A63769" w:rsidP="00A63769">
      <w:r>
        <w:lastRenderedPageBreak/>
        <w:t>Our hope is that through focused study an</w:t>
      </w:r>
      <w:r>
        <w:t xml:space="preserve">d practice you will gain a real </w:t>
      </w:r>
      <w:r>
        <w:t xml:space="preserve">appreciation for the important concepts of </w:t>
      </w:r>
      <w:r>
        <w:t xml:space="preserve">calculus and their application. </w:t>
      </w:r>
      <w:r>
        <w:t>We want you to succeed in this class! But y</w:t>
      </w:r>
      <w:r>
        <w:t xml:space="preserve">ou must keep up with the course </w:t>
      </w:r>
      <w:r>
        <w:t xml:space="preserve">material and take the initiative to get help </w:t>
      </w:r>
      <w:r>
        <w:t xml:space="preserve">in time, before you get too far behind. </w:t>
      </w:r>
      <w:r>
        <w:t>Students with a positive attitude who are intellectually engaged in</w:t>
      </w:r>
      <w:r>
        <w:t xml:space="preserve"> </w:t>
      </w:r>
      <w:r>
        <w:t>learning the material will get the most from the course.</w:t>
      </w:r>
    </w:p>
    <w:p w:rsidR="00684172" w:rsidRDefault="00684172" w:rsidP="001821D4">
      <w:r w:rsidRPr="00684172">
        <w:rPr>
          <w:b/>
        </w:rPr>
        <w:t>ADA ACCOMMODATIONS:</w:t>
      </w:r>
      <w:r>
        <w:t xml:space="preserve"> </w:t>
      </w:r>
      <w:r>
        <w:t>Students with disabilities who qualify under the Americans with Disabilities Act (ADA) and require accommodations should be referred to Dr. Melissa McCoy, the ADA Compliance Officer, at (601) 977-7783, or mmccoy@tougaloo.edu.  Disabilities covered by ADA may include learning, psychiatric, physical disabilitie</w:t>
      </w:r>
      <w:r>
        <w:t>s, or chronic health conditions. The ADA</w:t>
      </w:r>
      <w:r w:rsidRPr="00684172">
        <w:t xml:space="preserve"> will provide a documentation letter to the student to present to me. This must be done as early as possible in the semester, at least one week before the first exam, so there is adequate time to make proper accommodations and the accommodations are not retroactive.</w:t>
      </w:r>
    </w:p>
    <w:p w:rsidR="001821D4" w:rsidRDefault="001821D4" w:rsidP="001821D4">
      <w:r w:rsidRPr="001821D4">
        <w:rPr>
          <w:b/>
        </w:rPr>
        <w:t>ACADEMIC HONESTY:</w:t>
      </w:r>
      <w:r>
        <w:t xml:space="preserve"> Remember that you committed yourself to academic honesty when you registe</w:t>
      </w:r>
      <w:r>
        <w:t xml:space="preserve">red at </w:t>
      </w:r>
      <w:proofErr w:type="spellStart"/>
      <w:r>
        <w:t>Tougaloo</w:t>
      </w:r>
      <w:proofErr w:type="spellEnd"/>
      <w:r>
        <w:t xml:space="preserve"> College</w:t>
      </w:r>
      <w:r>
        <w:t xml:space="preserve"> </w:t>
      </w:r>
      <w:r w:rsidR="004078A1">
        <w:t>by agreeing to the Honor Pledge</w:t>
      </w:r>
    </w:p>
    <w:p w:rsidR="001821D4" w:rsidRDefault="001821D4" w:rsidP="001821D4">
      <w:r w:rsidRPr="001821D4">
        <w:rPr>
          <w:b/>
        </w:rPr>
        <w:t>Academic Honesty Guidelines:</w:t>
      </w:r>
      <w:r>
        <w:t xml:space="preserve"> “All students are required to abide by the Academic Honesty Guidelines which have</w:t>
      </w:r>
      <w:r>
        <w:t xml:space="preserve"> been accepted by the College. The academic </w:t>
      </w:r>
      <w:r>
        <w:t>community of students and facu</w:t>
      </w:r>
      <w:r>
        <w:t xml:space="preserve">lty at </w:t>
      </w:r>
      <w:proofErr w:type="spellStart"/>
      <w:r>
        <w:t>Tougaloo</w:t>
      </w:r>
      <w:proofErr w:type="spellEnd"/>
      <w:r>
        <w:t xml:space="preserve"> College</w:t>
      </w:r>
      <w:r>
        <w:t xml:space="preserve"> strives to develop, sustain and protect an environment of honesty, trust and</w:t>
      </w:r>
      <w:r>
        <w:t xml:space="preserve"> respect. Students are expected </w:t>
      </w:r>
      <w:r>
        <w:t>to pursue knowledge with integrity. Exhibiting honesty in academic pursuits and reporting violations of the Academic Honesty Guidelin</w:t>
      </w:r>
      <w:r>
        <w:t xml:space="preserve">es will encourage others to act </w:t>
      </w:r>
      <w:r>
        <w:t>with integrity. Violations of the Academic Honesty Guid</w:t>
      </w:r>
      <w:r>
        <w:t xml:space="preserve">elines shall result in judicial </w:t>
      </w:r>
      <w:r>
        <w:t xml:space="preserve">action and a student being subject to the sanctions </w:t>
      </w:r>
      <w:r w:rsidRPr="001821D4">
        <w:rPr>
          <w:u w:val="single"/>
        </w:rPr>
        <w:t xml:space="preserve">in paragraph XIV of the Student </w:t>
      </w:r>
      <w:r w:rsidRPr="001821D4">
        <w:rPr>
          <w:u w:val="single"/>
        </w:rPr>
        <w:t>Code of Conduct</w:t>
      </w:r>
      <w:r>
        <w:t>.”</w:t>
      </w:r>
    </w:p>
    <w:p w:rsidR="00A8551E" w:rsidRPr="00A8551E" w:rsidRDefault="00A8551E" w:rsidP="00A8551E">
      <w:pPr>
        <w:spacing w:after="0" w:line="240" w:lineRule="auto"/>
        <w:rPr>
          <w:rFonts w:eastAsia="Times New Roman" w:cstheme="minorHAnsi"/>
          <w:b/>
          <w:u w:val="single"/>
          <w:lang w:eastAsia="en-US"/>
        </w:rPr>
      </w:pPr>
      <w:r w:rsidRPr="00A8551E">
        <w:rPr>
          <w:rFonts w:eastAsia="Times New Roman" w:cstheme="minorHAnsi"/>
          <w:b/>
          <w:u w:val="single"/>
          <w:lang w:eastAsia="en-US"/>
        </w:rPr>
        <w:t>Final Grade Components</w:t>
      </w:r>
      <w:r w:rsidR="006130E5" w:rsidRPr="00D1554F">
        <w:rPr>
          <w:rFonts w:eastAsia="Times New Roman" w:cstheme="minorHAnsi"/>
          <w:b/>
          <w:u w:val="single"/>
          <w:lang w:eastAsia="en-US"/>
        </w:rPr>
        <w:t>:</w:t>
      </w:r>
      <w:r w:rsidR="006130E5" w:rsidRPr="00D1554F">
        <w:rPr>
          <w:rFonts w:eastAsia="Times New Roman" w:cstheme="minorHAnsi"/>
          <w:lang w:eastAsia="en-US"/>
        </w:rPr>
        <w:t xml:space="preserve"> You course grade is based on 700 points accumulated as follows:</w:t>
      </w:r>
      <w:r w:rsidRPr="00A8551E">
        <w:rPr>
          <w:rFonts w:eastAsia="Times New Roman" w:cstheme="minorHAnsi"/>
          <w:b/>
          <w:lang w:eastAsia="en-US"/>
        </w:rPr>
        <w:t xml:space="preserve">                                                </w:t>
      </w:r>
    </w:p>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070"/>
        <w:gridCol w:w="2430"/>
      </w:tblGrid>
      <w:tr w:rsidR="00A8551E" w:rsidRPr="00A8551E" w:rsidTr="006130E5">
        <w:trPr>
          <w:jc w:val="center"/>
        </w:trPr>
        <w:tc>
          <w:tcPr>
            <w:tcW w:w="3145" w:type="dxa"/>
            <w:tcBorders>
              <w:bottom w:val="double" w:sz="4" w:space="0" w:color="auto"/>
            </w:tcBorders>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Component</w:t>
            </w:r>
          </w:p>
        </w:tc>
        <w:tc>
          <w:tcPr>
            <w:tcW w:w="2070" w:type="dxa"/>
            <w:tcBorders>
              <w:bottom w:val="double" w:sz="4" w:space="0" w:color="auto"/>
            </w:tcBorders>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Points</w:t>
            </w:r>
          </w:p>
        </w:tc>
        <w:tc>
          <w:tcPr>
            <w:tcW w:w="2430" w:type="dxa"/>
            <w:tcBorders>
              <w:bottom w:val="double" w:sz="4" w:space="0" w:color="auto"/>
            </w:tcBorders>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Weightage</w:t>
            </w:r>
          </w:p>
        </w:tc>
      </w:tr>
      <w:tr w:rsidR="00A8551E" w:rsidRPr="00A8551E" w:rsidTr="006130E5">
        <w:trPr>
          <w:jc w:val="center"/>
        </w:trPr>
        <w:tc>
          <w:tcPr>
            <w:tcW w:w="3145" w:type="dxa"/>
            <w:tcBorders>
              <w:top w:val="double" w:sz="4" w:space="0" w:color="auto"/>
            </w:tcBorders>
          </w:tcPr>
          <w:p w:rsidR="00A8551E" w:rsidRPr="00A8551E" w:rsidRDefault="006130E5" w:rsidP="00A8551E">
            <w:pPr>
              <w:spacing w:after="0" w:line="240" w:lineRule="auto"/>
              <w:rPr>
                <w:rFonts w:eastAsia="Times New Roman" w:cstheme="minorHAnsi"/>
                <w:lang w:eastAsia="en-US"/>
              </w:rPr>
            </w:pPr>
            <w:proofErr w:type="spellStart"/>
            <w:r w:rsidRPr="00D1554F">
              <w:rPr>
                <w:rFonts w:eastAsia="Times New Roman" w:cstheme="minorHAnsi"/>
                <w:lang w:eastAsia="en-US"/>
              </w:rPr>
              <w:t>WebAssign</w:t>
            </w:r>
            <w:proofErr w:type="spellEnd"/>
            <w:r w:rsidRPr="00D1554F">
              <w:rPr>
                <w:rFonts w:eastAsia="Times New Roman" w:cstheme="minorHAnsi"/>
                <w:lang w:eastAsia="en-US"/>
              </w:rPr>
              <w:t xml:space="preserve"> </w:t>
            </w:r>
            <w:r w:rsidR="00A8551E" w:rsidRPr="00A8551E">
              <w:rPr>
                <w:rFonts w:eastAsia="Times New Roman" w:cstheme="minorHAnsi"/>
                <w:lang w:eastAsia="en-US"/>
              </w:rPr>
              <w:t>Homework (10)</w:t>
            </w:r>
          </w:p>
        </w:tc>
        <w:tc>
          <w:tcPr>
            <w:tcW w:w="2070" w:type="dxa"/>
            <w:tcBorders>
              <w:top w:val="double" w:sz="4" w:space="0" w:color="auto"/>
            </w:tcBorders>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15 point each</w:t>
            </w:r>
          </w:p>
        </w:tc>
        <w:tc>
          <w:tcPr>
            <w:tcW w:w="2430" w:type="dxa"/>
            <w:tcBorders>
              <w:top w:val="double" w:sz="4" w:space="0" w:color="auto"/>
            </w:tcBorders>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15%</w:t>
            </w:r>
          </w:p>
        </w:tc>
      </w:tr>
      <w:tr w:rsidR="00A8551E" w:rsidRPr="00A8551E" w:rsidTr="006130E5">
        <w:trPr>
          <w:jc w:val="center"/>
        </w:trPr>
        <w:tc>
          <w:tcPr>
            <w:tcW w:w="3145" w:type="dxa"/>
          </w:tcPr>
          <w:p w:rsidR="00A8551E" w:rsidRPr="00A8551E" w:rsidRDefault="006130E5" w:rsidP="00A8551E">
            <w:pPr>
              <w:spacing w:after="0" w:line="240" w:lineRule="auto"/>
              <w:rPr>
                <w:rFonts w:eastAsia="Times New Roman" w:cstheme="minorHAnsi"/>
                <w:lang w:eastAsia="en-US"/>
              </w:rPr>
            </w:pPr>
            <w:proofErr w:type="spellStart"/>
            <w:r w:rsidRPr="00D1554F">
              <w:rPr>
                <w:rFonts w:eastAsia="Times New Roman" w:cstheme="minorHAnsi"/>
                <w:lang w:eastAsia="en-US"/>
              </w:rPr>
              <w:t>Webassign</w:t>
            </w:r>
            <w:proofErr w:type="spellEnd"/>
            <w:r w:rsidRPr="00D1554F">
              <w:rPr>
                <w:rFonts w:eastAsia="Times New Roman" w:cstheme="minorHAnsi"/>
                <w:lang w:eastAsia="en-US"/>
              </w:rPr>
              <w:t xml:space="preserve"> </w:t>
            </w:r>
            <w:r w:rsidR="00A8551E" w:rsidRPr="00A8551E">
              <w:rPr>
                <w:rFonts w:eastAsia="Times New Roman" w:cstheme="minorHAnsi"/>
                <w:lang w:eastAsia="en-US"/>
              </w:rPr>
              <w:t>Quizzes (10)</w:t>
            </w:r>
          </w:p>
        </w:tc>
        <w:tc>
          <w:tcPr>
            <w:tcW w:w="2070"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15 point each</w:t>
            </w:r>
          </w:p>
        </w:tc>
        <w:tc>
          <w:tcPr>
            <w:tcW w:w="2430"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15%</w:t>
            </w:r>
          </w:p>
        </w:tc>
      </w:tr>
      <w:tr w:rsidR="00A8551E" w:rsidRPr="00A8551E" w:rsidTr="006130E5">
        <w:trPr>
          <w:jc w:val="center"/>
        </w:trPr>
        <w:tc>
          <w:tcPr>
            <w:tcW w:w="3145" w:type="dxa"/>
          </w:tcPr>
          <w:p w:rsidR="00A8551E" w:rsidRPr="00A8551E" w:rsidRDefault="006130E5" w:rsidP="00A8551E">
            <w:pPr>
              <w:spacing w:after="0" w:line="240" w:lineRule="auto"/>
              <w:rPr>
                <w:rFonts w:eastAsia="Times New Roman" w:cstheme="minorHAnsi"/>
                <w:lang w:eastAsia="en-US"/>
              </w:rPr>
            </w:pPr>
            <w:r w:rsidRPr="00D1554F">
              <w:rPr>
                <w:rFonts w:eastAsia="Times New Roman" w:cstheme="minorHAnsi"/>
                <w:lang w:eastAsia="en-US"/>
              </w:rPr>
              <w:t>Semester</w:t>
            </w:r>
            <w:r w:rsidR="00A8551E" w:rsidRPr="00A8551E">
              <w:rPr>
                <w:rFonts w:eastAsia="Times New Roman" w:cstheme="minorHAnsi"/>
                <w:lang w:eastAsia="en-US"/>
              </w:rPr>
              <w:t xml:space="preserve"> Exams (2)</w:t>
            </w:r>
          </w:p>
        </w:tc>
        <w:tc>
          <w:tcPr>
            <w:tcW w:w="2070"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100 point each</w:t>
            </w:r>
          </w:p>
        </w:tc>
        <w:tc>
          <w:tcPr>
            <w:tcW w:w="2430" w:type="dxa"/>
          </w:tcPr>
          <w:p w:rsidR="00A8551E" w:rsidRPr="00A8551E" w:rsidRDefault="006130E5" w:rsidP="00A8551E">
            <w:pPr>
              <w:spacing w:after="0" w:line="240" w:lineRule="auto"/>
              <w:rPr>
                <w:rFonts w:eastAsia="Times New Roman" w:cstheme="minorHAnsi"/>
                <w:lang w:eastAsia="en-US"/>
              </w:rPr>
            </w:pPr>
            <w:r w:rsidRPr="00D1554F">
              <w:rPr>
                <w:rFonts w:eastAsia="Times New Roman" w:cstheme="minorHAnsi"/>
                <w:lang w:eastAsia="en-US"/>
              </w:rPr>
              <w:t>20% each, Total 40%</w:t>
            </w:r>
          </w:p>
        </w:tc>
      </w:tr>
      <w:tr w:rsidR="00A8551E" w:rsidRPr="00A8551E" w:rsidTr="006130E5">
        <w:trPr>
          <w:jc w:val="center"/>
        </w:trPr>
        <w:tc>
          <w:tcPr>
            <w:tcW w:w="3145"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Final Exam</w:t>
            </w:r>
          </w:p>
        </w:tc>
        <w:tc>
          <w:tcPr>
            <w:tcW w:w="2070"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200 points</w:t>
            </w:r>
          </w:p>
        </w:tc>
        <w:tc>
          <w:tcPr>
            <w:tcW w:w="2430" w:type="dxa"/>
          </w:tcPr>
          <w:p w:rsidR="00A8551E" w:rsidRPr="00A8551E" w:rsidRDefault="00B51B9B" w:rsidP="00A8551E">
            <w:pPr>
              <w:spacing w:after="0" w:line="240" w:lineRule="auto"/>
              <w:rPr>
                <w:rFonts w:eastAsia="Times New Roman" w:cstheme="minorHAnsi"/>
                <w:lang w:eastAsia="en-US"/>
              </w:rPr>
            </w:pPr>
            <w:r>
              <w:rPr>
                <w:rFonts w:eastAsia="Times New Roman" w:cstheme="minorHAnsi"/>
                <w:lang w:eastAsia="en-US"/>
              </w:rPr>
              <w:t>25</w:t>
            </w:r>
            <w:r w:rsidR="00A8551E" w:rsidRPr="00A8551E">
              <w:rPr>
                <w:rFonts w:eastAsia="Times New Roman" w:cstheme="minorHAnsi"/>
                <w:lang w:eastAsia="en-US"/>
              </w:rPr>
              <w:t>%</w:t>
            </w:r>
          </w:p>
        </w:tc>
      </w:tr>
      <w:tr w:rsidR="00A8551E" w:rsidRPr="00A8551E" w:rsidTr="006130E5">
        <w:trPr>
          <w:jc w:val="center"/>
        </w:trPr>
        <w:tc>
          <w:tcPr>
            <w:tcW w:w="3145"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Total</w:t>
            </w:r>
          </w:p>
        </w:tc>
        <w:tc>
          <w:tcPr>
            <w:tcW w:w="2070"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700 points</w:t>
            </w:r>
          </w:p>
        </w:tc>
        <w:tc>
          <w:tcPr>
            <w:tcW w:w="2430"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100%</w:t>
            </w:r>
          </w:p>
        </w:tc>
      </w:tr>
    </w:tbl>
    <w:p w:rsidR="00A8551E" w:rsidRPr="00A8551E" w:rsidRDefault="00A8551E" w:rsidP="00A8551E">
      <w:pPr>
        <w:spacing w:after="0" w:line="240" w:lineRule="auto"/>
        <w:rPr>
          <w:rFonts w:eastAsia="Times New Roman" w:cstheme="minorHAnsi"/>
          <w:lang w:eastAsia="en-US"/>
        </w:rPr>
      </w:pPr>
    </w:p>
    <w:p w:rsidR="00627EAB" w:rsidRPr="00D1554F" w:rsidRDefault="006130E5" w:rsidP="00A8551E">
      <w:pPr>
        <w:spacing w:after="0" w:line="240" w:lineRule="auto"/>
        <w:rPr>
          <w:rFonts w:eastAsia="Times New Roman" w:cstheme="minorHAnsi"/>
          <w:lang w:eastAsia="en-US"/>
        </w:rPr>
      </w:pPr>
      <w:r w:rsidRPr="00D1554F">
        <w:rPr>
          <w:rFonts w:eastAsia="Times New Roman" w:cstheme="minorHAnsi"/>
          <w:lang w:eastAsia="en-US"/>
        </w:rPr>
        <w:t xml:space="preserve">The total sum of points is your </w:t>
      </w:r>
      <w:proofErr w:type="spellStart"/>
      <w:r w:rsidRPr="00D1554F">
        <w:rPr>
          <w:rFonts w:eastAsia="Times New Roman" w:cstheme="minorHAnsi"/>
          <w:lang w:eastAsia="en-US"/>
        </w:rPr>
        <w:t>umerical</w:t>
      </w:r>
      <w:proofErr w:type="spellEnd"/>
      <w:r w:rsidRPr="00D1554F">
        <w:rPr>
          <w:rFonts w:eastAsia="Times New Roman" w:cstheme="minorHAnsi"/>
          <w:lang w:eastAsia="en-US"/>
        </w:rPr>
        <w:t xml:space="preserve"> score, which will be converted to a letter grade according the following scale. The course grade is determined by the number of points you earn and will be strictly enforced. </w:t>
      </w:r>
    </w:p>
    <w:p w:rsidR="00A8551E" w:rsidRPr="00A8551E" w:rsidRDefault="006130E5" w:rsidP="00A8551E">
      <w:pPr>
        <w:spacing w:after="0" w:line="240" w:lineRule="auto"/>
        <w:rPr>
          <w:rFonts w:eastAsia="Times New Roman" w:cstheme="minorHAnsi"/>
          <w:lang w:eastAsia="en-US"/>
        </w:rPr>
      </w:pPr>
      <w:r w:rsidRPr="00D1554F">
        <w:rPr>
          <w:rFonts w:eastAsia="Times New Roman" w:cstheme="minorHAnsi"/>
          <w:lang w:eastAsia="en-US"/>
        </w:rPr>
        <w:t>There will be no additional curve in this course, and extra assignments for in</w:t>
      </w:r>
      <w:r w:rsidR="00D1554F" w:rsidRPr="00D1554F">
        <w:rPr>
          <w:rFonts w:eastAsia="Times New Roman" w:cstheme="minorHAnsi"/>
          <w:lang w:eastAsia="en-US"/>
        </w:rPr>
        <w:t>dividual students to improve a grade are NOT possible.</w:t>
      </w:r>
    </w:p>
    <w:p w:rsidR="00A8551E" w:rsidRPr="00A8551E" w:rsidRDefault="00A8551E" w:rsidP="00A8551E">
      <w:pPr>
        <w:spacing w:after="0" w:line="240" w:lineRule="auto"/>
        <w:rPr>
          <w:rFonts w:eastAsia="Times New Roman" w:cstheme="minorHAnsi"/>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808"/>
      </w:tblGrid>
      <w:tr w:rsidR="00A8551E" w:rsidRPr="00A8551E" w:rsidTr="00597A2D">
        <w:trPr>
          <w:jc w:val="center"/>
        </w:trPr>
        <w:tc>
          <w:tcPr>
            <w:tcW w:w="1517" w:type="dxa"/>
            <w:tcBorders>
              <w:bottom w:val="double" w:sz="4" w:space="0" w:color="auto"/>
            </w:tcBorders>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Percentage</w:t>
            </w:r>
          </w:p>
        </w:tc>
        <w:tc>
          <w:tcPr>
            <w:tcW w:w="1808" w:type="dxa"/>
            <w:tcBorders>
              <w:bottom w:val="double" w:sz="4" w:space="0" w:color="auto"/>
            </w:tcBorders>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Letter Grade</w:t>
            </w:r>
          </w:p>
        </w:tc>
      </w:tr>
      <w:tr w:rsidR="00A8551E" w:rsidRPr="00A8551E" w:rsidTr="00597A2D">
        <w:trPr>
          <w:jc w:val="center"/>
        </w:trPr>
        <w:tc>
          <w:tcPr>
            <w:tcW w:w="1517" w:type="dxa"/>
            <w:tcBorders>
              <w:top w:val="double" w:sz="4" w:space="0" w:color="auto"/>
            </w:tcBorders>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88%-100%</w:t>
            </w:r>
          </w:p>
        </w:tc>
        <w:tc>
          <w:tcPr>
            <w:tcW w:w="1808" w:type="dxa"/>
            <w:tcBorders>
              <w:top w:val="double" w:sz="4" w:space="0" w:color="auto"/>
            </w:tcBorders>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A</w:t>
            </w:r>
          </w:p>
        </w:tc>
      </w:tr>
      <w:tr w:rsidR="00A8551E" w:rsidRPr="00A8551E" w:rsidTr="00597A2D">
        <w:trPr>
          <w:jc w:val="center"/>
        </w:trPr>
        <w:tc>
          <w:tcPr>
            <w:tcW w:w="1517"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75%-87%</w:t>
            </w:r>
          </w:p>
        </w:tc>
        <w:tc>
          <w:tcPr>
            <w:tcW w:w="1808"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B</w:t>
            </w:r>
          </w:p>
        </w:tc>
      </w:tr>
      <w:tr w:rsidR="00A8551E" w:rsidRPr="00A8551E" w:rsidTr="00597A2D">
        <w:trPr>
          <w:jc w:val="center"/>
        </w:trPr>
        <w:tc>
          <w:tcPr>
            <w:tcW w:w="1517"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62%-74%</w:t>
            </w:r>
          </w:p>
        </w:tc>
        <w:tc>
          <w:tcPr>
            <w:tcW w:w="1808"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C</w:t>
            </w:r>
          </w:p>
        </w:tc>
      </w:tr>
      <w:tr w:rsidR="00A8551E" w:rsidRPr="00A8551E" w:rsidTr="00597A2D">
        <w:trPr>
          <w:jc w:val="center"/>
        </w:trPr>
        <w:tc>
          <w:tcPr>
            <w:tcW w:w="1517"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50%-61%</w:t>
            </w:r>
          </w:p>
        </w:tc>
        <w:tc>
          <w:tcPr>
            <w:tcW w:w="1808" w:type="dxa"/>
          </w:tcPr>
          <w:p w:rsidR="00A8551E" w:rsidRPr="00A8551E" w:rsidRDefault="00A8551E" w:rsidP="00A8551E">
            <w:pPr>
              <w:spacing w:after="0" w:line="240" w:lineRule="auto"/>
              <w:rPr>
                <w:rFonts w:eastAsia="Times New Roman" w:cstheme="minorHAnsi"/>
                <w:lang w:eastAsia="en-US"/>
              </w:rPr>
            </w:pPr>
            <w:r w:rsidRPr="00A8551E">
              <w:rPr>
                <w:rFonts w:eastAsia="Times New Roman" w:cstheme="minorHAnsi"/>
                <w:lang w:eastAsia="en-US"/>
              </w:rPr>
              <w:t>D</w:t>
            </w:r>
          </w:p>
        </w:tc>
      </w:tr>
      <w:tr w:rsidR="00A8551E" w:rsidRPr="00A8551E" w:rsidTr="00597A2D">
        <w:trPr>
          <w:jc w:val="center"/>
        </w:trPr>
        <w:tc>
          <w:tcPr>
            <w:tcW w:w="1517" w:type="dxa"/>
          </w:tcPr>
          <w:p w:rsidR="00A8551E" w:rsidRPr="00A8551E" w:rsidRDefault="00A8551E" w:rsidP="00A8551E">
            <w:pPr>
              <w:spacing w:after="0" w:line="240" w:lineRule="auto"/>
              <w:rPr>
                <w:rFonts w:eastAsia="Times New Roman" w:cstheme="minorHAnsi"/>
                <w:b/>
                <w:lang w:eastAsia="en-US"/>
              </w:rPr>
            </w:pPr>
            <w:r w:rsidRPr="00A8551E">
              <w:rPr>
                <w:rFonts w:eastAsia="Times New Roman" w:cstheme="minorHAnsi"/>
                <w:b/>
                <w:lang w:eastAsia="en-US"/>
              </w:rPr>
              <w:t>Below 50%</w:t>
            </w:r>
          </w:p>
        </w:tc>
        <w:tc>
          <w:tcPr>
            <w:tcW w:w="1808" w:type="dxa"/>
          </w:tcPr>
          <w:p w:rsidR="00A8551E" w:rsidRPr="00A8551E" w:rsidRDefault="00A8551E" w:rsidP="00A8551E">
            <w:pPr>
              <w:spacing w:after="0" w:line="240" w:lineRule="auto"/>
              <w:rPr>
                <w:rFonts w:eastAsia="Times New Roman" w:cstheme="minorHAnsi"/>
                <w:b/>
                <w:lang w:eastAsia="en-US"/>
              </w:rPr>
            </w:pPr>
            <w:r w:rsidRPr="00A8551E">
              <w:rPr>
                <w:rFonts w:eastAsia="Times New Roman" w:cstheme="minorHAnsi"/>
                <w:b/>
                <w:lang w:eastAsia="en-US"/>
              </w:rPr>
              <w:t>F</w:t>
            </w:r>
          </w:p>
        </w:tc>
      </w:tr>
    </w:tbl>
    <w:p w:rsidR="00D1554F" w:rsidRDefault="00D1554F" w:rsidP="00D1554F">
      <w:pPr>
        <w:rPr>
          <w:u w:val="single"/>
        </w:rPr>
      </w:pPr>
    </w:p>
    <w:p w:rsidR="00EF5E38" w:rsidRDefault="00EF5E38" w:rsidP="00D1554F">
      <w:r>
        <w:rPr>
          <w:b/>
          <w:u w:val="single"/>
        </w:rPr>
        <w:lastRenderedPageBreak/>
        <w:t>VIDEOS</w:t>
      </w:r>
      <w:r w:rsidR="00D1554F" w:rsidRPr="00D1554F">
        <w:rPr>
          <w:b/>
          <w:u w:val="single"/>
        </w:rPr>
        <w:t>:</w:t>
      </w:r>
      <w:r w:rsidR="00D1554F" w:rsidRPr="00D1554F">
        <w:t xml:space="preserve"> Viewing the lecture presentations is an important aspect of the learning process. Videos are </w:t>
      </w:r>
      <w:r w:rsidR="00D1554F" w:rsidRPr="00D1554F">
        <w:t>accessed through the modules in Moodle</w:t>
      </w:r>
      <w:r w:rsidR="00D1554F" w:rsidRPr="00D1554F">
        <w:t xml:space="preserve">. </w:t>
      </w:r>
      <w:bookmarkStart w:id="0" w:name="_GoBack"/>
      <w:bookmarkEnd w:id="0"/>
    </w:p>
    <w:p w:rsidR="00D1554F" w:rsidRDefault="00D1554F" w:rsidP="00D1554F">
      <w:r w:rsidRPr="00D1554F">
        <w:rPr>
          <w:b/>
        </w:rPr>
        <w:t>WEBASSIGN ONLINE HOMEWORK:</w:t>
      </w:r>
      <w:r>
        <w:t xml:space="preserve"> The </w:t>
      </w:r>
      <w:r>
        <w:t xml:space="preserve">online homework administered on </w:t>
      </w:r>
      <w:proofErr w:type="spellStart"/>
      <w:r>
        <w:t>WebAssign</w:t>
      </w:r>
      <w:proofErr w:type="spellEnd"/>
      <w:r>
        <w:t xml:space="preserve"> is planned to review concepts and provide pr</w:t>
      </w:r>
      <w:r>
        <w:t xml:space="preserve">actice of the lecture material. </w:t>
      </w:r>
      <w:r>
        <w:t>During the course of the semester, online assignment</w:t>
      </w:r>
      <w:r>
        <w:t xml:space="preserve">s will be assigned on a routine </w:t>
      </w:r>
      <w:r>
        <w:t>basis and must be completed before the due dates list</w:t>
      </w:r>
      <w:r>
        <w:t xml:space="preserve">ed in the course calendar. </w:t>
      </w:r>
      <w:r>
        <w:t xml:space="preserve">The homework problems are graded by </w:t>
      </w:r>
      <w:proofErr w:type="spellStart"/>
      <w:r>
        <w:t>WebAssig</w:t>
      </w:r>
      <w:r w:rsidR="008F413A">
        <w:t>n</w:t>
      </w:r>
      <w:proofErr w:type="spellEnd"/>
      <w:r w:rsidR="008F413A">
        <w:t xml:space="preserve"> and your score is immediately </w:t>
      </w:r>
      <w:r>
        <w:t>available after submitting your work. You will have multiple attempts for each probl</w:t>
      </w:r>
      <w:r w:rsidR="008F413A">
        <w:t xml:space="preserve">em; </w:t>
      </w:r>
      <w:r>
        <w:t xml:space="preserve">there are aids and a link to the </w:t>
      </w:r>
      <w:proofErr w:type="spellStart"/>
      <w:r>
        <w:t>ebook</w:t>
      </w:r>
      <w:proofErr w:type="spellEnd"/>
      <w:r>
        <w:t xml:space="preserve"> t</w:t>
      </w:r>
      <w:r w:rsidR="008F413A">
        <w:t xml:space="preserve">o help you solve each question. </w:t>
      </w:r>
      <w:r>
        <w:t xml:space="preserve">Do not try to complete an assignment in one </w:t>
      </w:r>
      <w:r w:rsidR="008F413A">
        <w:t xml:space="preserve">sitting; start early instead of </w:t>
      </w:r>
      <w:r>
        <w:t>waiting until the due date to avoid missing the deadline.</w:t>
      </w:r>
    </w:p>
    <w:p w:rsidR="006C5DFB" w:rsidRDefault="006C5DFB" w:rsidP="006C5DFB">
      <w:r w:rsidRPr="006C5DFB">
        <w:rPr>
          <w:b/>
        </w:rPr>
        <w:t>WEBASSIGN ONLINE QUIZZES:</w:t>
      </w:r>
      <w:r>
        <w:t xml:space="preserve"> Twelve quizzes</w:t>
      </w:r>
      <w:r>
        <w:t xml:space="preserve"> will be posted in </w:t>
      </w:r>
      <w:proofErr w:type="spellStart"/>
      <w:r>
        <w:t>WebAssign</w:t>
      </w:r>
      <w:proofErr w:type="spellEnd"/>
      <w:r>
        <w:t xml:space="preserve"> to </w:t>
      </w:r>
      <w:r>
        <w:t>be due on the dates listed in the Quiz/HW calend</w:t>
      </w:r>
      <w:r>
        <w:t xml:space="preserve">ar. You will have 45 minutes to </w:t>
      </w:r>
      <w:r>
        <w:t>complete an online quiz; the clock starts from the tim</w:t>
      </w:r>
      <w:r>
        <w:t xml:space="preserve">e you open your quiz. Each quiz </w:t>
      </w:r>
      <w:r>
        <w:t>wil</w:t>
      </w:r>
      <w:r w:rsidR="00EF5E38">
        <w:t>l be graded on a scale of 0 to 15</w:t>
      </w:r>
      <w:r>
        <w:t xml:space="preserve"> points, and the top </w:t>
      </w:r>
      <w:r>
        <w:t xml:space="preserve">ten scores will count, to total </w:t>
      </w:r>
      <w:r w:rsidR="00EF5E38">
        <w:t>up to 10</w:t>
      </w:r>
      <w:r>
        <w:t>0 points. DO NOT wait until the last</w:t>
      </w:r>
      <w:r>
        <w:t xml:space="preserve"> minute to submit your quiz; we </w:t>
      </w:r>
      <w:r>
        <w:t xml:space="preserve">will NOT extend time for computer issues or </w:t>
      </w:r>
      <w:proofErr w:type="spellStart"/>
      <w:r>
        <w:t>WebAssign</w:t>
      </w:r>
      <w:proofErr w:type="spellEnd"/>
      <w:r>
        <w:t xml:space="preserve"> server problems.</w:t>
      </w:r>
    </w:p>
    <w:p w:rsidR="006C5DFB" w:rsidRPr="006C5DFB" w:rsidRDefault="006C5DFB" w:rsidP="006C5DFB">
      <w:pPr>
        <w:rPr>
          <w:b/>
        </w:rPr>
      </w:pPr>
      <w:r w:rsidRPr="006C5DFB">
        <w:rPr>
          <w:b/>
        </w:rPr>
        <w:t xml:space="preserve">NOTE: </w:t>
      </w:r>
      <w:proofErr w:type="spellStart"/>
      <w:r w:rsidRPr="006C5DFB">
        <w:rPr>
          <w:b/>
        </w:rPr>
        <w:t>WebA</w:t>
      </w:r>
      <w:r w:rsidR="00EF5E38">
        <w:rPr>
          <w:b/>
        </w:rPr>
        <w:t>ssign</w:t>
      </w:r>
      <w:proofErr w:type="spellEnd"/>
      <w:r w:rsidR="00EF5E38">
        <w:rPr>
          <w:b/>
        </w:rPr>
        <w:t xml:space="preserve"> Homework and quizzes account for 30</w:t>
      </w:r>
      <w:r w:rsidRPr="006C5DFB">
        <w:rPr>
          <w:b/>
        </w:rPr>
        <w:t xml:space="preserve">0 </w:t>
      </w:r>
      <w:r w:rsidRPr="006C5DFB">
        <w:rPr>
          <w:b/>
        </w:rPr>
        <w:t>points of the total to be earned in the course.</w:t>
      </w:r>
      <w:r w:rsidRPr="006C5DFB">
        <w:rPr>
          <w:b/>
        </w:rPr>
        <w:t xml:space="preserve"> They are a significant part of </w:t>
      </w:r>
      <w:r w:rsidRPr="006C5DFB">
        <w:rPr>
          <w:b/>
        </w:rPr>
        <w:t>your grade, to reflect their importance in understanding course concepts.</w:t>
      </w:r>
    </w:p>
    <w:p w:rsidR="006C5DFB" w:rsidRDefault="006C5DFB" w:rsidP="006C5DFB">
      <w:r w:rsidRPr="006C5DFB">
        <w:rPr>
          <w:b/>
        </w:rPr>
        <w:t>EXAMS:</w:t>
      </w:r>
      <w:r>
        <w:t xml:space="preserve"> Two</w:t>
      </w:r>
      <w:r>
        <w:t xml:space="preserve"> semester exams and a cumulative final</w:t>
      </w:r>
      <w:r>
        <w:t xml:space="preserve"> exam are given online in Moodle</w:t>
      </w:r>
      <w:r>
        <w:t>. Your exam g</w:t>
      </w:r>
      <w:r>
        <w:t>rade will be available in Moodle gradebook once your exam is submitted. The MAT221</w:t>
      </w:r>
      <w:r>
        <w:t xml:space="preserve"> exams are not released to students, but you may request a private online conference or visit instructor’s o</w:t>
      </w:r>
      <w:r>
        <w:t xml:space="preserve">ffice hours to review your exam </w:t>
      </w:r>
      <w:r>
        <w:t>within one week of the exam</w:t>
      </w:r>
    </w:p>
    <w:p w:rsidR="008939BC" w:rsidRDefault="006C5DFB" w:rsidP="006C5DFB">
      <w:r w:rsidRPr="00C37E72">
        <w:rPr>
          <w:b/>
        </w:rPr>
        <w:t>EXTRA CREDIT</w:t>
      </w:r>
      <w:r w:rsidRPr="006C5DFB">
        <w:t>: You may earn additional points in the following ways:</w:t>
      </w:r>
    </w:p>
    <w:p w:rsidR="006C5DFB" w:rsidRDefault="006C5DFB" w:rsidP="008939BC">
      <w:pPr>
        <w:pStyle w:val="ListParagraph"/>
        <w:numPr>
          <w:ilvl w:val="0"/>
          <w:numId w:val="1"/>
        </w:numPr>
      </w:pPr>
      <w:r>
        <w:t>COURSE PARTICIPATION (8 points): We encourage you to utilize instructor’s</w:t>
      </w:r>
      <w:r>
        <w:t xml:space="preserve"> </w:t>
      </w:r>
      <w:r>
        <w:t>virtu</w:t>
      </w:r>
      <w:r>
        <w:t>al office hours and the MAT221</w:t>
      </w:r>
      <w:r>
        <w:t xml:space="preserve"> Discus</w:t>
      </w:r>
      <w:r>
        <w:t xml:space="preserve">sion Board regularly to ask and </w:t>
      </w:r>
      <w:r>
        <w:t>answer questions about course material and</w:t>
      </w:r>
      <w:r>
        <w:t xml:space="preserve"> homework. You can earn up to 4 </w:t>
      </w:r>
      <w:r>
        <w:t>bonus points to participate in virtual office hour</w:t>
      </w:r>
      <w:r>
        <w:t xml:space="preserve">s and up to additional 4 points </w:t>
      </w:r>
      <w:r>
        <w:t>by responding to other students’ math questio</w:t>
      </w:r>
      <w:r>
        <w:t xml:space="preserve">ns. Answers must be appropriate </w:t>
      </w:r>
      <w:r>
        <w:t>and relate to course material to earn credit.</w:t>
      </w:r>
    </w:p>
    <w:p w:rsidR="008939BC" w:rsidRDefault="008939BC" w:rsidP="008939BC">
      <w:pPr>
        <w:pStyle w:val="ListParagraph"/>
        <w:numPr>
          <w:ilvl w:val="0"/>
          <w:numId w:val="1"/>
        </w:numPr>
      </w:pPr>
      <w:r>
        <w:t>EXAM PREPARATION (2</w:t>
      </w:r>
      <w:r>
        <w:t xml:space="preserve"> points): An exam r</w:t>
      </w:r>
      <w:r>
        <w:t xml:space="preserve">eview sheet is posted in Moodle </w:t>
      </w:r>
      <w:r>
        <w:t xml:space="preserve">for each test and students can earn up to 2 bonus </w:t>
      </w:r>
      <w:r>
        <w:t xml:space="preserve">points by submitting their work </w:t>
      </w:r>
      <w:r>
        <w:t>one day before the test. In addition, a bonus</w:t>
      </w:r>
      <w:r>
        <w:t xml:space="preserve"> exam review assessment will be available </w:t>
      </w:r>
      <w:r w:rsidR="00C66AD0">
        <w:t>in virtual office hours</w:t>
      </w:r>
      <w:r>
        <w:t xml:space="preserve"> before each test and the as</w:t>
      </w:r>
      <w:r>
        <w:t>sessment will include questions from previous MAT221</w:t>
      </w:r>
      <w:r>
        <w:t xml:space="preserve"> exams so that you will h</w:t>
      </w:r>
      <w:r>
        <w:t xml:space="preserve">ave a flavor of the type of </w:t>
      </w:r>
      <w:r>
        <w:t>questions that you will see on the actual test. De</w:t>
      </w:r>
      <w:r>
        <w:t xml:space="preserve">tailed instructions for earning </w:t>
      </w:r>
      <w:r>
        <w:t>extra credits will be posted with the exam reviews.</w:t>
      </w:r>
    </w:p>
    <w:p w:rsidR="00C66AD0" w:rsidRDefault="00C66AD0" w:rsidP="00C66AD0">
      <w:pPr>
        <w:ind w:left="360"/>
      </w:pPr>
      <w:r>
        <w:t>MA</w:t>
      </w:r>
      <w:r>
        <w:t>KE-UP POLICIES AND EXTENSIONS:</w:t>
      </w:r>
    </w:p>
    <w:p w:rsidR="00C66AD0" w:rsidRDefault="00C66AD0" w:rsidP="00C34E4A">
      <w:pPr>
        <w:pStyle w:val="ListParagraph"/>
        <w:numPr>
          <w:ilvl w:val="0"/>
          <w:numId w:val="2"/>
        </w:numPr>
      </w:pPr>
      <w:r>
        <w:t>EXTENSIONS ON WEBASSIGN HOMEWORK: While it is a much better strategy to work ahead, occasionally you may fall behin</w:t>
      </w:r>
      <w:r>
        <w:t xml:space="preserve">d. You can request an extension </w:t>
      </w:r>
      <w:r>
        <w:t xml:space="preserve">on </w:t>
      </w:r>
      <w:proofErr w:type="spellStart"/>
      <w:r>
        <w:t>WebAssign</w:t>
      </w:r>
      <w:proofErr w:type="spellEnd"/>
      <w:r>
        <w:t xml:space="preserve"> homework within 1 day after th</w:t>
      </w:r>
      <w:r>
        <w:t xml:space="preserve">e deadline and you will have 24 </w:t>
      </w:r>
      <w:r>
        <w:t xml:space="preserve">hours to complete it after extension request. The extension must submit in </w:t>
      </w:r>
      <w:proofErr w:type="spellStart"/>
      <w:r>
        <w:t>WebAssign</w:t>
      </w:r>
      <w:proofErr w:type="spellEnd"/>
      <w:r>
        <w:t xml:space="preserve"> directly. However, there will be a 20% g</w:t>
      </w:r>
      <w:r>
        <w:t xml:space="preserve">rade penalty for those problems </w:t>
      </w:r>
      <w:r>
        <w:t>completed after the original due date for the assignment.</w:t>
      </w:r>
    </w:p>
    <w:p w:rsidR="00C66AD0" w:rsidRDefault="00C66AD0" w:rsidP="00C34E4A">
      <w:pPr>
        <w:pStyle w:val="ListParagraph"/>
        <w:numPr>
          <w:ilvl w:val="0"/>
          <w:numId w:val="2"/>
        </w:numPr>
      </w:pPr>
      <w:r>
        <w:lastRenderedPageBreak/>
        <w:t>MAKE-UP WEBASSIGN QUIZZES: We offe</w:t>
      </w:r>
      <w:r>
        <w:t xml:space="preserve">r 2 drops on </w:t>
      </w:r>
      <w:proofErr w:type="spellStart"/>
      <w:r>
        <w:t>WebAssign</w:t>
      </w:r>
      <w:proofErr w:type="spellEnd"/>
      <w:r>
        <w:t xml:space="preserve"> quizzes, </w:t>
      </w:r>
      <w:r>
        <w:t>so we do not provide make-ups for online quizzes. To allow time f</w:t>
      </w:r>
      <w:r w:rsidR="00C34E4A">
        <w:t xml:space="preserve">or computer </w:t>
      </w:r>
      <w:r>
        <w:t>issues, it is recommended not to wait until fina</w:t>
      </w:r>
      <w:r w:rsidR="00C34E4A">
        <w:t xml:space="preserve">l hours on the due day to start </w:t>
      </w:r>
      <w:r>
        <w:t>your quizzes.</w:t>
      </w:r>
    </w:p>
    <w:p w:rsidR="00C66AD0" w:rsidRDefault="00C66AD0" w:rsidP="00C34E4A">
      <w:pPr>
        <w:pStyle w:val="ListParagraph"/>
        <w:numPr>
          <w:ilvl w:val="0"/>
          <w:numId w:val="2"/>
        </w:numPr>
      </w:pPr>
      <w:r>
        <w:t>MAKE-UP EXAMS: Students must provide val</w:t>
      </w:r>
      <w:r w:rsidR="00C34E4A">
        <w:t xml:space="preserve">id documentation for requesting </w:t>
      </w:r>
      <w:r>
        <w:t>a make-up exam due to a scheduling conflic</w:t>
      </w:r>
      <w:r w:rsidR="00C34E4A">
        <w:t xml:space="preserve">t by the end of the fourth week </w:t>
      </w:r>
      <w:r>
        <w:t xml:space="preserve">to avoid penalty. If illness or other extenuating </w:t>
      </w:r>
      <w:r w:rsidR="00C34E4A">
        <w:t>circumstances force you to miss an exam, contact me</w:t>
      </w:r>
      <w:r>
        <w:t xml:space="preserve"> as soon as possible (no later than 24 hours after the exam) for approval to schedule a m</w:t>
      </w:r>
      <w:r w:rsidR="00C34E4A">
        <w:t xml:space="preserve">ake-up exam. We do not consider </w:t>
      </w:r>
      <w:r>
        <w:t>traveling or lack of internet access as a valid excuse for a make-up exam.</w:t>
      </w:r>
    </w:p>
    <w:p w:rsidR="00C66AD0" w:rsidRDefault="00C66AD0" w:rsidP="00C34E4A">
      <w:pPr>
        <w:pStyle w:val="ListParagraph"/>
        <w:numPr>
          <w:ilvl w:val="0"/>
          <w:numId w:val="2"/>
        </w:numPr>
      </w:pPr>
      <w:r>
        <w:t>OTHER MAKE-UPS: There are no make-ups on any extra credit assignments.</w:t>
      </w:r>
    </w:p>
    <w:p w:rsidR="00C34E4A" w:rsidRDefault="00C34E4A" w:rsidP="00C34E4A">
      <w:r>
        <w:t>INCOMPLETE GRADE: A student who h</w:t>
      </w:r>
      <w:r>
        <w:t xml:space="preserve">as completed a major portion of </w:t>
      </w:r>
      <w:r>
        <w:t>the course with a passing grade but is unabl</w:t>
      </w:r>
      <w:r>
        <w:t xml:space="preserve">e to complete the final exam or </w:t>
      </w:r>
      <w:r>
        <w:t>other course requirements due to illness or emergency may be granted an i</w:t>
      </w:r>
      <w:r>
        <w:t xml:space="preserve">ncomplete, </w:t>
      </w:r>
      <w:r>
        <w:t>indicated by a grade of I. This allows the student to compl</w:t>
      </w:r>
      <w:r>
        <w:t xml:space="preserve">ete the course within the first </w:t>
      </w:r>
      <w:r>
        <w:t xml:space="preserve">six weeks of the following semester. The student must </w:t>
      </w:r>
      <w:r>
        <w:t xml:space="preserve">contact Dr. Wang before finals </w:t>
      </w:r>
      <w:r>
        <w:t>week for departmental approval and must provide documentation of the</w:t>
      </w:r>
      <w:r>
        <w:t xml:space="preserve"> extenuating </w:t>
      </w:r>
      <w:r>
        <w:t>circumstances preventing him or her from taking t</w:t>
      </w:r>
      <w:r>
        <w:t xml:space="preserve">he final exam. The grade of “I” </w:t>
      </w:r>
      <w:r>
        <w:t>is never used to avoid an undesirable grad</w:t>
      </w:r>
      <w:r>
        <w:t xml:space="preserve">e, and does not allow a student </w:t>
      </w:r>
      <w:r>
        <w:t>to redo work already graded or to retake the cou</w:t>
      </w:r>
      <w:r>
        <w:t xml:space="preserve">rse. </w:t>
      </w:r>
    </w:p>
    <w:p w:rsidR="002F03E9" w:rsidRPr="002F03E9" w:rsidRDefault="002F03E9" w:rsidP="002F03E9">
      <w:pPr>
        <w:spacing w:after="120" w:line="240" w:lineRule="auto"/>
        <w:jc w:val="center"/>
        <w:rPr>
          <w:rFonts w:ascii="Cambria" w:eastAsia="Calibri" w:hAnsi="Cambria" w:cs="Times New Roman"/>
          <w:b/>
          <w:sz w:val="24"/>
          <w:szCs w:val="24"/>
          <w:lang w:eastAsia="en-US"/>
        </w:rPr>
      </w:pPr>
      <w:r w:rsidRPr="002F03E9">
        <w:rPr>
          <w:rFonts w:ascii="Cambria" w:eastAsia="Calibri" w:hAnsi="Cambria" w:cs="Times New Roman"/>
          <w:b/>
          <w:sz w:val="24"/>
          <w:szCs w:val="24"/>
          <w:lang w:eastAsia="en-US"/>
        </w:rPr>
        <w:t xml:space="preserve">TITLE IX POLICY ON SEX DISCRIMINATION, SEXUAL MISCONDUCT AND RETALIATION </w:t>
      </w:r>
    </w:p>
    <w:p w:rsidR="002F03E9" w:rsidRPr="002F03E9" w:rsidRDefault="002F03E9" w:rsidP="002F03E9">
      <w:pPr>
        <w:spacing w:after="0" w:line="240" w:lineRule="auto"/>
        <w:jc w:val="both"/>
        <w:rPr>
          <w:rFonts w:ascii="Cambria" w:eastAsia="Times New Roman" w:hAnsi="Cambria" w:cs="Times New Roman"/>
          <w:color w:val="000000"/>
          <w:sz w:val="24"/>
          <w:shd w:val="clear" w:color="auto" w:fill="FFFFFF"/>
          <w:lang w:eastAsia="en-US"/>
        </w:rPr>
      </w:pPr>
      <w:r w:rsidRPr="002F03E9">
        <w:rPr>
          <w:rFonts w:ascii="Cambria" w:eastAsia="Times New Roman" w:hAnsi="Cambria" w:cs="Times New Roman"/>
          <w:color w:val="000000"/>
          <w:sz w:val="24"/>
          <w:shd w:val="clear" w:color="auto" w:fill="FFFFFF"/>
          <w:lang w:eastAsia="en-US"/>
        </w:rPr>
        <w:t xml:space="preserve">Title IX of the Educational Amendments of 1972 (“Title IX”) explicitly prohibits sex-based discrimination by any institution of higher education that receives federal funds (which includes </w:t>
      </w:r>
      <w:proofErr w:type="spellStart"/>
      <w:r w:rsidRPr="002F03E9">
        <w:rPr>
          <w:rFonts w:ascii="Cambria" w:eastAsia="Times New Roman" w:hAnsi="Cambria" w:cs="Times New Roman"/>
          <w:color w:val="000000"/>
          <w:sz w:val="24"/>
          <w:shd w:val="clear" w:color="auto" w:fill="FFFFFF"/>
          <w:lang w:eastAsia="en-US"/>
        </w:rPr>
        <w:t>Tougaloo</w:t>
      </w:r>
      <w:proofErr w:type="spellEnd"/>
      <w:r w:rsidRPr="002F03E9">
        <w:rPr>
          <w:rFonts w:ascii="Cambria" w:eastAsia="Times New Roman" w:hAnsi="Cambria" w:cs="Times New Roman"/>
          <w:color w:val="000000"/>
          <w:sz w:val="24"/>
          <w:shd w:val="clear" w:color="auto" w:fill="FFFFFF"/>
          <w:lang w:eastAsia="en-US"/>
        </w:rPr>
        <w:t xml:space="preserve"> College). Under the scope of this federal law and related federal and state laws, </w:t>
      </w:r>
      <w:proofErr w:type="spellStart"/>
      <w:r w:rsidRPr="002F03E9">
        <w:rPr>
          <w:rFonts w:ascii="Cambria" w:eastAsia="Times New Roman" w:hAnsi="Cambria" w:cs="Times New Roman"/>
          <w:color w:val="000000"/>
          <w:sz w:val="24"/>
          <w:shd w:val="clear" w:color="auto" w:fill="FFFFFF"/>
          <w:lang w:eastAsia="en-US"/>
        </w:rPr>
        <w:t>Tougaloo</w:t>
      </w:r>
      <w:proofErr w:type="spellEnd"/>
      <w:r w:rsidRPr="002F03E9">
        <w:rPr>
          <w:rFonts w:ascii="Cambria" w:eastAsia="Times New Roman" w:hAnsi="Cambria" w:cs="Times New Roman"/>
          <w:color w:val="000000"/>
          <w:sz w:val="24"/>
          <w:shd w:val="clear" w:color="auto" w:fill="FFFFFF"/>
          <w:lang w:eastAsia="en-US"/>
        </w:rPr>
        <w:t xml:space="preserve"> must adhere to specific regulations regarding how to address reports of sexual discrimination, sexual misconduct, including sexual harassment, sexual assault, sexual exploitation, indecent exposure, intimate-partner violence including dating violence and domestic violence, romantic/sexual consensual relationships between people with unequal power, stalking, and other misconduct that is sex or gender-based.</w:t>
      </w:r>
    </w:p>
    <w:p w:rsidR="002F03E9" w:rsidRPr="002F03E9" w:rsidRDefault="002F03E9" w:rsidP="002F03E9">
      <w:pPr>
        <w:widowControl w:val="0"/>
        <w:autoSpaceDE w:val="0"/>
        <w:autoSpaceDN w:val="0"/>
        <w:spacing w:after="0" w:line="240" w:lineRule="auto"/>
        <w:jc w:val="both"/>
        <w:outlineLvl w:val="2"/>
        <w:rPr>
          <w:rFonts w:ascii="Cambria" w:eastAsia="Cambria" w:hAnsi="Cambria" w:cs="Cambria"/>
          <w:bCs/>
          <w:iCs/>
          <w:color w:val="000000"/>
          <w:sz w:val="10"/>
          <w:lang w:eastAsia="en-US" w:bidi="en-US"/>
        </w:rPr>
      </w:pPr>
    </w:p>
    <w:p w:rsidR="002F03E9" w:rsidRPr="002F03E9" w:rsidRDefault="002F03E9" w:rsidP="002F03E9">
      <w:pPr>
        <w:widowControl w:val="0"/>
        <w:autoSpaceDE w:val="0"/>
        <w:autoSpaceDN w:val="0"/>
        <w:spacing w:after="0" w:line="240" w:lineRule="auto"/>
        <w:jc w:val="both"/>
        <w:rPr>
          <w:rFonts w:ascii="Cambria" w:eastAsia="Times New Roman" w:hAnsi="Cambria" w:cs="Times New Roman"/>
          <w:color w:val="000000"/>
          <w:sz w:val="24"/>
          <w:shd w:val="clear" w:color="auto" w:fill="FFFFFF"/>
          <w:lang w:eastAsia="en-US" w:bidi="en-US"/>
        </w:rPr>
      </w:pPr>
      <w:r w:rsidRPr="002F03E9">
        <w:rPr>
          <w:rFonts w:ascii="Cambria" w:eastAsia="Times New Roman" w:hAnsi="Cambria" w:cs="Times New Roman"/>
          <w:color w:val="000000"/>
          <w:sz w:val="24"/>
          <w:shd w:val="clear" w:color="auto" w:fill="FFFFFF"/>
          <w:lang w:eastAsia="en-US" w:bidi="en-US"/>
        </w:rPr>
        <w:t xml:space="preserve">Title IX also mandates that a recipient may not retaliate against any person for opposing an unlawful educational practice or policy, or made charges, testified or participated in any complaint action under Title IX. For a recipient to retaliate in any way is considered a violation of Title IX. </w:t>
      </w:r>
    </w:p>
    <w:p w:rsidR="002F03E9" w:rsidRPr="002F03E9" w:rsidRDefault="002F03E9" w:rsidP="002F03E9">
      <w:pPr>
        <w:widowControl w:val="0"/>
        <w:autoSpaceDE w:val="0"/>
        <w:autoSpaceDN w:val="0"/>
        <w:spacing w:after="0" w:line="240" w:lineRule="auto"/>
        <w:jc w:val="both"/>
        <w:rPr>
          <w:rFonts w:ascii="Cambria" w:eastAsia="Times New Roman" w:hAnsi="Cambria" w:cs="Times New Roman"/>
          <w:color w:val="000000"/>
          <w:sz w:val="8"/>
          <w:shd w:val="clear" w:color="auto" w:fill="FFFFFF"/>
          <w:lang w:eastAsia="en-US" w:bidi="en-US"/>
        </w:rPr>
      </w:pPr>
    </w:p>
    <w:p w:rsidR="002F03E9" w:rsidRPr="002F03E9" w:rsidRDefault="002F03E9" w:rsidP="002F03E9">
      <w:pPr>
        <w:widowControl w:val="0"/>
        <w:autoSpaceDE w:val="0"/>
        <w:autoSpaceDN w:val="0"/>
        <w:spacing w:after="0" w:line="240" w:lineRule="auto"/>
        <w:jc w:val="both"/>
        <w:rPr>
          <w:rFonts w:ascii="Cambria" w:eastAsia="Times New Roman" w:hAnsi="Cambria" w:cs="Times New Roman"/>
          <w:color w:val="000000"/>
          <w:sz w:val="24"/>
          <w:lang w:eastAsia="en-US" w:bidi="en-US"/>
        </w:rPr>
      </w:pPr>
      <w:proofErr w:type="spellStart"/>
      <w:r w:rsidRPr="002F03E9">
        <w:rPr>
          <w:rFonts w:ascii="Cambria" w:eastAsia="Times New Roman" w:hAnsi="Cambria" w:cs="Times New Roman"/>
          <w:color w:val="000000"/>
          <w:sz w:val="24"/>
          <w:lang w:eastAsia="en-US" w:bidi="en-US"/>
        </w:rPr>
        <w:t>Tougaloo</w:t>
      </w:r>
      <w:proofErr w:type="spellEnd"/>
      <w:r w:rsidRPr="002F03E9">
        <w:rPr>
          <w:rFonts w:ascii="Cambria" w:eastAsia="Times New Roman" w:hAnsi="Cambria" w:cs="Times New Roman"/>
          <w:color w:val="000000"/>
          <w:sz w:val="24"/>
          <w:lang w:eastAsia="en-US" w:bidi="en-US"/>
        </w:rPr>
        <w:t xml:space="preserve"> College is committed to establishing and maintaining a community that is rich in equality and reflects and promotes personal integrity, civility, and mutual respect.  </w:t>
      </w:r>
      <w:proofErr w:type="spellStart"/>
      <w:r w:rsidRPr="002F03E9">
        <w:rPr>
          <w:rFonts w:ascii="Cambria" w:eastAsia="Times New Roman" w:hAnsi="Cambria" w:cs="Times New Roman"/>
          <w:color w:val="000000"/>
          <w:sz w:val="24"/>
          <w:lang w:eastAsia="en-US" w:bidi="en-US"/>
        </w:rPr>
        <w:t>Tougaloo</w:t>
      </w:r>
      <w:proofErr w:type="spellEnd"/>
      <w:r w:rsidRPr="002F03E9">
        <w:rPr>
          <w:rFonts w:ascii="Cambria" w:eastAsia="Times New Roman" w:hAnsi="Cambria" w:cs="Times New Roman"/>
          <w:color w:val="000000"/>
          <w:sz w:val="24"/>
          <w:lang w:eastAsia="en-US" w:bidi="en-US"/>
        </w:rPr>
        <w:t xml:space="preserve"> seeks to create an environment in which the greatest holistic academic potential of students and professional potential of employees may be realized.  In order to create and maintain such an inclusive climate, all who learn, live and work at </w:t>
      </w:r>
      <w:proofErr w:type="spellStart"/>
      <w:r w:rsidRPr="002F03E9">
        <w:rPr>
          <w:rFonts w:ascii="Cambria" w:eastAsia="Times New Roman" w:hAnsi="Cambria" w:cs="Times New Roman"/>
          <w:color w:val="000000"/>
          <w:sz w:val="24"/>
          <w:lang w:eastAsia="en-US" w:bidi="en-US"/>
        </w:rPr>
        <w:t>Tougaloo</w:t>
      </w:r>
      <w:proofErr w:type="spellEnd"/>
      <w:r w:rsidRPr="002F03E9">
        <w:rPr>
          <w:rFonts w:ascii="Cambria" w:eastAsia="Times New Roman" w:hAnsi="Cambria" w:cs="Times New Roman"/>
          <w:color w:val="000000"/>
          <w:sz w:val="24"/>
          <w:lang w:eastAsia="en-US" w:bidi="en-US"/>
        </w:rPr>
        <w:t xml:space="preserve"> are partners in the effort of ensuring that the community is free from sex discrimination, sexual misconduct and retaliation.</w:t>
      </w:r>
    </w:p>
    <w:p w:rsidR="002F03E9" w:rsidRPr="002F03E9" w:rsidRDefault="002F03E9" w:rsidP="002F03E9">
      <w:pPr>
        <w:widowControl w:val="0"/>
        <w:autoSpaceDE w:val="0"/>
        <w:autoSpaceDN w:val="0"/>
        <w:spacing w:after="0" w:line="240" w:lineRule="auto"/>
        <w:jc w:val="both"/>
        <w:rPr>
          <w:rFonts w:ascii="Cambria" w:eastAsia="Times New Roman" w:hAnsi="Cambria" w:cs="Times New Roman"/>
          <w:color w:val="000000"/>
          <w:sz w:val="12"/>
          <w:lang w:eastAsia="en-US" w:bidi="en-US"/>
        </w:rPr>
      </w:pPr>
    </w:p>
    <w:p w:rsidR="002F03E9" w:rsidRPr="002F03E9" w:rsidRDefault="002F03E9" w:rsidP="002F03E9">
      <w:pPr>
        <w:spacing w:after="0" w:line="240" w:lineRule="auto"/>
        <w:jc w:val="both"/>
        <w:rPr>
          <w:rFonts w:ascii="Cambria" w:eastAsia="Times New Roman" w:hAnsi="Cambria" w:cs="Times New Roman"/>
          <w:color w:val="000000"/>
          <w:sz w:val="24"/>
          <w:shd w:val="clear" w:color="auto" w:fill="FFFFFF"/>
          <w:lang w:eastAsia="en-US"/>
        </w:rPr>
      </w:pPr>
      <w:r w:rsidRPr="002F03E9">
        <w:rPr>
          <w:rFonts w:ascii="Cambria" w:eastAsia="Times New Roman" w:hAnsi="Cambria" w:cs="Times New Roman"/>
          <w:color w:val="000000"/>
          <w:sz w:val="24"/>
          <w:shd w:val="clear" w:color="auto" w:fill="FFFFFF"/>
          <w:lang w:eastAsia="en-US"/>
        </w:rPr>
        <w:t xml:space="preserve">Inquiries about Title IX as implemented at </w:t>
      </w:r>
      <w:proofErr w:type="spellStart"/>
      <w:r w:rsidRPr="002F03E9">
        <w:rPr>
          <w:rFonts w:ascii="Cambria" w:eastAsia="Times New Roman" w:hAnsi="Cambria" w:cs="Times New Roman"/>
          <w:color w:val="000000"/>
          <w:sz w:val="24"/>
          <w:shd w:val="clear" w:color="auto" w:fill="FFFFFF"/>
          <w:lang w:eastAsia="en-US"/>
        </w:rPr>
        <w:t>Tougaloo</w:t>
      </w:r>
      <w:proofErr w:type="spellEnd"/>
      <w:r w:rsidRPr="002F03E9">
        <w:rPr>
          <w:rFonts w:ascii="Cambria" w:eastAsia="Times New Roman" w:hAnsi="Cambria" w:cs="Times New Roman"/>
          <w:color w:val="000000"/>
          <w:sz w:val="24"/>
          <w:shd w:val="clear" w:color="auto" w:fill="FFFFFF"/>
          <w:lang w:eastAsia="en-US"/>
        </w:rPr>
        <w:t xml:space="preserve">, or reports of any violation of Title IX should be directed internally to: </w:t>
      </w:r>
    </w:p>
    <w:p w:rsidR="002F03E9" w:rsidRPr="002F03E9" w:rsidRDefault="002F03E9" w:rsidP="002F03E9">
      <w:pPr>
        <w:spacing w:after="0" w:line="240" w:lineRule="auto"/>
        <w:jc w:val="both"/>
        <w:rPr>
          <w:rFonts w:ascii="Cambria" w:eastAsia="Times New Roman" w:hAnsi="Cambria" w:cs="Times New Roman"/>
          <w:color w:val="000000"/>
          <w:sz w:val="10"/>
          <w:shd w:val="clear" w:color="auto" w:fill="FFFFFF"/>
          <w:lang w:eastAsia="en-US"/>
        </w:rPr>
      </w:pPr>
    </w:p>
    <w:p w:rsidR="002F03E9" w:rsidRPr="002F03E9" w:rsidRDefault="002F03E9" w:rsidP="002F03E9">
      <w:pPr>
        <w:spacing w:after="0" w:line="240" w:lineRule="auto"/>
        <w:ind w:left="720"/>
        <w:jc w:val="both"/>
        <w:rPr>
          <w:rFonts w:ascii="Cambria" w:eastAsia="Times New Roman" w:hAnsi="Cambria" w:cs="Times New Roman"/>
          <w:color w:val="000000"/>
          <w:sz w:val="24"/>
          <w:shd w:val="clear" w:color="auto" w:fill="FFFFFF"/>
          <w:lang w:eastAsia="en-US"/>
        </w:rPr>
      </w:pPr>
      <w:r w:rsidRPr="002F03E9">
        <w:rPr>
          <w:rFonts w:ascii="Cambria" w:eastAsia="Times New Roman" w:hAnsi="Cambria" w:cs="Times New Roman"/>
          <w:color w:val="000000"/>
          <w:sz w:val="24"/>
          <w:shd w:val="clear" w:color="auto" w:fill="FFFFFF"/>
          <w:lang w:eastAsia="en-US"/>
        </w:rPr>
        <w:t>Dr. Linda J. Daniels</w:t>
      </w:r>
    </w:p>
    <w:p w:rsidR="002F03E9" w:rsidRPr="002F03E9" w:rsidRDefault="002F03E9" w:rsidP="002F03E9">
      <w:pPr>
        <w:spacing w:after="0" w:line="240" w:lineRule="auto"/>
        <w:ind w:left="720"/>
        <w:jc w:val="both"/>
        <w:rPr>
          <w:rFonts w:ascii="Cambria" w:eastAsia="Times New Roman" w:hAnsi="Cambria" w:cs="Times New Roman"/>
          <w:color w:val="000000"/>
          <w:sz w:val="24"/>
          <w:shd w:val="clear" w:color="auto" w:fill="FFFFFF"/>
          <w:lang w:eastAsia="en-US"/>
        </w:rPr>
      </w:pPr>
      <w:r w:rsidRPr="002F03E9">
        <w:rPr>
          <w:rFonts w:ascii="Cambria" w:eastAsia="Times New Roman" w:hAnsi="Cambria" w:cs="Times New Roman"/>
          <w:color w:val="000000"/>
          <w:sz w:val="24"/>
          <w:shd w:val="clear" w:color="auto" w:fill="FFFFFF"/>
          <w:lang w:eastAsia="en-US"/>
        </w:rPr>
        <w:t xml:space="preserve">Office of the President </w:t>
      </w:r>
    </w:p>
    <w:p w:rsidR="002F03E9" w:rsidRPr="002F03E9" w:rsidRDefault="002F03E9" w:rsidP="002F03E9">
      <w:pPr>
        <w:spacing w:after="0" w:line="240" w:lineRule="auto"/>
        <w:ind w:left="720"/>
        <w:jc w:val="both"/>
        <w:rPr>
          <w:rFonts w:ascii="Cambria" w:eastAsia="Times New Roman" w:hAnsi="Cambria" w:cs="Times New Roman"/>
          <w:color w:val="000000"/>
          <w:sz w:val="24"/>
          <w:shd w:val="clear" w:color="auto" w:fill="FFFFFF"/>
          <w:lang w:eastAsia="en-US"/>
        </w:rPr>
      </w:pPr>
      <w:r w:rsidRPr="002F03E9">
        <w:rPr>
          <w:rFonts w:ascii="Cambria" w:eastAsia="Times New Roman" w:hAnsi="Cambria" w:cs="Times New Roman"/>
          <w:color w:val="000000"/>
          <w:sz w:val="24"/>
          <w:shd w:val="clear" w:color="auto" w:fill="FFFFFF"/>
          <w:lang w:eastAsia="en-US"/>
        </w:rPr>
        <w:t>Blackmon Administration Building</w:t>
      </w:r>
    </w:p>
    <w:p w:rsidR="002F03E9" w:rsidRPr="002F03E9" w:rsidRDefault="002F03E9" w:rsidP="002F03E9">
      <w:pPr>
        <w:spacing w:after="0" w:line="240" w:lineRule="auto"/>
        <w:ind w:left="720"/>
        <w:jc w:val="both"/>
        <w:rPr>
          <w:rFonts w:ascii="Cambria" w:eastAsia="Times New Roman" w:hAnsi="Cambria" w:cs="Times New Roman"/>
          <w:color w:val="000000"/>
          <w:sz w:val="24"/>
          <w:lang w:eastAsia="en-US"/>
        </w:rPr>
      </w:pPr>
      <w:r w:rsidRPr="002F03E9">
        <w:rPr>
          <w:rFonts w:ascii="Cambria" w:eastAsia="Times New Roman" w:hAnsi="Cambria" w:cs="Times New Roman"/>
          <w:color w:val="000000"/>
          <w:sz w:val="24"/>
          <w:lang w:eastAsia="en-US"/>
        </w:rPr>
        <w:t>Telephone:  601-977-4462</w:t>
      </w:r>
    </w:p>
    <w:p w:rsidR="002F03E9" w:rsidRPr="002F03E9" w:rsidRDefault="002F03E9" w:rsidP="002F03E9">
      <w:pPr>
        <w:spacing w:after="0" w:line="240" w:lineRule="auto"/>
        <w:ind w:left="720"/>
        <w:jc w:val="both"/>
        <w:rPr>
          <w:rFonts w:ascii="Cambria" w:eastAsia="Times New Roman" w:hAnsi="Cambria" w:cs="Times New Roman"/>
          <w:color w:val="000000"/>
          <w:sz w:val="24"/>
          <w:shd w:val="clear" w:color="auto" w:fill="FFFFFF"/>
          <w:lang w:eastAsia="en-US"/>
        </w:rPr>
      </w:pPr>
      <w:r w:rsidRPr="002F03E9">
        <w:rPr>
          <w:rFonts w:ascii="Cambria" w:eastAsia="Times New Roman" w:hAnsi="Cambria" w:cs="Times New Roman"/>
          <w:color w:val="000000"/>
          <w:sz w:val="24"/>
          <w:lang w:eastAsia="en-US"/>
        </w:rPr>
        <w:lastRenderedPageBreak/>
        <w:t xml:space="preserve">Email: </w:t>
      </w:r>
      <w:hyperlink r:id="rId5" w:history="1">
        <w:r w:rsidRPr="002F03E9">
          <w:rPr>
            <w:rFonts w:ascii="Cambria" w:eastAsia="Times New Roman" w:hAnsi="Cambria" w:cs="Times New Roman"/>
            <w:color w:val="0563C1"/>
            <w:sz w:val="24"/>
            <w:u w:val="single"/>
            <w:lang w:eastAsia="en-US"/>
          </w:rPr>
          <w:t>ldaniels@tougaloo.edu</w:t>
        </w:r>
      </w:hyperlink>
    </w:p>
    <w:p w:rsidR="002F03E9" w:rsidRPr="002F03E9" w:rsidRDefault="002F03E9" w:rsidP="002F03E9">
      <w:pPr>
        <w:widowControl w:val="0"/>
        <w:autoSpaceDE w:val="0"/>
        <w:autoSpaceDN w:val="0"/>
        <w:spacing w:after="0" w:line="240" w:lineRule="auto"/>
        <w:ind w:right="200"/>
        <w:jc w:val="both"/>
        <w:rPr>
          <w:rFonts w:ascii="Cambria" w:eastAsia="Times New Roman" w:hAnsi="Cambria" w:cs="Times New Roman"/>
          <w:sz w:val="6"/>
          <w:shd w:val="clear" w:color="auto" w:fill="FFFFFF"/>
          <w:lang w:eastAsia="en-US" w:bidi="en-US"/>
        </w:rPr>
      </w:pPr>
    </w:p>
    <w:p w:rsidR="002F03E9" w:rsidRPr="002F03E9" w:rsidRDefault="002F03E9" w:rsidP="002F03E9">
      <w:pPr>
        <w:widowControl w:val="0"/>
        <w:autoSpaceDE w:val="0"/>
        <w:autoSpaceDN w:val="0"/>
        <w:spacing w:after="0" w:line="240" w:lineRule="auto"/>
        <w:ind w:right="200"/>
        <w:jc w:val="both"/>
        <w:rPr>
          <w:rFonts w:ascii="Cambria" w:eastAsia="Times New Roman" w:hAnsi="Cambria" w:cs="Times New Roman"/>
          <w:sz w:val="24"/>
          <w:shd w:val="clear" w:color="auto" w:fill="FFFFFF"/>
          <w:lang w:eastAsia="en-US" w:bidi="en-US"/>
        </w:rPr>
      </w:pPr>
      <w:r w:rsidRPr="002F03E9">
        <w:rPr>
          <w:rFonts w:ascii="Cambria" w:eastAsia="Times New Roman" w:hAnsi="Cambria" w:cs="Times New Roman"/>
          <w:sz w:val="24"/>
          <w:shd w:val="clear" w:color="auto" w:fill="FFFFFF"/>
          <w:lang w:eastAsia="en-US" w:bidi="en-US"/>
        </w:rPr>
        <w:t xml:space="preserve">Inquiries may be made externally to: </w:t>
      </w:r>
    </w:p>
    <w:p w:rsidR="002F03E9" w:rsidRPr="002F03E9" w:rsidRDefault="002F03E9" w:rsidP="002F03E9">
      <w:pPr>
        <w:widowControl w:val="0"/>
        <w:autoSpaceDE w:val="0"/>
        <w:autoSpaceDN w:val="0"/>
        <w:spacing w:after="0" w:line="240" w:lineRule="auto"/>
        <w:ind w:left="720" w:right="200"/>
        <w:jc w:val="both"/>
        <w:rPr>
          <w:rFonts w:ascii="Cambria" w:eastAsia="Times New Roman" w:hAnsi="Cambria" w:cs="Times New Roman"/>
          <w:sz w:val="24"/>
          <w:shd w:val="clear" w:color="auto" w:fill="FFFFFF"/>
          <w:lang w:eastAsia="en-US" w:bidi="en-US"/>
        </w:rPr>
      </w:pPr>
      <w:r w:rsidRPr="002F03E9">
        <w:rPr>
          <w:rFonts w:ascii="Cambria" w:eastAsia="Times New Roman" w:hAnsi="Cambria" w:cs="Times New Roman"/>
          <w:sz w:val="24"/>
          <w:shd w:val="clear" w:color="auto" w:fill="FFFFFF"/>
          <w:lang w:eastAsia="en-US" w:bidi="en-US"/>
        </w:rPr>
        <w:t xml:space="preserve">Office for Civil Rights (OCR) </w:t>
      </w:r>
    </w:p>
    <w:p w:rsidR="002F03E9" w:rsidRPr="002F03E9" w:rsidRDefault="002F03E9" w:rsidP="002F03E9">
      <w:pPr>
        <w:widowControl w:val="0"/>
        <w:autoSpaceDE w:val="0"/>
        <w:autoSpaceDN w:val="0"/>
        <w:spacing w:after="0" w:line="240" w:lineRule="auto"/>
        <w:ind w:left="720" w:right="200"/>
        <w:jc w:val="both"/>
        <w:rPr>
          <w:rFonts w:ascii="Cambria" w:eastAsia="Times New Roman" w:hAnsi="Cambria" w:cs="Times New Roman"/>
          <w:sz w:val="24"/>
          <w:shd w:val="clear" w:color="auto" w:fill="FFFFFF"/>
          <w:lang w:eastAsia="en-US" w:bidi="en-US"/>
        </w:rPr>
      </w:pPr>
      <w:r w:rsidRPr="002F03E9">
        <w:rPr>
          <w:rFonts w:ascii="Cambria" w:eastAsia="Times New Roman" w:hAnsi="Cambria" w:cs="Times New Roman"/>
          <w:sz w:val="24"/>
          <w:shd w:val="clear" w:color="auto" w:fill="FFFFFF"/>
          <w:lang w:eastAsia="en-US" w:bidi="en-US"/>
        </w:rPr>
        <w:t xml:space="preserve">U.S. Department of Education </w:t>
      </w:r>
    </w:p>
    <w:p w:rsidR="002F03E9" w:rsidRPr="002F03E9" w:rsidRDefault="002F03E9" w:rsidP="002F03E9">
      <w:pPr>
        <w:widowControl w:val="0"/>
        <w:autoSpaceDE w:val="0"/>
        <w:autoSpaceDN w:val="0"/>
        <w:spacing w:after="0" w:line="240" w:lineRule="auto"/>
        <w:ind w:left="720" w:right="200"/>
        <w:jc w:val="both"/>
        <w:rPr>
          <w:rFonts w:ascii="Cambria" w:eastAsia="Times New Roman" w:hAnsi="Cambria" w:cs="Times New Roman"/>
          <w:sz w:val="24"/>
          <w:shd w:val="clear" w:color="auto" w:fill="FFFFFF"/>
          <w:lang w:eastAsia="en-US" w:bidi="en-US"/>
        </w:rPr>
      </w:pPr>
      <w:r w:rsidRPr="002F03E9">
        <w:rPr>
          <w:rFonts w:ascii="Cambria" w:eastAsia="Times New Roman" w:hAnsi="Cambria" w:cs="Times New Roman"/>
          <w:sz w:val="24"/>
          <w:shd w:val="clear" w:color="auto" w:fill="FFFFFF"/>
          <w:lang w:eastAsia="en-US" w:bidi="en-US"/>
        </w:rPr>
        <w:t xml:space="preserve">400 Maryland Ave., SW, Washington, DC 20202-1100 </w:t>
      </w:r>
    </w:p>
    <w:p w:rsidR="002F03E9" w:rsidRPr="002F03E9" w:rsidRDefault="002F03E9" w:rsidP="002F03E9">
      <w:pPr>
        <w:widowControl w:val="0"/>
        <w:autoSpaceDE w:val="0"/>
        <w:autoSpaceDN w:val="0"/>
        <w:spacing w:after="0" w:line="240" w:lineRule="auto"/>
        <w:ind w:left="720" w:right="200"/>
        <w:jc w:val="both"/>
        <w:rPr>
          <w:rFonts w:ascii="Cambria" w:eastAsia="Times New Roman" w:hAnsi="Cambria" w:cs="Times New Roman"/>
          <w:sz w:val="24"/>
          <w:shd w:val="clear" w:color="auto" w:fill="FFFFFF"/>
          <w:lang w:eastAsia="en-US" w:bidi="en-US"/>
        </w:rPr>
      </w:pPr>
      <w:r w:rsidRPr="002F03E9">
        <w:rPr>
          <w:rFonts w:ascii="Cambria" w:eastAsia="Times New Roman" w:hAnsi="Cambria" w:cs="Times New Roman"/>
          <w:sz w:val="24"/>
          <w:shd w:val="clear" w:color="auto" w:fill="FFFFFF"/>
          <w:lang w:eastAsia="en-US" w:bidi="en-US"/>
        </w:rPr>
        <w:t xml:space="preserve">Telephone: (800) 421-3481 </w:t>
      </w:r>
    </w:p>
    <w:p w:rsidR="002F03E9" w:rsidRPr="002F03E9" w:rsidRDefault="002F03E9" w:rsidP="002F03E9">
      <w:pPr>
        <w:widowControl w:val="0"/>
        <w:autoSpaceDE w:val="0"/>
        <w:autoSpaceDN w:val="0"/>
        <w:spacing w:after="0" w:line="240" w:lineRule="auto"/>
        <w:ind w:left="720" w:right="200"/>
        <w:jc w:val="both"/>
        <w:rPr>
          <w:rFonts w:ascii="Cambria" w:eastAsia="Times New Roman" w:hAnsi="Cambria" w:cs="Times New Roman"/>
          <w:sz w:val="24"/>
          <w:shd w:val="clear" w:color="auto" w:fill="FFFFFF"/>
          <w:lang w:eastAsia="en-US" w:bidi="en-US"/>
        </w:rPr>
      </w:pPr>
      <w:r w:rsidRPr="002F03E9">
        <w:rPr>
          <w:rFonts w:ascii="Cambria" w:eastAsia="Times New Roman" w:hAnsi="Cambria" w:cs="Times New Roman"/>
          <w:sz w:val="24"/>
          <w:shd w:val="clear" w:color="auto" w:fill="FFFFFF"/>
          <w:lang w:eastAsia="en-US" w:bidi="en-US"/>
        </w:rPr>
        <w:t xml:space="preserve">TDD: (877) 521-2172 </w:t>
      </w:r>
    </w:p>
    <w:p w:rsidR="002F03E9" w:rsidRPr="002F03E9" w:rsidRDefault="002F03E9" w:rsidP="002F03E9">
      <w:pPr>
        <w:widowControl w:val="0"/>
        <w:autoSpaceDE w:val="0"/>
        <w:autoSpaceDN w:val="0"/>
        <w:spacing w:after="0" w:line="240" w:lineRule="auto"/>
        <w:ind w:left="720" w:right="200"/>
        <w:jc w:val="both"/>
        <w:rPr>
          <w:rFonts w:ascii="Cambria" w:eastAsia="Times New Roman" w:hAnsi="Cambria" w:cs="Times New Roman"/>
          <w:sz w:val="24"/>
          <w:shd w:val="clear" w:color="auto" w:fill="FFFFFF"/>
          <w:lang w:eastAsia="en-US" w:bidi="en-US"/>
        </w:rPr>
      </w:pPr>
      <w:r w:rsidRPr="002F03E9">
        <w:rPr>
          <w:rFonts w:ascii="Cambria" w:eastAsia="Times New Roman" w:hAnsi="Cambria" w:cs="Times New Roman"/>
          <w:sz w:val="24"/>
          <w:shd w:val="clear" w:color="auto" w:fill="FFFFFF"/>
          <w:lang w:eastAsia="en-US" w:bidi="en-US"/>
        </w:rPr>
        <w:t xml:space="preserve">Email: </w:t>
      </w:r>
      <w:hyperlink r:id="rId6" w:history="1">
        <w:r w:rsidRPr="002F03E9">
          <w:rPr>
            <w:rFonts w:ascii="Cambria" w:eastAsia="Times New Roman" w:hAnsi="Cambria" w:cs="Times New Roman"/>
            <w:color w:val="0563C1"/>
            <w:sz w:val="24"/>
            <w:u w:val="single"/>
            <w:shd w:val="clear" w:color="auto" w:fill="FFFFFF"/>
            <w:lang w:eastAsia="en-US" w:bidi="en-US"/>
          </w:rPr>
          <w:t>OCR@ed.gov</w:t>
        </w:r>
      </w:hyperlink>
    </w:p>
    <w:p w:rsidR="002F03E9" w:rsidRPr="002F03E9" w:rsidRDefault="002F03E9" w:rsidP="002F03E9">
      <w:pPr>
        <w:widowControl w:val="0"/>
        <w:autoSpaceDE w:val="0"/>
        <w:autoSpaceDN w:val="0"/>
        <w:spacing w:after="0" w:line="240" w:lineRule="auto"/>
        <w:ind w:left="720" w:right="200"/>
        <w:jc w:val="both"/>
        <w:rPr>
          <w:rFonts w:ascii="Cambria" w:eastAsia="Times New Roman" w:hAnsi="Cambria" w:cs="Times New Roman"/>
          <w:sz w:val="24"/>
          <w:shd w:val="clear" w:color="auto" w:fill="FFFFFF"/>
          <w:lang w:eastAsia="en-US" w:bidi="en-US"/>
        </w:rPr>
      </w:pPr>
      <w:hyperlink r:id="rId7" w:history="1">
        <w:r w:rsidRPr="002F03E9">
          <w:rPr>
            <w:rFonts w:ascii="Cambria" w:eastAsia="Times New Roman" w:hAnsi="Cambria" w:cs="Times New Roman"/>
            <w:color w:val="0563C1"/>
            <w:sz w:val="24"/>
            <w:u w:val="single"/>
            <w:shd w:val="clear" w:color="auto" w:fill="FFFFFF"/>
            <w:lang w:eastAsia="en-US" w:bidi="en-US"/>
          </w:rPr>
          <w:t>www.ed.gov/ocr</w:t>
        </w:r>
      </w:hyperlink>
    </w:p>
    <w:p w:rsidR="00AA01B6" w:rsidRDefault="00AA01B6" w:rsidP="00C34E4A"/>
    <w:p w:rsidR="00C66AD0" w:rsidRPr="00D1554F" w:rsidRDefault="00C66AD0" w:rsidP="00C66AD0">
      <w:pPr>
        <w:ind w:left="360"/>
      </w:pPr>
    </w:p>
    <w:sectPr w:rsidR="00C66AD0" w:rsidRPr="00D1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58D"/>
    <w:multiLevelType w:val="hybridMultilevel"/>
    <w:tmpl w:val="5FF2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80BE5"/>
    <w:multiLevelType w:val="hybridMultilevel"/>
    <w:tmpl w:val="122C6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8B66DA"/>
    <w:multiLevelType w:val="hybridMultilevel"/>
    <w:tmpl w:val="254A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94"/>
    <w:rsid w:val="000C26F8"/>
    <w:rsid w:val="001821D4"/>
    <w:rsid w:val="0018317E"/>
    <w:rsid w:val="002D711B"/>
    <w:rsid w:val="002F03E9"/>
    <w:rsid w:val="003003BA"/>
    <w:rsid w:val="003774B6"/>
    <w:rsid w:val="004078A1"/>
    <w:rsid w:val="004644A8"/>
    <w:rsid w:val="0046479E"/>
    <w:rsid w:val="00522F46"/>
    <w:rsid w:val="005F7C5F"/>
    <w:rsid w:val="006130E5"/>
    <w:rsid w:val="0061707E"/>
    <w:rsid w:val="00627EAB"/>
    <w:rsid w:val="006812D2"/>
    <w:rsid w:val="00684172"/>
    <w:rsid w:val="006C329D"/>
    <w:rsid w:val="006C5DFB"/>
    <w:rsid w:val="006F15CA"/>
    <w:rsid w:val="00743EB4"/>
    <w:rsid w:val="007F0A22"/>
    <w:rsid w:val="008939BC"/>
    <w:rsid w:val="008F2A7A"/>
    <w:rsid w:val="008F413A"/>
    <w:rsid w:val="00A63769"/>
    <w:rsid w:val="00A8551E"/>
    <w:rsid w:val="00AA01B6"/>
    <w:rsid w:val="00B51B9B"/>
    <w:rsid w:val="00C34E4A"/>
    <w:rsid w:val="00C37E72"/>
    <w:rsid w:val="00C66AD0"/>
    <w:rsid w:val="00C84ED0"/>
    <w:rsid w:val="00D1554F"/>
    <w:rsid w:val="00D53618"/>
    <w:rsid w:val="00DD3F23"/>
    <w:rsid w:val="00ED2494"/>
    <w:rsid w:val="00EF5E38"/>
    <w:rsid w:val="00FA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9683"/>
  <w15:chartTrackingRefBased/>
  <w15:docId w15:val="{2F67F20F-B79D-4A99-8EFE-4367BC4E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29D"/>
    <w:rPr>
      <w:color w:val="0000FF"/>
      <w:u w:val="single"/>
    </w:rPr>
  </w:style>
  <w:style w:type="paragraph" w:styleId="ListParagraph">
    <w:name w:val="List Paragraph"/>
    <w:basedOn w:val="Normal"/>
    <w:uiPriority w:val="34"/>
    <w:qFormat/>
    <w:rsid w:val="0089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d.gov/o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CR@ed.gov" TargetMode="External"/><Relationship Id="rId5" Type="http://schemas.openxmlformats.org/officeDocument/2006/relationships/hyperlink" Target="mailto:ldaniels@tougaloo.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1</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2020-08-04T23:57:00Z</dcterms:created>
  <dcterms:modified xsi:type="dcterms:W3CDTF">2020-08-07T05:19:00Z</dcterms:modified>
</cp:coreProperties>
</file>