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DD3B0">
      <w:pPr>
        <w:jc w:val="center"/>
        <w:rPr>
          <w:lang w:eastAsia="zh-CN"/>
        </w:rPr>
      </w:pPr>
      <w:r>
        <w:rPr>
          <w:b/>
          <w:sz w:val="40"/>
          <w:lang w:eastAsia="zh-CN"/>
        </w:rPr>
        <w:t>脑血管 PINNs 点云论文</w:t>
      </w:r>
    </w:p>
    <w:p w14:paraId="1A5ECE59">
      <w:pPr>
        <w:spacing w:after="40"/>
        <w:jc w:val="center"/>
        <w:rPr>
          <w:lang w:eastAsia="zh-CN"/>
        </w:rPr>
      </w:pPr>
      <w:r>
        <w:rPr>
          <w:b/>
          <w:sz w:val="28"/>
          <w:lang w:eastAsia="zh-CN"/>
        </w:rPr>
        <w:t>问题清单 与</w:t>
      </w:r>
      <w:r>
        <w:rPr>
          <w:rFonts w:hint="eastAsia"/>
          <w:b/>
          <w:sz w:val="28"/>
          <w:lang w:eastAsia="zh-CN"/>
        </w:rPr>
        <w:t xml:space="preserve"> 项目</w:t>
      </w:r>
      <w:r>
        <w:rPr>
          <w:b/>
          <w:sz w:val="28"/>
          <w:lang w:eastAsia="zh-CN"/>
        </w:rPr>
        <w:t>实验路线对照</w:t>
      </w:r>
    </w:p>
    <w:p w14:paraId="36153305">
      <w:pPr>
        <w:pBdr>
          <w:bottom w:val="single" w:color="000000" w:sz="18" w:space="4"/>
        </w:pBdr>
        <w:spacing w:before="280" w:after="160"/>
        <w:rPr>
          <w:lang w:eastAsia="zh-CN"/>
        </w:rPr>
      </w:pPr>
      <w:r>
        <w:rPr>
          <w:b/>
          <w:sz w:val="32"/>
          <w:lang w:eastAsia="zh-CN"/>
        </w:rPr>
        <w:t>第一部分　问题清单</w:t>
      </w:r>
    </w:p>
    <w:p w14:paraId="6653059B">
      <w:pPr>
        <w:spacing w:before="200" w:after="80"/>
        <w:rPr>
          <w:lang w:eastAsia="zh-CN"/>
        </w:rPr>
      </w:pPr>
      <w:r>
        <w:rPr>
          <w:b/>
          <w:sz w:val="24"/>
          <w:lang w:eastAsia="zh-CN"/>
        </w:rPr>
        <w:t>一、核心问题</w:t>
      </w:r>
    </w:p>
    <w:p w14:paraId="1A0AED64">
      <w:pPr>
        <w:spacing w:after="100"/>
        <w:ind w:left="454" w:hanging="454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这篇论文</w:t>
      </w:r>
      <w:r>
        <w:rPr>
          <w:rFonts w:hint="eastAsia"/>
          <w:lang w:eastAsia="zh-CN"/>
        </w:rPr>
        <w:t>过去</w:t>
      </w:r>
      <w:r>
        <w:rPr>
          <w:lang w:eastAsia="zh-CN"/>
        </w:rPr>
        <w:t>有没有评估 WSS 或 OSI？如果有，WSS 误差和速度 / 压力误差相比如何？</w:t>
      </w:r>
    </w:p>
    <w:p w14:paraId="3041E641">
      <w:pPr>
        <w:spacing w:after="100"/>
        <w:ind w:left="454" w:hanging="454"/>
      </w:pPr>
      <w:r>
        <w:rPr>
          <w:b/>
        </w:rPr>
        <w:t xml:space="preserve">2. </w:t>
      </w:r>
      <w:r>
        <w:t>点云重采样到 10,000 点后，壁面 / 近壁点如何保留？</w:t>
      </w:r>
    </w:p>
    <w:p w14:paraId="6C85DBA5">
      <w:pPr>
        <w:spacing w:after="100"/>
        <w:ind w:left="454" w:hanging="454"/>
      </w:pPr>
      <w:r>
        <w:rPr>
          <w:rFonts w:hint="eastAsia"/>
          <w:b/>
          <w:lang w:eastAsia="zh-CN"/>
        </w:rPr>
        <w:t>3</w:t>
      </w:r>
      <w:r>
        <w:rPr>
          <w:b/>
        </w:rPr>
        <w:t xml:space="preserve">. </w:t>
      </w:r>
      <w:r>
        <w:t>PINNs 物理残差是在重采样点上算，还是在额外 collocation points 上算？</w:t>
      </w:r>
    </w:p>
    <w:p w14:paraId="7B7EC0F7">
      <w:pPr>
        <w:spacing w:after="100"/>
        <w:ind w:left="454" w:hanging="454"/>
      </w:pPr>
      <w:r>
        <w:rPr>
          <w:rFonts w:hint="eastAsia"/>
          <w:b/>
          <w:lang w:eastAsia="zh-CN"/>
        </w:rPr>
        <w:t>4</w:t>
      </w:r>
      <w:r>
        <w:rPr>
          <w:b/>
        </w:rPr>
        <w:t xml:space="preserve">. </w:t>
      </w:r>
      <w:r>
        <w:t>训练 15000 epoch 时，best checkpoint 如何选择？是否观察过 early peak 或过拟合？</w:t>
      </w:r>
    </w:p>
    <w:p w14:paraId="3FA9FF49">
      <w:pPr>
        <w:spacing w:after="100"/>
        <w:ind w:left="454" w:hanging="454"/>
        <w:rPr>
          <w:lang w:eastAsia="zh-CN"/>
        </w:rPr>
      </w:pPr>
      <w:r>
        <w:rPr>
          <w:rFonts w:hint="eastAsia"/>
          <w:b/>
          <w:lang w:eastAsia="zh-CN"/>
        </w:rPr>
        <w:t>5</w:t>
      </w:r>
      <w:r>
        <w:rPr>
          <w:b/>
          <w:lang w:eastAsia="zh-CN"/>
        </w:rPr>
        <w:t xml:space="preserve">. </w:t>
      </w:r>
      <w:r>
        <w:rPr>
          <w:lang w:eastAsia="zh-CN"/>
        </w:rPr>
        <w:t>如果换成患者特异入口流量，模型是否需要重新训练？</w:t>
      </w:r>
    </w:p>
    <w:p w14:paraId="3BA4DB01">
      <w:pPr>
        <w:spacing w:after="100"/>
        <w:ind w:left="454" w:hanging="454"/>
        <w:rPr>
          <w:lang w:eastAsia="zh-CN"/>
        </w:rPr>
      </w:pPr>
      <w:r>
        <w:rPr>
          <w:rFonts w:hint="eastAsia"/>
          <w:b/>
          <w:lang w:eastAsia="zh-CN"/>
        </w:rPr>
        <w:t>6</w:t>
      </w:r>
      <w:r>
        <w:rPr>
          <w:b/>
          <w:lang w:eastAsia="zh-CN"/>
        </w:rPr>
        <w:t xml:space="preserve">. </w:t>
      </w:r>
      <w:r>
        <w:rPr>
          <w:lang w:eastAsia="zh-CN"/>
        </w:rPr>
        <w:t>论文 / 答辩里的云图：CFD 真值是全网格还是 10,000 重采样点？预测是否插值回壁面 / 体网格后才出图？</w:t>
      </w:r>
    </w:p>
    <w:p w14:paraId="01FB3185">
      <w:pPr>
        <w:spacing w:after="100"/>
        <w:ind w:left="454" w:hanging="454"/>
        <w:rPr>
          <w:rFonts w:hint="default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7</w:t>
      </w:r>
      <w:r>
        <w:rPr>
          <w:rFonts w:hint="default" w:ascii="Times New Roman Bold" w:hAnsi="Times New Roman Bold" w:cs="Times New Roman Bold"/>
          <w:b/>
          <w:bCs/>
          <w:lang w:eastAsia="zh-CN"/>
        </w:rPr>
        <w:t xml:space="preserve">. </w:t>
      </w:r>
      <w:r>
        <w:rPr>
          <w:rFonts w:hint="eastAsia"/>
          <w:lang w:val="en-US" w:eastAsia="zh-CN"/>
        </w:rPr>
        <w:t>代码能否开源？模型权重是否可给？</w:t>
      </w:r>
    </w:p>
    <w:p w14:paraId="4CC705BC">
      <w:pPr>
        <w:spacing w:before="120" w:after="40"/>
        <w:rPr>
          <w:lang w:eastAsia="zh-CN"/>
        </w:rPr>
      </w:pPr>
      <w:r>
        <w:rPr>
          <w:b/>
          <w:lang w:eastAsia="zh-CN"/>
        </w:rPr>
        <w:t>▍ WSS 为什么是背景变量而非输出？</w:t>
      </w:r>
    </w:p>
    <w:p w14:paraId="0A33D065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论文反复强调 WSS 对动脉瘤形成 / 破裂的重要性，但模型只输出 Vx/Vy/Vz/P。</w:t>
      </w:r>
    </w:p>
    <w:p w14:paraId="00CE7708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→ 作者有没有从预测速度场进一步计算 WSS？误差多少？</w:t>
      </w:r>
    </w:p>
    <w:p w14:paraId="0BB91433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→ 壁面速度梯度对点云重采样和插值是否敏感？速度 NMAE 低能否保证 WSS 也低？</w:t>
      </w:r>
    </w:p>
    <w:p w14:paraId="56489509">
      <w:pPr>
        <w:spacing w:before="120" w:after="40"/>
        <w:rPr>
          <w:lang w:eastAsia="zh-CN"/>
        </w:rPr>
      </w:pPr>
      <w:r>
        <w:rPr>
          <w:b/>
          <w:lang w:eastAsia="zh-CN"/>
        </w:rPr>
        <w:t>▍ 物理残差的计算口径</w:t>
      </w:r>
    </w:p>
    <w:p w14:paraId="398A5B91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→ 物理残差点是否就是训练点（重采样 10,000 点）？空间分辨率是否受采样影响？</w:t>
      </w:r>
    </w:p>
    <w:p w14:paraId="69F72144">
      <w:pPr>
        <w:spacing w:before="120" w:after="40"/>
        <w:rPr>
          <w:rFonts w:hint="eastAsia"/>
          <w:color w:val="EE0000"/>
          <w:lang w:eastAsia="zh-CN"/>
        </w:rPr>
      </w:pPr>
      <w:r>
        <w:rPr>
          <w:b/>
          <w:color w:val="EE0000"/>
          <w:lang w:eastAsia="zh-CN"/>
        </w:rPr>
        <w:t>▍ 点云预处理单独使用为何变差 / 是否损害 WSS</w:t>
      </w:r>
      <w:r>
        <w:rPr>
          <w:rFonts w:hint="eastAsia"/>
          <w:b/>
          <w:color w:val="EE0000"/>
          <w:lang w:eastAsia="zh-CN"/>
        </w:rPr>
        <w:t>（后续自己需要的内容）</w:t>
      </w:r>
    </w:p>
    <w:p w14:paraId="48C41AE0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 xml:space="preserve">→ </w:t>
      </w:r>
      <w:r>
        <w:rPr>
          <w:rFonts w:hint="eastAsia"/>
          <w:sz w:val="20"/>
          <w:lang w:eastAsia="zh-CN"/>
        </w:rPr>
        <w:t>均匀化采样</w:t>
      </w:r>
      <w:r>
        <w:rPr>
          <w:sz w:val="20"/>
          <w:lang w:eastAsia="zh-CN"/>
        </w:rPr>
        <w:t>10,000 点是否损失了壁面边界层高梯度信息？距离加权插值是否平滑了局部极值？</w:t>
      </w:r>
    </w:p>
    <w:p w14:paraId="2BFBCFCE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→ 若目标是 WSS / OSI，是否应保留更多壁面 / 近壁点，而非追求全域均匀？</w:t>
      </w:r>
    </w:p>
    <w:p w14:paraId="765FCDA0">
      <w:pPr>
        <w:spacing w:before="120" w:after="40"/>
        <w:rPr>
          <w:lang w:eastAsia="zh-CN"/>
        </w:rPr>
      </w:pPr>
      <w:r>
        <w:rPr>
          <w:b/>
          <w:lang w:eastAsia="zh-CN"/>
        </w:rPr>
        <w:t>▍ 评价指标是否掩盖局部高误差</w:t>
      </w:r>
    </w:p>
    <w:p w14:paraId="54607161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 xml:space="preserve">论文用 NMAE 不用 </w:t>
      </w:r>
      <w:r>
        <w:rPr>
          <w:rFonts w:hint="eastAsia"/>
          <w:sz w:val="20"/>
          <w:lang w:eastAsia="zh-CN"/>
        </w:rPr>
        <w:t>点级</w:t>
      </w:r>
      <w:r>
        <w:rPr>
          <w:sz w:val="20"/>
          <w:lang w:eastAsia="zh-CN"/>
        </w:rPr>
        <w:t>R²。</w:t>
      </w:r>
    </w:p>
    <w:p w14:paraId="12EA72A1">
      <w:pPr>
        <w:spacing w:after="40" w:line="269" w:lineRule="auto"/>
        <w:ind w:left="340"/>
      </w:pPr>
      <w:r>
        <w:rPr>
          <w:sz w:val="20"/>
        </w:rPr>
        <w:t>→ 有没有 per-component R²？高速度 / 高压力梯度区域、瘤颈、outlet、二次流分量的单独误差？</w:t>
      </w:r>
    </w:p>
    <w:p w14:paraId="473C3C8A">
      <w:pPr>
        <w:spacing w:after="40" w:line="269" w:lineRule="auto"/>
        <w:ind w:left="340"/>
      </w:pPr>
      <w:r>
        <w:rPr>
          <w:sz w:val="20"/>
        </w:rPr>
        <w:t>→ 有没有壁面附近单独误差？</w:t>
      </w:r>
    </w:p>
    <w:p w14:paraId="6CEB60DB">
      <w:pPr>
        <w:spacing w:before="120" w:after="40"/>
        <w:rPr>
          <w:color w:val="FF0000"/>
        </w:rPr>
      </w:pPr>
      <w:r>
        <w:rPr>
          <w:b/>
          <w:color w:val="FF0000"/>
        </w:rPr>
        <w:t>▍ 边界条件经验化与泛化</w:t>
      </w:r>
    </w:p>
    <w:p w14:paraId="1CEFB2E3">
      <w:pPr>
        <w:spacing w:after="40" w:line="269" w:lineRule="auto"/>
        <w:ind w:left="340"/>
      </w:pPr>
      <w:r>
        <w:rPr>
          <w:sz w:val="20"/>
        </w:rPr>
        <w:t>入口速度被调整到入口 WSS = 1.5 Pa，出口按面积平方律分配，非患者特异流量。</w:t>
      </w:r>
    </w:p>
    <w:p w14:paraId="32AE7593">
      <w:pPr>
        <w:spacing w:after="40" w:line="269" w:lineRule="auto"/>
        <w:ind w:left="340"/>
        <w:rPr>
          <w:rFonts w:hint="eastAsia"/>
          <w:lang w:eastAsia="zh-CN"/>
        </w:rPr>
      </w:pPr>
      <w:r>
        <w:rPr>
          <w:sz w:val="20"/>
          <w:lang w:eastAsia="zh-CN"/>
        </w:rPr>
        <w:t>→ 若有患者</w:t>
      </w:r>
      <w:r>
        <w:rPr>
          <w:rFonts w:hint="eastAsia"/>
          <w:sz w:val="20"/>
          <w:lang w:eastAsia="zh-CN"/>
        </w:rPr>
        <w:t>的</w:t>
      </w:r>
      <w:r>
        <w:rPr>
          <w:sz w:val="20"/>
          <w:lang w:eastAsia="zh-CN"/>
        </w:rPr>
        <w:t>特异入口流量，模型是否还能泛化？</w:t>
      </w:r>
      <w:r>
        <w:rPr>
          <w:rFonts w:hint="eastAsia"/>
          <w:sz w:val="20"/>
          <w:lang w:eastAsia="zh-CN"/>
        </w:rPr>
        <w:t>（本项目采用）</w:t>
      </w:r>
    </w:p>
    <w:p w14:paraId="69E14A56">
      <w:pPr>
        <w:spacing w:after="40" w:line="269" w:lineRule="auto"/>
        <w:ind w:left="340"/>
      </w:pPr>
      <w:r>
        <w:rPr>
          <w:sz w:val="20"/>
        </w:rPr>
        <w:t>→ 模型学到的是几何→标准化 CFD 场，还是几何→真实生理场？多中心 BC 不一致会否泛化失败？</w:t>
      </w:r>
    </w:p>
    <w:p w14:paraId="02EDBF74">
      <w:pPr>
        <w:spacing w:before="120" w:after="40"/>
        <w:rPr>
          <w:lang w:eastAsia="zh-CN"/>
        </w:rPr>
      </w:pPr>
      <w:r>
        <w:rPr>
          <w:b/>
          <w:lang w:eastAsia="zh-CN"/>
        </w:rPr>
        <w:t>▍ 云图分辨率矛盾（重点）</w:t>
      </w:r>
    </w:p>
    <w:p w14:paraId="75D6826E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数值指标在同一套 10,000 点上算（真值已由体素内距离加权插值得到，同点逐点比）。</w:t>
      </w:r>
    </w:p>
    <w:p w14:paraId="6C6CB9E2">
      <w:pPr>
        <w:spacing w:after="40" w:line="269" w:lineRule="auto"/>
        <w:ind w:left="340"/>
        <w:rPr>
          <w:lang w:eastAsia="zh-CN"/>
        </w:rPr>
      </w:pPr>
      <w:r>
        <w:rPr>
          <w:sz w:val="20"/>
          <w:lang w:eastAsia="zh-CN"/>
        </w:rPr>
        <w:t>→ 正文 CFD 参考图是全网格还是 10,000 点？预测图是点云直接画还是插值回网格？</w:t>
      </w:r>
    </w:p>
    <w:p w14:paraId="74738B76">
      <w:pPr>
        <w:spacing w:after="40" w:line="269" w:lineRule="auto"/>
        <w:ind w:left="340"/>
        <w:rPr>
          <w:lang w:eastAsia="zh-CN"/>
        </w:rPr>
      </w:pPr>
      <w:r>
        <w:rPr>
          <w:lang w:eastAsia="zh-CN"/>
        </w:rPr>
        <w:br w:type="page"/>
      </w:r>
    </w:p>
    <w:p w14:paraId="0FBA1246">
      <w:pPr>
        <w:pBdr>
          <w:bottom w:val="single" w:color="000000" w:sz="18" w:space="4"/>
        </w:pBdr>
        <w:spacing w:before="280" w:after="160"/>
        <w:rPr>
          <w:lang w:eastAsia="zh-CN"/>
        </w:rPr>
      </w:pPr>
      <w:r>
        <w:rPr>
          <w:b/>
          <w:sz w:val="32"/>
          <w:lang w:eastAsia="zh-CN"/>
        </w:rPr>
        <w:t>第二部分　实验路线总结与对照</w:t>
      </w:r>
    </w:p>
    <w:p w14:paraId="0C688D93">
      <w:pPr>
        <w:spacing w:before="20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一、路线：从速度 / 压力场到壁面 WSS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102"/>
        <w:gridCol w:w="3984"/>
      </w:tblGrid>
      <w:tr w14:paraId="62B7AEB3">
        <w:trPr>
          <w:jc w:val="center"/>
        </w:trPr>
        <w:tc>
          <w:tcPr>
            <w:tcW w:w="940" w:type="pct"/>
            <w:shd w:val="clear" w:color="auto" w:fill="FFFFFF"/>
          </w:tcPr>
          <w:p w14:paraId="220BF6BA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阶段</w:t>
            </w:r>
          </w:p>
        </w:tc>
        <w:tc>
          <w:tcPr>
            <w:tcW w:w="2059" w:type="pct"/>
            <w:shd w:val="clear" w:color="auto" w:fill="FFFFFF"/>
          </w:tcPr>
          <w:p w14:paraId="40050B7F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目标与做法</w:t>
            </w:r>
          </w:p>
        </w:tc>
        <w:tc>
          <w:tcPr>
            <w:tcW w:w="2000" w:type="pct"/>
            <w:shd w:val="clear" w:color="auto" w:fill="FFFFFF"/>
          </w:tcPr>
          <w:p w14:paraId="1C96DD62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关键结果</w:t>
            </w:r>
          </w:p>
        </w:tc>
      </w:tr>
      <w:tr w14:paraId="730148F0">
        <w:trPr>
          <w:jc w:val="center"/>
        </w:trPr>
        <w:tc>
          <w:tcPr>
            <w:tcW w:w="940" w:type="pct"/>
            <w:vAlign w:val="center"/>
          </w:tcPr>
          <w:p w14:paraId="3BB5E869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 · 速度 / 压力场重建</w:t>
            </w:r>
          </w:p>
        </w:tc>
        <w:tc>
          <w:tcPr>
            <w:tcW w:w="2059" w:type="pct"/>
          </w:tcPr>
          <w:p w14:paraId="4CA1E6C0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预测目标 [0:3]=u,v,w；[3]=p。主指标 interior RMSE|v|、R2_p、分区域误差。</w:t>
            </w:r>
          </w:p>
        </w:tc>
        <w:tc>
          <w:tcPr>
            <w:tcW w:w="2000" w:type="pct"/>
          </w:tcPr>
          <w:p w14:paraId="7A1E2F1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压力较易学（R2_p 多在 ~0.92）；速度有中等信号，A-Opt-05 r2_vel_mag≈0.58。</w:t>
            </w:r>
          </w:p>
        </w:tc>
      </w:tr>
      <w:tr w14:paraId="7EACB1D0">
        <w:trPr>
          <w:jc w:val="center"/>
        </w:trPr>
        <w:tc>
          <w:tcPr>
            <w:tcW w:w="940" w:type="pct"/>
            <w:shd w:val="clear" w:color="auto" w:fill="FFFFFF"/>
            <w:vAlign w:val="center"/>
          </w:tcPr>
          <w:p w14:paraId="13581940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V2 / V3 · 转向壁面 WSS</w:t>
            </w:r>
          </w:p>
        </w:tc>
        <w:tc>
          <w:tcPr>
            <w:tcW w:w="2059" w:type="pct"/>
            <w:shd w:val="clear" w:color="auto" w:fill="FFFFFF"/>
          </w:tcPr>
          <w:p w14:paraId="35CD5BA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  <w:lang w:eastAsia="zh-CN"/>
              </w:rPr>
              <w:t>WSS=壁面切向速度梯度，比速度 / 压力更高频；临床更关心高 WSS 区与病例级风险。</w:t>
            </w:r>
            <w:r>
              <w:rPr>
                <w:sz w:val="20"/>
                <w:szCs w:val="24"/>
              </w:rPr>
              <w:t>改 wall-rich 采样（~13000 壁面 + 2000 近壁）。</w:t>
            </w:r>
          </w:p>
        </w:tc>
        <w:tc>
          <w:tcPr>
            <w:tcW w:w="2000" w:type="pct"/>
            <w:shd w:val="clear" w:color="auto" w:fill="FFFFFF"/>
          </w:tcPr>
          <w:p w14:paraId="2242FB3A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A-*-wss-multi 壁面 WSS R²≈0.46，但后续路线未稳定复现；直接优化速度场有时压制 WSS。</w:t>
            </w:r>
          </w:p>
        </w:tc>
      </w:tr>
      <w:tr w14:paraId="47E9F912">
        <w:trPr>
          <w:jc w:val="center"/>
        </w:trPr>
        <w:tc>
          <w:tcPr>
            <w:tcW w:w="940" w:type="pct"/>
            <w:vAlign w:val="center"/>
          </w:tcPr>
          <w:p w14:paraId="422E7F49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当前 · G4 壁面 2D 换轨</w:t>
            </w:r>
          </w:p>
        </w:tc>
        <w:tc>
          <w:tcPr>
            <w:tcW w:w="2059" w:type="pct"/>
          </w:tcPr>
          <w:p w14:paraId="0CD5DDA1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WSS 是壁面场，在 (s,</w:t>
            </w:r>
            <w:r>
              <w:rPr>
                <w:sz w:val="20"/>
                <w:szCs w:val="24"/>
              </w:rPr>
              <w:t>θ</w:t>
            </w:r>
            <w:r>
              <w:rPr>
                <w:sz w:val="20"/>
                <w:szCs w:val="24"/>
                <w:lang w:eastAsia="zh-CN"/>
              </w:rPr>
              <w:t>) 域更低秩；转向 2D 壁面展开与内禀标架。</w:t>
            </w:r>
          </w:p>
        </w:tc>
        <w:tc>
          <w:tcPr>
            <w:tcW w:w="2000" w:type="pct"/>
          </w:tcPr>
          <w:p w14:paraId="03A40F42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post5463 基线 wss_r2_wss=0.425±0.012；G4 POD oracle 0.672，单 case 2D U-Net 过拟合 R²=0.954；瓶颈 global wss_x/y 横向分量长期≈0。</w:t>
            </w:r>
          </w:p>
        </w:tc>
      </w:tr>
    </w:tbl>
    <w:p w14:paraId="265D60E7">
      <w:pPr>
        <w:spacing w:before="200" w:after="80"/>
        <w:rPr>
          <w:lang w:eastAsia="zh-CN"/>
        </w:rPr>
      </w:pPr>
      <w:r>
        <w:rPr>
          <w:b/>
          <w:sz w:val="24"/>
          <w:lang w:eastAsia="zh-CN"/>
        </w:rPr>
        <w:t>二、V3 已验证：「加速度 / 速度上下文能否帮助 WSS」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078"/>
        <w:gridCol w:w="3003"/>
        <w:gridCol w:w="2572"/>
      </w:tblGrid>
      <w:tr w14:paraId="03973931">
        <w:trPr>
          <w:jc w:val="center"/>
        </w:trPr>
        <w:tc>
          <w:tcPr>
            <w:tcW w:w="1157" w:type="pct"/>
            <w:shd w:val="clear" w:color="auto" w:fill="FFFFFF"/>
          </w:tcPr>
          <w:p w14:paraId="675B35AA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实验 / 路线</w:t>
            </w:r>
          </w:p>
        </w:tc>
        <w:tc>
          <w:tcPr>
            <w:tcW w:w="1043" w:type="pct"/>
            <w:shd w:val="clear" w:color="auto" w:fill="FFFFFF"/>
          </w:tcPr>
          <w:p w14:paraId="312699FE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验证的问题</w:t>
            </w:r>
          </w:p>
        </w:tc>
        <w:tc>
          <w:tcPr>
            <w:tcW w:w="1507" w:type="pct"/>
            <w:shd w:val="clear" w:color="auto" w:fill="FFFFFF"/>
          </w:tcPr>
          <w:p w14:paraId="30EE79F2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关键结果</w:t>
            </w:r>
          </w:p>
        </w:tc>
        <w:tc>
          <w:tcPr>
            <w:tcW w:w="1291" w:type="pct"/>
            <w:shd w:val="clear" w:color="auto" w:fill="FFFFFF"/>
          </w:tcPr>
          <w:p w14:paraId="47C8F621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结论</w:t>
            </w:r>
          </w:p>
        </w:tc>
      </w:tr>
      <w:tr w14:paraId="6F00F217">
        <w:trPr>
          <w:jc w:val="center"/>
        </w:trPr>
        <w:tc>
          <w:tcPr>
            <w:tcW w:w="1157" w:type="pct"/>
            <w:vAlign w:val="center"/>
          </w:tcPr>
          <w:p w14:paraId="5B79C12D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V3P-Probe-VWSS-01</w:t>
            </w:r>
          </w:p>
        </w:tc>
        <w:tc>
          <w:tcPr>
            <w:tcW w:w="1043" w:type="pct"/>
          </w:tcPr>
          <w:p w14:paraId="68F4B3E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速度上下文是否帮助 WSS</w:t>
            </w:r>
          </w:p>
        </w:tc>
        <w:tc>
          <w:tcPr>
            <w:tcW w:w="1507" w:type="pct"/>
          </w:tcPr>
          <w:p w14:paraId="0EA6E650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wss_r2=0.343 &lt; 单目标 0.397；vel_mag=0.074</w:t>
            </w:r>
          </w:p>
        </w:tc>
        <w:tc>
          <w:tcPr>
            <w:tcW w:w="1291" w:type="pct"/>
          </w:tcPr>
          <w:p w14:paraId="33DE376C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速度监督同时压低两目标</w:t>
            </w:r>
          </w:p>
        </w:tc>
      </w:tr>
      <w:tr w14:paraId="1855F520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12543D9E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V3P-F-30a-VelSup</w:t>
            </w:r>
          </w:p>
        </w:tc>
        <w:tc>
          <w:tcPr>
            <w:tcW w:w="1043" w:type="pct"/>
            <w:shd w:val="clear" w:color="auto" w:fill="FFFFFF"/>
          </w:tcPr>
          <w:p w14:paraId="44CC810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加内部速度 / no-slip 监督</w:t>
            </w:r>
          </w:p>
        </w:tc>
        <w:tc>
          <w:tcPr>
            <w:tcW w:w="1507" w:type="pct"/>
            <w:shd w:val="clear" w:color="auto" w:fill="FFFFFF"/>
          </w:tcPr>
          <w:p w14:paraId="747EF74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best_wss=0.364，比母版 0.399 低 0.035</w:t>
            </w:r>
          </w:p>
        </w:tc>
        <w:tc>
          <w:tcPr>
            <w:tcW w:w="1291" w:type="pct"/>
            <w:shd w:val="clear" w:color="auto" w:fill="FFFFFF"/>
          </w:tcPr>
          <w:p w14:paraId="45E25EA7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速度改善 ≠ WSS 改善</w:t>
            </w:r>
          </w:p>
        </w:tc>
      </w:tr>
      <w:tr w14:paraId="6376D123">
        <w:trPr>
          <w:jc w:val="center"/>
        </w:trPr>
        <w:tc>
          <w:tcPr>
            <w:tcW w:w="1157" w:type="pct"/>
            <w:vAlign w:val="center"/>
          </w:tcPr>
          <w:p w14:paraId="34A998E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V3P-F-30b-VelConsist</w:t>
            </w:r>
          </w:p>
        </w:tc>
        <w:tc>
          <w:tcPr>
            <w:tcW w:w="1043" w:type="pct"/>
          </w:tcPr>
          <w:p w14:paraId="695BAC4F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速度-WSS 一致性 loss</w:t>
            </w:r>
          </w:p>
        </w:tc>
        <w:tc>
          <w:tcPr>
            <w:tcW w:w="1507" w:type="pct"/>
          </w:tcPr>
          <w:p w14:paraId="7CEE3D1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best_wss=0.321</w:t>
            </w:r>
          </w:p>
        </w:tc>
        <w:tc>
          <w:tcPr>
            <w:tcW w:w="1291" w:type="pct"/>
          </w:tcPr>
          <w:p w14:paraId="5AAABF3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比 VelSup 更差</w:t>
            </w:r>
          </w:p>
        </w:tc>
      </w:tr>
      <w:tr w14:paraId="0D26F5A4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604206FA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V3P-F-33-Slope</w:t>
            </w:r>
          </w:p>
        </w:tc>
        <w:tc>
          <w:tcPr>
            <w:tcW w:w="1043" w:type="pct"/>
            <w:shd w:val="clear" w:color="auto" w:fill="FFFFFF"/>
          </w:tcPr>
          <w:p w14:paraId="601287CD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速度斜率约束辅助 WSS</w:t>
            </w:r>
          </w:p>
        </w:tc>
        <w:tc>
          <w:tcPr>
            <w:tcW w:w="1507" w:type="pct"/>
            <w:shd w:val="clear" w:color="auto" w:fill="FFFFFF"/>
          </w:tcPr>
          <w:p w14:paraId="41F09B4A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best_wss=0.381</w:t>
            </w:r>
          </w:p>
        </w:tc>
        <w:tc>
          <w:tcPr>
            <w:tcW w:w="1291" w:type="pct"/>
            <w:shd w:val="clear" w:color="auto" w:fill="FFFFFF"/>
          </w:tcPr>
          <w:p w14:paraId="46823B3A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仍低于 4957 母版</w:t>
            </w:r>
          </w:p>
        </w:tc>
      </w:tr>
      <w:tr w14:paraId="1091880C">
        <w:trPr>
          <w:jc w:val="center"/>
        </w:trPr>
        <w:tc>
          <w:tcPr>
            <w:tcW w:w="1157" w:type="pct"/>
            <w:vAlign w:val="center"/>
          </w:tcPr>
          <w:p w14:paraId="2AAA58B1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V3P-F-30c-VelDiffInfer</w:t>
            </w:r>
          </w:p>
        </w:tc>
        <w:tc>
          <w:tcPr>
            <w:tcW w:w="1043" w:type="pct"/>
          </w:tcPr>
          <w:p w14:paraId="6419360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速度差分直接推 WSS</w:t>
            </w:r>
          </w:p>
        </w:tc>
        <w:tc>
          <w:tcPr>
            <w:tcW w:w="1507" w:type="pct"/>
          </w:tcPr>
          <w:p w14:paraId="363B499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强 No-Go，WSS R² 大幅负，成本极高</w:t>
            </w:r>
          </w:p>
        </w:tc>
        <w:tc>
          <w:tcPr>
            <w:tcW w:w="1291" w:type="pct"/>
          </w:tcPr>
          <w:p w14:paraId="1B8320E4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direct vel_diff 线关闭</w:t>
            </w:r>
          </w:p>
        </w:tc>
      </w:tr>
      <w:tr w14:paraId="77C1250D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3A1CF732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V3P-F-PCv2-BLContext</w:t>
            </w:r>
          </w:p>
        </w:tc>
        <w:tc>
          <w:tcPr>
            <w:tcW w:w="1043" w:type="pct"/>
            <w:shd w:val="clear" w:color="auto" w:fill="FFFFFF"/>
          </w:tcPr>
          <w:p w14:paraId="044413E8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压力梯度 + 近壁差分输入</w:t>
            </w:r>
          </w:p>
        </w:tc>
        <w:tc>
          <w:tcPr>
            <w:tcW w:w="1507" w:type="pct"/>
            <w:shd w:val="clear" w:color="auto" w:fill="FFFFFF"/>
          </w:tcPr>
          <w:p w14:paraId="42BC5D7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best_wss≈0.399，未超 PGradFeat 0.406</w:t>
            </w:r>
          </w:p>
        </w:tc>
        <w:tc>
          <w:tcPr>
            <w:tcW w:w="1291" w:type="pct"/>
            <w:shd w:val="clear" w:color="auto" w:fill="FFFFFF"/>
          </w:tcPr>
          <w:p w14:paraId="4F5B2C5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近壁上下文不足以突破</w:t>
            </w:r>
          </w:p>
        </w:tc>
      </w:tr>
    </w:tbl>
    <w:p w14:paraId="47B751F1">
      <w:pPr>
        <w:spacing w:before="40" w:after="60" w:line="283" w:lineRule="auto"/>
      </w:pPr>
    </w:p>
    <w:p w14:paraId="5ECF6BE2">
      <w:pPr>
        <w:spacing w:before="200" w:after="80"/>
        <w:rPr>
          <w:lang w:eastAsia="zh-CN"/>
        </w:rPr>
      </w:pPr>
      <w:r>
        <w:rPr>
          <w:b/>
          <w:sz w:val="24"/>
          <w:lang w:eastAsia="zh-CN"/>
        </w:rPr>
        <w:t>三、与</w:t>
      </w:r>
      <w:r>
        <w:rPr>
          <w:rFonts w:hint="eastAsia"/>
          <w:b/>
          <w:sz w:val="24"/>
          <w:lang w:eastAsia="zh-CN"/>
        </w:rPr>
        <w:t>论文</w:t>
      </w:r>
      <w:r>
        <w:rPr>
          <w:b/>
          <w:sz w:val="24"/>
          <w:lang w:eastAsia="zh-CN"/>
        </w:rPr>
        <w:t>的系统对照</w:t>
      </w:r>
    </w:p>
    <w:p w14:paraId="566A9511">
      <w:pPr>
        <w:spacing w:before="160" w:after="60" w:line="283" w:lineRule="auto"/>
      </w:pPr>
      <w:r>
        <w:rPr>
          <w:b/>
        </w:rPr>
        <w:t>3.1　数据集与任务对象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656"/>
        <w:gridCol w:w="2656"/>
        <w:gridCol w:w="3036"/>
      </w:tblGrid>
      <w:tr w14:paraId="5BB70554">
        <w:trPr>
          <w:jc w:val="center"/>
        </w:trPr>
        <w:tc>
          <w:tcPr>
            <w:tcW w:w="809" w:type="pct"/>
            <w:shd w:val="clear" w:color="auto" w:fill="FFFFFF"/>
          </w:tcPr>
          <w:p w14:paraId="51E59074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维度</w:t>
            </w:r>
          </w:p>
        </w:tc>
        <w:tc>
          <w:tcPr>
            <w:tcW w:w="1333" w:type="pct"/>
            <w:shd w:val="clear" w:color="auto" w:fill="FFFFFF"/>
          </w:tcPr>
          <w:p w14:paraId="6EE3A5D4">
            <w:pPr>
              <w:spacing w:before="20" w:after="20" w:line="252" w:lineRule="auto"/>
              <w:jc w:val="center"/>
              <w:rPr>
                <w:rFonts w:hint="eastAsia" w:eastAsia="宋体"/>
                <w:sz w:val="22"/>
                <w:szCs w:val="24"/>
                <w:lang w:eastAsia="zh-CN"/>
              </w:rPr>
            </w:pPr>
            <w:r>
              <w:rPr>
                <w:rFonts w:hint="eastAsia"/>
                <w:b/>
                <w:sz w:val="20"/>
                <w:szCs w:val="24"/>
                <w:lang w:eastAsia="zh-CN"/>
              </w:rPr>
              <w:t>论文</w:t>
            </w:r>
          </w:p>
        </w:tc>
        <w:tc>
          <w:tcPr>
            <w:tcW w:w="1333" w:type="pct"/>
            <w:shd w:val="clear" w:color="auto" w:fill="FFFFFF"/>
          </w:tcPr>
          <w:p w14:paraId="2E5DA13D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 速度 / 压力</w:t>
            </w:r>
          </w:p>
        </w:tc>
        <w:tc>
          <w:tcPr>
            <w:tcW w:w="1523" w:type="pct"/>
            <w:shd w:val="clear" w:color="auto" w:fill="FFFFFF"/>
          </w:tcPr>
          <w:p w14:paraId="58FF784D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V2 / V3 WSS</w:t>
            </w:r>
          </w:p>
        </w:tc>
      </w:tr>
      <w:tr w14:paraId="08CB05B0">
        <w:trPr>
          <w:jc w:val="center"/>
        </w:trPr>
        <w:tc>
          <w:tcPr>
            <w:tcW w:w="809" w:type="pct"/>
            <w:vAlign w:val="center"/>
          </w:tcPr>
          <w:p w14:paraId="17543BD0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解剖对象</w:t>
            </w:r>
          </w:p>
        </w:tc>
        <w:tc>
          <w:tcPr>
            <w:tcW w:w="1333" w:type="pct"/>
          </w:tcPr>
          <w:p w14:paraId="15875B4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右侧 ICA C3-C7，siphon，49/51 含瘤</w:t>
            </w:r>
          </w:p>
        </w:tc>
        <w:tc>
          <w:tcPr>
            <w:tcW w:w="1333" w:type="pct"/>
          </w:tcPr>
          <w:p w14:paraId="04C6706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AG 数据，fast/slow 病例，血管场重建</w:t>
            </w:r>
          </w:p>
        </w:tc>
        <w:tc>
          <w:tcPr>
            <w:tcW w:w="1523" w:type="pct"/>
          </w:tcPr>
          <w:p w14:paraId="4BD36B5F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AG-only V3P；另有 V3D 三域 AAA/AG/ILO</w:t>
            </w:r>
          </w:p>
        </w:tc>
      </w:tr>
      <w:tr w14:paraId="3FF694D2">
        <w:trPr>
          <w:jc w:val="center"/>
        </w:trPr>
        <w:tc>
          <w:tcPr>
            <w:tcW w:w="809" w:type="pct"/>
            <w:shd w:val="clear" w:color="auto" w:fill="FFFFFF"/>
            <w:vAlign w:val="center"/>
          </w:tcPr>
          <w:p w14:paraId="6FA5F32C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病例规模</w:t>
            </w:r>
          </w:p>
        </w:tc>
        <w:tc>
          <w:tcPr>
            <w:tcW w:w="1333" w:type="pct"/>
            <w:shd w:val="clear" w:color="auto" w:fill="FFFFFF"/>
          </w:tcPr>
          <w:p w14:paraId="4C6ECEB4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51 例；40 train / 11 test；4× 随机划分</w:t>
            </w:r>
          </w:p>
        </w:tc>
        <w:tc>
          <w:tcPr>
            <w:tcW w:w="1333" w:type="pct"/>
            <w:shd w:val="clear" w:color="auto" w:fill="FFFFFF"/>
          </w:tcPr>
          <w:p w14:paraId="51FCA2A3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split_AG_v1：60/8/18 例，约 81 图/例</w:t>
            </w:r>
          </w:p>
        </w:tc>
        <w:tc>
          <w:tcPr>
            <w:tcW w:w="1523" w:type="pct"/>
            <w:shd w:val="clear" w:color="auto" w:fill="FFFFFF"/>
          </w:tcPr>
          <w:p w14:paraId="63F8197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V3P：57/8/16 例；V3D train 179 例</w:t>
            </w:r>
          </w:p>
        </w:tc>
      </w:tr>
      <w:tr w14:paraId="3D463CE7">
        <w:trPr>
          <w:jc w:val="center"/>
        </w:trPr>
        <w:tc>
          <w:tcPr>
            <w:tcW w:w="809" w:type="pct"/>
            <w:vAlign w:val="center"/>
          </w:tcPr>
          <w:p w14:paraId="71B80FE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CFD 类型</w:t>
            </w:r>
          </w:p>
        </w:tc>
        <w:tc>
          <w:tcPr>
            <w:tcW w:w="1333" w:type="pct"/>
          </w:tcPr>
          <w:p w14:paraId="3D472C6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稳态 N-S；Fluent；~50 万 elements</w:t>
            </w:r>
          </w:p>
        </w:tc>
        <w:tc>
          <w:tcPr>
            <w:tcW w:w="1333" w:type="pct"/>
          </w:tcPr>
          <w:p w14:paraId="6E7EF4EE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CFD 图 / 点云快照，含时间 / 边界</w:t>
            </w:r>
          </w:p>
        </w:tc>
        <w:tc>
          <w:tcPr>
            <w:tcW w:w="1523" w:type="pct"/>
          </w:tcPr>
          <w:p w14:paraId="1787514A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同源 CFD 图资产，改 wall-rich / 近壁采样</w:t>
            </w:r>
          </w:p>
        </w:tc>
      </w:tr>
      <w:tr w14:paraId="121C1C42">
        <w:trPr>
          <w:jc w:val="center"/>
        </w:trPr>
        <w:tc>
          <w:tcPr>
            <w:tcW w:w="809" w:type="pct"/>
            <w:shd w:val="clear" w:color="auto" w:fill="FFFFFF"/>
            <w:vAlign w:val="center"/>
          </w:tcPr>
          <w:p w14:paraId="4A9B4C86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临床语境</w:t>
            </w:r>
          </w:p>
        </w:tc>
        <w:tc>
          <w:tcPr>
            <w:tcW w:w="1333" w:type="pct"/>
            <w:shd w:val="clear" w:color="auto" w:fill="FFFFFF"/>
          </w:tcPr>
          <w:p w14:paraId="42D38C04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脑动脉瘤与 ICA siphon 血流</w:t>
            </w:r>
          </w:p>
        </w:tc>
        <w:tc>
          <w:tcPr>
            <w:tcW w:w="1333" w:type="pct"/>
            <w:shd w:val="clear" w:color="auto" w:fill="FFFFFF"/>
          </w:tcPr>
          <w:p w14:paraId="48AF5F67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血流场重建，服务后续血流动力学</w:t>
            </w:r>
          </w:p>
        </w:tc>
        <w:tc>
          <w:tcPr>
            <w:tcW w:w="1523" w:type="pct"/>
            <w:shd w:val="clear" w:color="auto" w:fill="FFFFFF"/>
          </w:tcPr>
          <w:p w14:paraId="0AEBC61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壁面 WSS、压力、病例级 Pa p95、高 WSS 区</w:t>
            </w:r>
          </w:p>
        </w:tc>
      </w:tr>
    </w:tbl>
    <w:p w14:paraId="5B74BBA9">
      <w:pPr>
        <w:spacing w:before="40" w:after="60" w:line="283" w:lineRule="auto"/>
        <w:rPr>
          <w:sz w:val="22"/>
          <w:szCs w:val="24"/>
        </w:rPr>
      </w:pPr>
    </w:p>
    <w:p w14:paraId="28501844">
      <w:pPr>
        <w:spacing w:before="160" w:after="60" w:line="283" w:lineRule="auto"/>
        <w:rPr>
          <w:lang w:eastAsia="zh-CN"/>
        </w:rPr>
      </w:pPr>
      <w:r>
        <w:rPr>
          <w:b/>
          <w:lang w:eastAsia="zh-CN"/>
        </w:rPr>
        <w:t>3.2　点云采集、采样与预处理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656"/>
        <w:gridCol w:w="2656"/>
        <w:gridCol w:w="3036"/>
      </w:tblGrid>
      <w:tr w14:paraId="73DE4E82">
        <w:trPr>
          <w:jc w:val="center"/>
        </w:trPr>
        <w:tc>
          <w:tcPr>
            <w:tcW w:w="809" w:type="pct"/>
            <w:shd w:val="clear" w:color="auto" w:fill="FFFFFF"/>
          </w:tcPr>
          <w:p w14:paraId="23BFA253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维度</w:t>
            </w:r>
          </w:p>
        </w:tc>
        <w:tc>
          <w:tcPr>
            <w:tcW w:w="1333" w:type="pct"/>
            <w:shd w:val="clear" w:color="auto" w:fill="FFFFFF"/>
          </w:tcPr>
          <w:p w14:paraId="09C317C8">
            <w:pPr>
              <w:spacing w:before="20" w:after="20" w:line="252" w:lineRule="auto"/>
              <w:jc w:val="center"/>
              <w:rPr>
                <w:rFonts w:hint="eastAsia" w:eastAsia="宋体"/>
                <w:sz w:val="22"/>
                <w:szCs w:val="24"/>
                <w:lang w:eastAsia="zh-CN"/>
              </w:rPr>
            </w:pPr>
            <w:r>
              <w:rPr>
                <w:rFonts w:hint="eastAsia"/>
                <w:b/>
                <w:sz w:val="20"/>
                <w:szCs w:val="24"/>
                <w:lang w:eastAsia="zh-CN"/>
              </w:rPr>
              <w:t>论文</w:t>
            </w:r>
          </w:p>
        </w:tc>
        <w:tc>
          <w:tcPr>
            <w:tcW w:w="1333" w:type="pct"/>
            <w:shd w:val="clear" w:color="auto" w:fill="FFFFFF"/>
          </w:tcPr>
          <w:p w14:paraId="1C740E0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</w:t>
            </w:r>
          </w:p>
        </w:tc>
        <w:tc>
          <w:tcPr>
            <w:tcW w:w="1523" w:type="pct"/>
            <w:shd w:val="clear" w:color="auto" w:fill="FFFFFF"/>
          </w:tcPr>
          <w:p w14:paraId="2B4AE921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V2 / V3</w:t>
            </w:r>
          </w:p>
        </w:tc>
      </w:tr>
      <w:tr w14:paraId="7A4A661E">
        <w:trPr>
          <w:jc w:val="center"/>
        </w:trPr>
        <w:tc>
          <w:tcPr>
            <w:tcW w:w="809" w:type="pct"/>
            <w:vAlign w:val="center"/>
          </w:tcPr>
          <w:p w14:paraId="3276C1EB">
            <w:pPr>
              <w:spacing w:before="20" w:after="20" w:line="252" w:lineRule="auto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b/>
                <w:bCs w:val="0"/>
                <w:sz w:val="20"/>
                <w:szCs w:val="24"/>
              </w:rPr>
              <w:t>原始点来源</w:t>
            </w:r>
          </w:p>
        </w:tc>
        <w:tc>
          <w:tcPr>
            <w:tcW w:w="1333" w:type="pct"/>
          </w:tcPr>
          <w:p w14:paraId="10FA356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CFD mesh nodes（x/y/z/Vx/Vy/Vz/P）</w:t>
            </w:r>
          </w:p>
        </w:tc>
        <w:tc>
          <w:tcPr>
            <w:tcW w:w="1333" w:type="pct"/>
          </w:tcPr>
          <w:p w14:paraId="69DF92DF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PyG graph：坐标 + 几何 + 壁面标签 + 速度 / 压力</w:t>
            </w:r>
          </w:p>
        </w:tc>
        <w:tc>
          <w:tcPr>
            <w:tcW w:w="1523" w:type="pct"/>
          </w:tcPr>
          <w:p w14:paraId="411268C7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PyG graph + WSS 标签；wall / near-wall 分域</w:t>
            </w:r>
          </w:p>
        </w:tc>
      </w:tr>
      <w:tr w14:paraId="7347E12D">
        <w:trPr>
          <w:jc w:val="center"/>
        </w:trPr>
        <w:tc>
          <w:tcPr>
            <w:tcW w:w="809" w:type="pct"/>
            <w:shd w:val="clear" w:color="auto" w:fill="FFFFFF"/>
            <w:vAlign w:val="center"/>
          </w:tcPr>
          <w:p w14:paraId="133C8636">
            <w:pPr>
              <w:spacing w:before="20" w:after="20" w:line="252" w:lineRule="auto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b/>
                <w:bCs w:val="0"/>
                <w:sz w:val="20"/>
                <w:szCs w:val="24"/>
              </w:rPr>
              <w:t>点云均匀化</w:t>
            </w:r>
          </w:p>
        </w:tc>
        <w:tc>
          <w:tcPr>
            <w:tcW w:w="1333" w:type="pct"/>
            <w:shd w:val="clear" w:color="auto" w:fill="FFFFFF"/>
          </w:tcPr>
          <w:p w14:paraId="13F57C18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voxel 0.05mm；体素内随机点 + 距离加权插值</w:t>
            </w:r>
          </w:p>
        </w:tc>
        <w:tc>
          <w:tcPr>
            <w:tcW w:w="1333" w:type="pct"/>
            <w:shd w:val="clear" w:color="auto" w:fill="FFFFFF"/>
          </w:tcPr>
          <w:p w14:paraId="4BA65A3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FPS 20% 混合采样，kNN 图</w:t>
            </w:r>
          </w:p>
        </w:tc>
        <w:tc>
          <w:tcPr>
            <w:tcW w:w="1523" w:type="pct"/>
            <w:shd w:val="clear" w:color="auto" w:fill="FFFFFF"/>
          </w:tcPr>
          <w:p w14:paraId="47DFE45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wall-rich：~13000 壁面 + 2000 近壁内部点</w:t>
            </w:r>
          </w:p>
        </w:tc>
      </w:tr>
      <w:tr w14:paraId="6CC064A2">
        <w:trPr>
          <w:jc w:val="center"/>
        </w:trPr>
        <w:tc>
          <w:tcPr>
            <w:tcW w:w="809" w:type="pct"/>
            <w:vAlign w:val="center"/>
          </w:tcPr>
          <w:p w14:paraId="27967A0E">
            <w:pPr>
              <w:spacing w:before="20" w:after="20" w:line="252" w:lineRule="auto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b/>
                <w:bCs w:val="0"/>
                <w:sz w:val="20"/>
                <w:szCs w:val="24"/>
              </w:rPr>
              <w:t>每例点数</w:t>
            </w:r>
          </w:p>
        </w:tc>
        <w:tc>
          <w:tcPr>
            <w:tcW w:w="1333" w:type="pct"/>
          </w:tcPr>
          <w:p w14:paraId="52D5248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每病例 10,000 点</w:t>
            </w:r>
          </w:p>
        </w:tc>
        <w:tc>
          <w:tcPr>
            <w:tcW w:w="1333" w:type="pct"/>
          </w:tcPr>
          <w:p w14:paraId="55E841A3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按快照图采样并构图</w:t>
            </w:r>
          </w:p>
        </w:tc>
        <w:tc>
          <w:tcPr>
            <w:tcW w:w="1523" w:type="pct"/>
          </w:tcPr>
          <w:p w14:paraId="4A2AF330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面向壁面 WSS，远壁核心点被弱化</w:t>
            </w:r>
          </w:p>
        </w:tc>
      </w:tr>
      <w:tr w14:paraId="08409D06">
        <w:trPr>
          <w:jc w:val="center"/>
        </w:trPr>
        <w:tc>
          <w:tcPr>
            <w:tcW w:w="809" w:type="pct"/>
            <w:shd w:val="clear" w:color="auto" w:fill="FFFFFF"/>
            <w:vAlign w:val="center"/>
          </w:tcPr>
          <w:p w14:paraId="2BE17FC8">
            <w:pPr>
              <w:spacing w:before="20" w:after="20" w:line="252" w:lineRule="auto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b/>
                <w:bCs w:val="0"/>
                <w:sz w:val="20"/>
                <w:szCs w:val="24"/>
              </w:rPr>
              <w:t>均匀性评价</w:t>
            </w:r>
          </w:p>
        </w:tc>
        <w:tc>
          <w:tcPr>
            <w:tcW w:w="1333" w:type="pct"/>
            <w:shd w:val="clear" w:color="auto" w:fill="FFFFFF"/>
          </w:tcPr>
          <w:p w14:paraId="04EFE8E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uniform loss 26366→606，改善 97.70%</w:t>
            </w:r>
          </w:p>
        </w:tc>
        <w:tc>
          <w:tcPr>
            <w:tcW w:w="1333" w:type="pct"/>
            <w:shd w:val="clear" w:color="auto" w:fill="FFFFFF"/>
          </w:tcPr>
          <w:p w14:paraId="02C6F08A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更关注分区域误差、内部 / 壁面口径</w:t>
            </w:r>
          </w:p>
        </w:tc>
        <w:tc>
          <w:tcPr>
            <w:tcW w:w="1523" w:type="pct"/>
            <w:shd w:val="clear" w:color="auto" w:fill="FFFFFF"/>
          </w:tcPr>
          <w:p w14:paraId="250692F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G4 关注 (s,θ) grid occupancy、2D↔3D 损失</w:t>
            </w:r>
          </w:p>
        </w:tc>
      </w:tr>
      <w:tr w14:paraId="3029C98B">
        <w:trPr>
          <w:jc w:val="center"/>
        </w:trPr>
        <w:tc>
          <w:tcPr>
            <w:tcW w:w="809" w:type="pct"/>
            <w:vAlign w:val="center"/>
          </w:tcPr>
          <w:p w14:paraId="31D49565">
            <w:pPr>
              <w:spacing w:before="20" w:after="20" w:line="252" w:lineRule="auto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b/>
                <w:bCs w:val="0"/>
                <w:sz w:val="20"/>
                <w:szCs w:val="24"/>
              </w:rPr>
              <w:t>对 WSS 影响</w:t>
            </w:r>
          </w:p>
        </w:tc>
        <w:tc>
          <w:tcPr>
            <w:tcW w:w="1333" w:type="pct"/>
          </w:tcPr>
          <w:p w14:paraId="43740F98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未直接评估；均匀化可能平滑近壁梯度</w:t>
            </w:r>
          </w:p>
        </w:tc>
        <w:tc>
          <w:tcPr>
            <w:tcW w:w="1333" w:type="pct"/>
          </w:tcPr>
          <w:p w14:paraId="56871422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V1 非直接由速度梯度推 WSS</w:t>
            </w:r>
          </w:p>
        </w:tc>
        <w:tc>
          <w:tcPr>
            <w:tcW w:w="1523" w:type="pct"/>
          </w:tcPr>
          <w:p w14:paraId="171C34FF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强调壁面 / 近壁采样，避免 WSS 被稀释</w:t>
            </w:r>
          </w:p>
        </w:tc>
      </w:tr>
    </w:tbl>
    <w:p w14:paraId="4E25A818">
      <w:pPr>
        <w:spacing w:before="40" w:after="60" w:line="283" w:lineRule="auto"/>
        <w:rPr>
          <w:lang w:eastAsia="zh-CN"/>
        </w:rPr>
      </w:pPr>
    </w:p>
    <w:p w14:paraId="15AE8F51">
      <w:pPr>
        <w:spacing w:before="160" w:after="60" w:line="283" w:lineRule="auto"/>
      </w:pPr>
      <w:r>
        <w:rPr>
          <w:b/>
        </w:rPr>
        <w:t>3.3　输入特征与边界条件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395"/>
        <w:gridCol w:w="2740"/>
        <w:gridCol w:w="2943"/>
      </w:tblGrid>
      <w:tr w14:paraId="04BCD47B">
        <w:trPr>
          <w:jc w:val="center"/>
        </w:trPr>
        <w:tc>
          <w:tcPr>
            <w:tcW w:w="944" w:type="pct"/>
            <w:shd w:val="clear" w:color="auto" w:fill="FFFFFF"/>
          </w:tcPr>
          <w:p w14:paraId="64BCCDCC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维度</w:t>
            </w:r>
          </w:p>
        </w:tc>
        <w:tc>
          <w:tcPr>
            <w:tcW w:w="1202" w:type="pct"/>
            <w:shd w:val="clear" w:color="auto" w:fill="FFFFFF"/>
          </w:tcPr>
          <w:p w14:paraId="3A2FEDDE">
            <w:pPr>
              <w:spacing w:before="20" w:after="20" w:line="252" w:lineRule="auto"/>
              <w:jc w:val="center"/>
              <w:rPr>
                <w:rFonts w:hint="eastAsia" w:eastAsia="宋体"/>
                <w:sz w:val="22"/>
                <w:szCs w:val="24"/>
                <w:lang w:eastAsia="zh-CN"/>
              </w:rPr>
            </w:pPr>
            <w:r>
              <w:rPr>
                <w:rFonts w:hint="eastAsia"/>
                <w:b/>
                <w:sz w:val="20"/>
                <w:szCs w:val="24"/>
                <w:lang w:eastAsia="zh-CN"/>
              </w:rPr>
              <w:t>论文</w:t>
            </w:r>
          </w:p>
        </w:tc>
        <w:tc>
          <w:tcPr>
            <w:tcW w:w="1375" w:type="pct"/>
            <w:shd w:val="clear" w:color="auto" w:fill="FFFFFF"/>
          </w:tcPr>
          <w:p w14:paraId="5BC5208F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</w:t>
            </w:r>
          </w:p>
        </w:tc>
        <w:tc>
          <w:tcPr>
            <w:tcW w:w="1477" w:type="pct"/>
            <w:shd w:val="clear" w:color="auto" w:fill="FFFFFF"/>
          </w:tcPr>
          <w:p w14:paraId="347EEFA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V3</w:t>
            </w:r>
          </w:p>
        </w:tc>
      </w:tr>
      <w:tr w14:paraId="48009B31">
        <w:trPr>
          <w:jc w:val="center"/>
        </w:trPr>
        <w:tc>
          <w:tcPr>
            <w:tcW w:w="944" w:type="pct"/>
            <w:vAlign w:val="center"/>
          </w:tcPr>
          <w:p w14:paraId="5B301AFE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节点输入</w:t>
            </w:r>
          </w:p>
        </w:tc>
        <w:tc>
          <w:tcPr>
            <w:tcW w:w="1202" w:type="pct"/>
          </w:tcPr>
          <w:p w14:paraId="5F8877D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主要是 (x, y, z)</w:t>
            </w:r>
          </w:p>
        </w:tc>
        <w:tc>
          <w:tcPr>
            <w:tcW w:w="1375" w:type="pct"/>
          </w:tcPr>
          <w:p w14:paraId="116A265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x,y,z + Abscissa + NormRadius + Curvature + Tangent + is_wall</w:t>
            </w:r>
          </w:p>
        </w:tc>
        <w:tc>
          <w:tcPr>
            <w:tcW w:w="1477" w:type="pct"/>
          </w:tcPr>
          <w:p w14:paraId="304E5431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同 V1 几何；另有压力梯度、近壁差分、BL context 探针</w:t>
            </w:r>
          </w:p>
        </w:tc>
      </w:tr>
      <w:tr w14:paraId="4FDE4BDC">
        <w:trPr>
          <w:jc w:val="center"/>
        </w:trPr>
        <w:tc>
          <w:tcPr>
            <w:tcW w:w="944" w:type="pct"/>
            <w:shd w:val="clear" w:color="auto" w:fill="FFFFFF"/>
            <w:vAlign w:val="center"/>
          </w:tcPr>
          <w:p w14:paraId="5A4E73E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全局条件</w:t>
            </w:r>
          </w:p>
        </w:tc>
        <w:tc>
          <w:tcPr>
            <w:tcW w:w="1202" w:type="pct"/>
            <w:shd w:val="clear" w:color="auto" w:fill="FFFFFF"/>
          </w:tcPr>
          <w:p w14:paraId="0EC13B3D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未显式列 global_cond；BC 在 CFD 设置体现</w:t>
            </w:r>
          </w:p>
        </w:tc>
        <w:tc>
          <w:tcPr>
            <w:tcW w:w="1375" w:type="pct"/>
            <w:shd w:val="clear" w:color="auto" w:fill="FFFFFF"/>
          </w:tcPr>
          <w:p w14:paraId="260A503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t_norm + BC_Inlet + BC_O1~O4</w:t>
            </w:r>
          </w:p>
        </w:tc>
        <w:tc>
          <w:tcPr>
            <w:tcW w:w="1477" w:type="pct"/>
            <w:shd w:val="clear" w:color="auto" w:fill="FFFFFF"/>
          </w:tcPr>
          <w:p w14:paraId="74B49C5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同 V1；强调 split-safe、归一化、OOD 检查</w:t>
            </w:r>
          </w:p>
        </w:tc>
      </w:tr>
      <w:tr w14:paraId="1F8B934E">
        <w:trPr>
          <w:jc w:val="center"/>
        </w:trPr>
        <w:tc>
          <w:tcPr>
            <w:tcW w:w="944" w:type="pct"/>
            <w:vAlign w:val="center"/>
          </w:tcPr>
          <w:p w14:paraId="1E110ED1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几何先验</w:t>
            </w:r>
          </w:p>
        </w:tc>
        <w:tc>
          <w:tcPr>
            <w:tcW w:w="1202" w:type="pct"/>
          </w:tcPr>
          <w:p w14:paraId="0F721DE1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主要靠坐标与点云分布</w:t>
            </w:r>
          </w:p>
        </w:tc>
        <w:tc>
          <w:tcPr>
            <w:tcW w:w="1375" w:type="pct"/>
          </w:tcPr>
          <w:p w14:paraId="27F0EBD3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显式几何已验证有效；NormRadius 贡献最大</w:t>
            </w:r>
          </w:p>
        </w:tc>
        <w:tc>
          <w:tcPr>
            <w:tcW w:w="1477" w:type="pct"/>
          </w:tcPr>
          <w:p w14:paraId="6093C223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几何保留，但单纯加几何 / 近壁特征已不能突破 WSS</w:t>
            </w:r>
          </w:p>
        </w:tc>
      </w:tr>
      <w:tr w14:paraId="0FB58789">
        <w:trPr>
          <w:jc w:val="center"/>
        </w:trPr>
        <w:tc>
          <w:tcPr>
            <w:tcW w:w="944" w:type="pct"/>
            <w:shd w:val="clear" w:color="auto" w:fill="FFFFFF"/>
            <w:vAlign w:val="center"/>
          </w:tcPr>
          <w:p w14:paraId="489EE1F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局部坐标系</w:t>
            </w:r>
          </w:p>
        </w:tc>
        <w:tc>
          <w:tcPr>
            <w:tcW w:w="1202" w:type="pct"/>
            <w:shd w:val="clear" w:color="auto" w:fill="FFFFFF"/>
          </w:tcPr>
          <w:p w14:paraId="124F9747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未用中心线坐标或壁面展开</w:t>
            </w:r>
          </w:p>
        </w:tc>
        <w:tc>
          <w:tcPr>
            <w:tcW w:w="1375" w:type="pct"/>
            <w:shd w:val="clear" w:color="auto" w:fill="FFFFFF"/>
          </w:tcPr>
          <w:p w14:paraId="126B2A6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全局点云 / 图表示</w:t>
            </w:r>
          </w:p>
        </w:tc>
        <w:tc>
          <w:tcPr>
            <w:tcW w:w="1477" w:type="pct"/>
            <w:shd w:val="clear" w:color="auto" w:fill="FFFFFF"/>
          </w:tcPr>
          <w:p w14:paraId="34468052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转向 G4 (s,</w:t>
            </w:r>
            <w:r>
              <w:rPr>
                <w:sz w:val="20"/>
                <w:szCs w:val="24"/>
              </w:rPr>
              <w:t>θ</w:t>
            </w:r>
            <w:r>
              <w:rPr>
                <w:sz w:val="20"/>
                <w:szCs w:val="24"/>
                <w:lang w:eastAsia="zh-CN"/>
              </w:rPr>
              <w:t>) 壁面 2D 展开与内禀标架</w:t>
            </w:r>
          </w:p>
        </w:tc>
      </w:tr>
    </w:tbl>
    <w:p w14:paraId="421D39A8">
      <w:pPr>
        <w:spacing w:before="40" w:after="60" w:line="283" w:lineRule="auto"/>
        <w:rPr>
          <w:lang w:eastAsia="zh-CN"/>
        </w:rPr>
      </w:pPr>
    </w:p>
    <w:p w14:paraId="7639C648">
      <w:pPr>
        <w:spacing w:before="160" w:after="60" w:line="283" w:lineRule="auto"/>
      </w:pPr>
      <w:r>
        <w:rPr>
          <w:b/>
        </w:rPr>
        <w:t>3.4　模块与架构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467"/>
        <w:gridCol w:w="2692"/>
        <w:gridCol w:w="3203"/>
      </w:tblGrid>
      <w:tr w14:paraId="5A2B4AA7">
        <w:trPr>
          <w:jc w:val="center"/>
        </w:trPr>
        <w:tc>
          <w:tcPr>
            <w:tcW w:w="801" w:type="pct"/>
            <w:shd w:val="clear" w:color="auto" w:fill="FFFFFF"/>
          </w:tcPr>
          <w:p w14:paraId="2178B9B6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维度</w:t>
            </w:r>
          </w:p>
        </w:tc>
        <w:tc>
          <w:tcPr>
            <w:tcW w:w="1238" w:type="pct"/>
            <w:shd w:val="clear" w:color="auto" w:fill="FFFFFF"/>
          </w:tcPr>
          <w:p w14:paraId="2F7930D8">
            <w:pPr>
              <w:spacing w:before="20" w:after="20" w:line="252" w:lineRule="auto"/>
              <w:jc w:val="center"/>
              <w:rPr>
                <w:rFonts w:hint="eastAsia" w:eastAsia="宋体"/>
                <w:sz w:val="22"/>
                <w:szCs w:val="24"/>
                <w:lang w:eastAsia="zh-CN"/>
              </w:rPr>
            </w:pPr>
            <w:r>
              <w:rPr>
                <w:rFonts w:hint="eastAsia"/>
                <w:b/>
                <w:sz w:val="20"/>
                <w:szCs w:val="24"/>
                <w:lang w:eastAsia="zh-CN"/>
              </w:rPr>
              <w:t>论文</w:t>
            </w:r>
          </w:p>
        </w:tc>
        <w:tc>
          <w:tcPr>
            <w:tcW w:w="1351" w:type="pct"/>
            <w:shd w:val="clear" w:color="auto" w:fill="FFFFFF"/>
          </w:tcPr>
          <w:p w14:paraId="57538B02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</w:t>
            </w:r>
          </w:p>
        </w:tc>
        <w:tc>
          <w:tcPr>
            <w:tcW w:w="1607" w:type="pct"/>
            <w:shd w:val="clear" w:color="auto" w:fill="FFFFFF"/>
          </w:tcPr>
          <w:p w14:paraId="3B08C2F0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V2 / V3</w:t>
            </w:r>
          </w:p>
        </w:tc>
      </w:tr>
      <w:tr w14:paraId="7E4C3FF3">
        <w:trPr>
          <w:jc w:val="center"/>
        </w:trPr>
        <w:tc>
          <w:tcPr>
            <w:tcW w:w="801" w:type="pct"/>
            <w:vAlign w:val="center"/>
          </w:tcPr>
          <w:p w14:paraId="49DBBDDC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主干</w:t>
            </w:r>
          </w:p>
        </w:tc>
        <w:tc>
          <w:tcPr>
            <w:tcW w:w="1238" w:type="pct"/>
          </w:tcPr>
          <w:p w14:paraId="0E0F8EE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PointNet：shared Conv1d + max pooling</w:t>
            </w:r>
          </w:p>
        </w:tc>
        <w:tc>
          <w:tcPr>
            <w:tcW w:w="1351" w:type="pct"/>
          </w:tcPr>
          <w:p w14:paraId="05EA99BA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MLP / GraphSAGE / Transformer</w:t>
            </w:r>
          </w:p>
        </w:tc>
        <w:tc>
          <w:tcPr>
            <w:tcW w:w="1607" w:type="pct"/>
          </w:tcPr>
          <w:p w14:paraId="14182B92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PointNeXt / FieldPointNeXt；G4 预研 2D U-Net</w:t>
            </w:r>
          </w:p>
        </w:tc>
      </w:tr>
      <w:tr w14:paraId="39C3F8AD">
        <w:trPr>
          <w:jc w:val="center"/>
        </w:trPr>
        <w:tc>
          <w:tcPr>
            <w:tcW w:w="801" w:type="pct"/>
            <w:shd w:val="clear" w:color="auto" w:fill="FFFFFF"/>
            <w:vAlign w:val="center"/>
          </w:tcPr>
          <w:p w14:paraId="4E3E4B2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输出头</w:t>
            </w:r>
          </w:p>
        </w:tc>
        <w:tc>
          <w:tcPr>
            <w:tcW w:w="1238" w:type="pct"/>
            <w:shd w:val="clear" w:color="auto" w:fill="FFFFFF"/>
          </w:tcPr>
          <w:p w14:paraId="46D61D5D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Vx/Vy/Vz/P 四通道</w:t>
            </w:r>
          </w:p>
        </w:tc>
        <w:tc>
          <w:tcPr>
            <w:tcW w:w="1351" w:type="pct"/>
            <w:shd w:val="clear" w:color="auto" w:fill="FFFFFF"/>
          </w:tcPr>
          <w:p w14:paraId="1F315ED7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u/v/w/p 四通道；后加 WSS 多任务头</w:t>
            </w:r>
          </w:p>
        </w:tc>
        <w:tc>
          <w:tcPr>
            <w:tcW w:w="1607" w:type="pct"/>
            <w:shd w:val="clear" w:color="auto" w:fill="FFFFFF"/>
          </w:tcPr>
          <w:p w14:paraId="441020B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p+WSS、WSS 单目标、双域；G4 可输出 WSS 矢量</w:t>
            </w:r>
          </w:p>
        </w:tc>
      </w:tr>
      <w:tr w14:paraId="5C766EFF">
        <w:trPr>
          <w:jc w:val="center"/>
        </w:trPr>
        <w:tc>
          <w:tcPr>
            <w:tcW w:w="801" w:type="pct"/>
            <w:vAlign w:val="center"/>
          </w:tcPr>
          <w:p w14:paraId="2E27E9C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物理模块</w:t>
            </w:r>
          </w:p>
        </w:tc>
        <w:tc>
          <w:tcPr>
            <w:tcW w:w="1238" w:type="pct"/>
          </w:tcPr>
          <w:p w14:paraId="4C40447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PINNs：N-S 残差 + wall no-slip</w:t>
            </w:r>
          </w:p>
        </w:tc>
        <w:tc>
          <w:tcPr>
            <w:tcW w:w="1351" w:type="pct"/>
          </w:tcPr>
          <w:p w14:paraId="588F8CE1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第一阶段不耦合物理项，主要数据监督</w:t>
            </w:r>
          </w:p>
        </w:tc>
        <w:tc>
          <w:tcPr>
            <w:tcW w:w="1607" w:type="pct"/>
          </w:tcPr>
          <w:p w14:paraId="161C730D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做过速度 / no-slip / 斜率 / 压力梯度探针；PDE loss 待审计</w:t>
            </w:r>
          </w:p>
        </w:tc>
      </w:tr>
      <w:tr w14:paraId="6470C6F9">
        <w:trPr>
          <w:jc w:val="center"/>
        </w:trPr>
        <w:tc>
          <w:tcPr>
            <w:tcW w:w="801" w:type="pct"/>
            <w:shd w:val="clear" w:color="auto" w:fill="FFFFFF"/>
            <w:vAlign w:val="center"/>
          </w:tcPr>
          <w:p w14:paraId="468D0C1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训练策略</w:t>
            </w:r>
          </w:p>
        </w:tc>
        <w:tc>
          <w:tcPr>
            <w:tcW w:w="1238" w:type="pct"/>
            <w:shd w:val="clear" w:color="auto" w:fill="FFFFFF"/>
          </w:tcPr>
          <w:p w14:paraId="2C15DE4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15000 epoch，batch=1，动态 ω</w:t>
            </w:r>
          </w:p>
        </w:tc>
        <w:tc>
          <w:tcPr>
            <w:tcW w:w="1351" w:type="pct"/>
            <w:shd w:val="clear" w:color="auto" w:fill="FFFFFF"/>
          </w:tcPr>
          <w:p w14:paraId="5DFDBA7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200 epoch，3 seed，early stopping</w:t>
            </w:r>
          </w:p>
        </w:tc>
        <w:tc>
          <w:tcPr>
            <w:tcW w:w="1607" w:type="pct"/>
            <w:shd w:val="clear" w:color="auto" w:fill="FFFFFF"/>
          </w:tcPr>
          <w:p w14:paraId="69E72B30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oracle-first、单变量、best_wss 选优、多门禁</w:t>
            </w:r>
          </w:p>
        </w:tc>
      </w:tr>
      <w:tr w14:paraId="2AF5D5E7">
        <w:trPr>
          <w:jc w:val="center"/>
        </w:trPr>
        <w:tc>
          <w:tcPr>
            <w:tcW w:w="801" w:type="pct"/>
            <w:vAlign w:val="center"/>
          </w:tcPr>
          <w:p w14:paraId="558E25EF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当前换轨</w:t>
            </w:r>
          </w:p>
        </w:tc>
        <w:tc>
          <w:tcPr>
            <w:tcW w:w="1238" w:type="pct"/>
          </w:tcPr>
          <w:p w14:paraId="495215B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无壁面 2D 展开</w:t>
            </w:r>
          </w:p>
        </w:tc>
        <w:tc>
          <w:tcPr>
            <w:tcW w:w="1351" w:type="pct"/>
          </w:tcPr>
          <w:p w14:paraId="6D1904A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无</w:t>
            </w:r>
          </w:p>
        </w:tc>
        <w:tc>
          <w:tcPr>
            <w:tcW w:w="1607" w:type="pct"/>
          </w:tcPr>
          <w:p w14:paraId="73D419F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G4 (s,θ) 2D 换轨：POD 0.672，单 case 0.954</w:t>
            </w:r>
          </w:p>
        </w:tc>
      </w:tr>
    </w:tbl>
    <w:p w14:paraId="341BD46A">
      <w:pPr>
        <w:spacing w:before="40" w:after="60" w:line="283" w:lineRule="auto"/>
      </w:pPr>
    </w:p>
    <w:p w14:paraId="2AB0A3A7">
      <w:pPr>
        <w:spacing w:before="160" w:after="60" w:line="283" w:lineRule="auto"/>
      </w:pPr>
      <w:r>
        <w:rPr>
          <w:b/>
        </w:rPr>
        <w:t>3.5　监督目标与指标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467"/>
        <w:gridCol w:w="2636"/>
        <w:gridCol w:w="3147"/>
      </w:tblGrid>
      <w:tr w14:paraId="34BF4A3C">
        <w:trPr>
          <w:jc w:val="center"/>
        </w:trPr>
        <w:tc>
          <w:tcPr>
            <w:tcW w:w="857" w:type="pct"/>
            <w:shd w:val="clear" w:color="auto" w:fill="FFFFFF"/>
          </w:tcPr>
          <w:p w14:paraId="5582F989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维度</w:t>
            </w:r>
          </w:p>
        </w:tc>
        <w:tc>
          <w:tcPr>
            <w:tcW w:w="1238" w:type="pct"/>
            <w:shd w:val="clear" w:color="auto" w:fill="FFFFFF"/>
          </w:tcPr>
          <w:p w14:paraId="1CABDBA2">
            <w:pPr>
              <w:spacing w:before="20" w:after="20" w:line="252" w:lineRule="auto"/>
              <w:jc w:val="center"/>
              <w:rPr>
                <w:rFonts w:hint="eastAsia" w:eastAsia="宋体"/>
                <w:sz w:val="22"/>
                <w:szCs w:val="24"/>
                <w:lang w:eastAsia="zh-CN"/>
              </w:rPr>
            </w:pPr>
            <w:r>
              <w:rPr>
                <w:rFonts w:hint="eastAsia"/>
                <w:b/>
                <w:sz w:val="20"/>
                <w:szCs w:val="24"/>
                <w:lang w:eastAsia="zh-CN"/>
              </w:rPr>
              <w:t>论文</w:t>
            </w:r>
          </w:p>
        </w:tc>
        <w:tc>
          <w:tcPr>
            <w:tcW w:w="1323" w:type="pct"/>
            <w:shd w:val="clear" w:color="auto" w:fill="FFFFFF"/>
          </w:tcPr>
          <w:p w14:paraId="081587AF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V1</w:t>
            </w:r>
          </w:p>
        </w:tc>
        <w:tc>
          <w:tcPr>
            <w:tcW w:w="1579" w:type="pct"/>
            <w:shd w:val="clear" w:color="auto" w:fill="FFFFFF"/>
          </w:tcPr>
          <w:p w14:paraId="3D02F00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V2 / V3</w:t>
            </w:r>
          </w:p>
        </w:tc>
      </w:tr>
      <w:tr w14:paraId="53BC80FD">
        <w:trPr>
          <w:jc w:val="center"/>
        </w:trPr>
        <w:tc>
          <w:tcPr>
            <w:tcW w:w="857" w:type="pct"/>
            <w:vAlign w:val="center"/>
          </w:tcPr>
          <w:p w14:paraId="298FA5C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主要监督</w:t>
            </w:r>
          </w:p>
        </w:tc>
        <w:tc>
          <w:tcPr>
            <w:tcW w:w="1238" w:type="pct"/>
          </w:tcPr>
          <w:p w14:paraId="06D7B62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Vx/Vy/Vz/P</w:t>
            </w:r>
          </w:p>
        </w:tc>
        <w:tc>
          <w:tcPr>
            <w:tcW w:w="1323" w:type="pct"/>
          </w:tcPr>
          <w:p w14:paraId="1C7407D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u/v/w/p</w:t>
            </w:r>
          </w:p>
        </w:tc>
        <w:tc>
          <w:tcPr>
            <w:tcW w:w="1579" w:type="pct"/>
          </w:tcPr>
          <w:p w14:paraId="2A5D2E0D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p/WSS、WSS 单目标、弱速度上下文、G4 壁面场</w:t>
            </w:r>
          </w:p>
        </w:tc>
      </w:tr>
      <w:tr w14:paraId="33B18F94">
        <w:trPr>
          <w:jc w:val="center"/>
        </w:trPr>
        <w:tc>
          <w:tcPr>
            <w:tcW w:w="857" w:type="pct"/>
            <w:shd w:val="clear" w:color="auto" w:fill="FFFFFF"/>
            <w:vAlign w:val="center"/>
          </w:tcPr>
          <w:p w14:paraId="01AD42B4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WSS 主目标</w:t>
            </w:r>
          </w:p>
        </w:tc>
        <w:tc>
          <w:tcPr>
            <w:tcW w:w="1238" w:type="pct"/>
            <w:shd w:val="clear" w:color="auto" w:fill="FFFFFF"/>
          </w:tcPr>
          <w:p w14:paraId="6EE4B03B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否；仅作医学背景与 mesh 可信度</w:t>
            </w:r>
          </w:p>
        </w:tc>
        <w:tc>
          <w:tcPr>
            <w:tcW w:w="1323" w:type="pct"/>
            <w:shd w:val="clear" w:color="auto" w:fill="FFFFFF"/>
          </w:tcPr>
          <w:p w14:paraId="5649B428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初期否，后续 WSS 多任务辅助</w:t>
            </w:r>
          </w:p>
        </w:tc>
        <w:tc>
          <w:tcPr>
            <w:tcW w:w="1579" w:type="pct"/>
            <w:shd w:val="clear" w:color="auto" w:fill="FFFFFF"/>
          </w:tcPr>
          <w:p w14:paraId="64914283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是，尤其 wall WSS 及 WSS 分量</w:t>
            </w:r>
          </w:p>
        </w:tc>
      </w:tr>
      <w:tr w14:paraId="7D0FAA2F">
        <w:trPr>
          <w:jc w:val="center"/>
        </w:trPr>
        <w:tc>
          <w:tcPr>
            <w:tcW w:w="857" w:type="pct"/>
            <w:vAlign w:val="center"/>
          </w:tcPr>
          <w:p w14:paraId="3DDE0180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主要指标</w:t>
            </w:r>
          </w:p>
        </w:tc>
        <w:tc>
          <w:tcPr>
            <w:tcW w:w="1238" w:type="pct"/>
          </w:tcPr>
          <w:p w14:paraId="08EC521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velocity / pressure NMAE、FR/PD R²</w:t>
            </w:r>
          </w:p>
        </w:tc>
        <w:tc>
          <w:tcPr>
            <w:tcW w:w="1323" w:type="pct"/>
          </w:tcPr>
          <w:p w14:paraId="6D15CD83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interior RMSE|v|、R2_p、区域速度误差</w:t>
            </w:r>
          </w:p>
        </w:tc>
        <w:tc>
          <w:tcPr>
            <w:tcW w:w="1579" w:type="pct"/>
          </w:tcPr>
          <w:p w14:paraId="787A0B47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wss_r2_wss、wss_x/y/z、r2_p、Pa p95、top-k</w:t>
            </w:r>
          </w:p>
        </w:tc>
      </w:tr>
      <w:tr w14:paraId="59215DBE">
        <w:trPr>
          <w:jc w:val="center"/>
        </w:trPr>
        <w:tc>
          <w:tcPr>
            <w:tcW w:w="857" w:type="pct"/>
            <w:shd w:val="clear" w:color="auto" w:fill="FFFFFF"/>
            <w:vAlign w:val="center"/>
          </w:tcPr>
          <w:p w14:paraId="5D00D5F7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最佳结果</w:t>
            </w:r>
          </w:p>
        </w:tc>
        <w:tc>
          <w:tcPr>
            <w:tcW w:w="1238" w:type="pct"/>
            <w:shd w:val="clear" w:color="auto" w:fill="FFFFFF"/>
          </w:tcPr>
          <w:p w14:paraId="041D5F8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velocity 7.79%、pressure 6.63%</w:t>
            </w:r>
          </w:p>
        </w:tc>
        <w:tc>
          <w:tcPr>
            <w:tcW w:w="1323" w:type="pct"/>
            <w:shd w:val="clear" w:color="auto" w:fill="FFFFFF"/>
          </w:tcPr>
          <w:p w14:paraId="75E6FFC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A-Opt-05：r2_vel_mag≈0.58，R2_p≈0.92</w:t>
            </w:r>
          </w:p>
        </w:tc>
        <w:tc>
          <w:tcPr>
            <w:tcW w:w="1579" w:type="pct"/>
            <w:shd w:val="clear" w:color="auto" w:fill="FFFFFF"/>
          </w:tcPr>
          <w:p w14:paraId="39F0776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post5463 WSS 0.425±0.012；G5 Pa p95 0.559</w:t>
            </w:r>
          </w:p>
        </w:tc>
      </w:tr>
      <w:tr w14:paraId="3653F216">
        <w:trPr>
          <w:jc w:val="center"/>
        </w:trPr>
        <w:tc>
          <w:tcPr>
            <w:tcW w:w="857" w:type="pct"/>
            <w:vAlign w:val="center"/>
          </w:tcPr>
          <w:p w14:paraId="70162C1F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临床 surrogate</w:t>
            </w:r>
          </w:p>
        </w:tc>
        <w:tc>
          <w:tcPr>
            <w:tcW w:w="1238" w:type="pct"/>
          </w:tcPr>
          <w:p w14:paraId="1DA782E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FR R²=0.9624，PD R²=0.9355</w:t>
            </w:r>
          </w:p>
        </w:tc>
        <w:tc>
          <w:tcPr>
            <w:tcW w:w="1323" w:type="pct"/>
          </w:tcPr>
          <w:p w14:paraId="3E5558B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V1 仍在场重建阶段</w:t>
            </w:r>
          </w:p>
        </w:tc>
        <w:tc>
          <w:tcPr>
            <w:tcW w:w="1579" w:type="pct"/>
          </w:tcPr>
          <w:p w14:paraId="6B3A4AC9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20"/>
                <w:szCs w:val="24"/>
              </w:rPr>
              <w:t>Pa p95、区域高 WSS、病例级 surrogate</w:t>
            </w:r>
          </w:p>
        </w:tc>
      </w:tr>
    </w:tbl>
    <w:p w14:paraId="4D7B1394">
      <w:pPr>
        <w:spacing w:before="40" w:after="60" w:line="283" w:lineRule="auto"/>
      </w:pPr>
    </w:p>
    <w:p w14:paraId="05AAE997">
      <w:pPr>
        <w:spacing w:before="160" w:after="60" w:line="283" w:lineRule="auto"/>
        <w:rPr>
          <w:lang w:eastAsia="zh-CN"/>
        </w:rPr>
      </w:pPr>
      <w:r>
        <w:rPr>
          <w:b/>
          <w:lang w:eastAsia="zh-CN"/>
        </w:rPr>
        <w:t>3.6　「速度 / 压力能否带动 WSS」的内部证据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425"/>
        <w:gridCol w:w="2078"/>
        <w:gridCol w:w="3150"/>
      </w:tblGrid>
      <w:tr w14:paraId="396B2BC5">
        <w:trPr>
          <w:jc w:val="center"/>
        </w:trPr>
        <w:tc>
          <w:tcPr>
            <w:tcW w:w="1157" w:type="pct"/>
            <w:shd w:val="clear" w:color="auto" w:fill="FFFFFF"/>
          </w:tcPr>
          <w:p w14:paraId="08CFEAA6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路线</w:t>
            </w:r>
          </w:p>
        </w:tc>
        <w:tc>
          <w:tcPr>
            <w:tcW w:w="1217" w:type="pct"/>
            <w:shd w:val="clear" w:color="auto" w:fill="FFFFFF"/>
          </w:tcPr>
          <w:p w14:paraId="2B699CE6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速度 / 压力表现</w:t>
            </w:r>
          </w:p>
        </w:tc>
        <w:tc>
          <w:tcPr>
            <w:tcW w:w="1043" w:type="pct"/>
            <w:shd w:val="clear" w:color="auto" w:fill="FFFFFF"/>
          </w:tcPr>
          <w:p w14:paraId="0DB4FF0C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WSS 表现</w:t>
            </w:r>
          </w:p>
        </w:tc>
        <w:tc>
          <w:tcPr>
            <w:tcW w:w="1581" w:type="pct"/>
            <w:shd w:val="clear" w:color="auto" w:fill="FFFFFF"/>
          </w:tcPr>
          <w:p w14:paraId="73A91A84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20"/>
                <w:szCs w:val="24"/>
              </w:rPr>
              <w:t>意义</w:t>
            </w:r>
          </w:p>
        </w:tc>
      </w:tr>
      <w:tr w14:paraId="2D74D55F">
        <w:trPr>
          <w:jc w:val="center"/>
        </w:trPr>
        <w:tc>
          <w:tcPr>
            <w:tcW w:w="1157" w:type="pct"/>
            <w:vAlign w:val="center"/>
          </w:tcPr>
          <w:p w14:paraId="5F7AFB1B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V1 速度 / 压力主线</w:t>
            </w:r>
          </w:p>
        </w:tc>
        <w:tc>
          <w:tcPr>
            <w:tcW w:w="1217" w:type="pct"/>
          </w:tcPr>
          <w:p w14:paraId="0C003326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压力 R2_p≈0.92，速度中等信号</w:t>
            </w:r>
          </w:p>
        </w:tc>
        <w:tc>
          <w:tcPr>
            <w:tcW w:w="1043" w:type="pct"/>
          </w:tcPr>
          <w:p w14:paraId="7EB6E156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原始主线非 WSS，不保证端到端</w:t>
            </w:r>
          </w:p>
        </w:tc>
        <w:tc>
          <w:tcPr>
            <w:tcW w:w="1581" w:type="pct"/>
          </w:tcPr>
          <w:p w14:paraId="48EFAAB6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已做过论文式场预测主线</w:t>
            </w:r>
          </w:p>
        </w:tc>
      </w:tr>
      <w:tr w14:paraId="7D31926D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762A5B66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V1 WSS 多任务</w:t>
            </w:r>
          </w:p>
        </w:tc>
        <w:tc>
          <w:tcPr>
            <w:tcW w:w="1217" w:type="pct"/>
            <w:shd w:val="clear" w:color="auto" w:fill="FFFFFF"/>
          </w:tcPr>
          <w:p w14:paraId="5201599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vel_mag≈0.584，R2_p≈0.922</w:t>
            </w:r>
          </w:p>
        </w:tc>
        <w:tc>
          <w:tcPr>
            <w:tcW w:w="1043" w:type="pct"/>
            <w:shd w:val="clear" w:color="auto" w:fill="FFFFFF"/>
          </w:tcPr>
          <w:p w14:paraId="18D76B66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壁面 WSS R²≈0.463</w:t>
            </w:r>
          </w:p>
        </w:tc>
        <w:tc>
          <w:tcPr>
            <w:tcW w:w="1581" w:type="pct"/>
            <w:shd w:val="clear" w:color="auto" w:fill="FFFFFF"/>
          </w:tcPr>
          <w:p w14:paraId="1B3FE499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场监督 + WSS 头有正信号，但依赖 V1 表示</w:t>
            </w:r>
          </w:p>
        </w:tc>
      </w:tr>
      <w:tr w14:paraId="402B351B">
        <w:trPr>
          <w:jc w:val="center"/>
        </w:trPr>
        <w:tc>
          <w:tcPr>
            <w:tcW w:w="1157" w:type="pct"/>
            <w:vAlign w:val="center"/>
          </w:tcPr>
          <w:p w14:paraId="71CB5F6C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V2P-WSSP-02 全速度+WSS</w:t>
            </w:r>
          </w:p>
        </w:tc>
        <w:tc>
          <w:tcPr>
            <w:tcW w:w="1217" w:type="pct"/>
          </w:tcPr>
          <w:p w14:paraId="2218ADC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vel_mag≈0.635，但 r2_p≈0.004 崩</w:t>
            </w:r>
          </w:p>
        </w:tc>
        <w:tc>
          <w:tcPr>
            <w:tcW w:w="1043" w:type="pct"/>
          </w:tcPr>
          <w:p w14:paraId="27D00C74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wss_r2_wss≈−0.018</w:t>
            </w:r>
          </w:p>
        </w:tc>
        <w:tc>
          <w:tcPr>
            <w:tcW w:w="1581" w:type="pct"/>
          </w:tcPr>
          <w:p w14:paraId="737A9175">
            <w:pPr>
              <w:spacing w:before="20" w:after="20" w:line="252" w:lineRule="auto"/>
              <w:rPr>
                <w:sz w:val="22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速度好 ≠ WSS 好，多任务权重冲突</w:t>
            </w:r>
          </w:p>
        </w:tc>
      </w:tr>
      <w:tr w14:paraId="3A4259B0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54A13389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V3P-Probe-VWSS-01</w:t>
            </w:r>
          </w:p>
        </w:tc>
        <w:tc>
          <w:tcPr>
            <w:tcW w:w="1217" w:type="pct"/>
            <w:shd w:val="clear" w:color="auto" w:fill="FFFFFF"/>
          </w:tcPr>
          <w:p w14:paraId="4742E9B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vel_mag=0.074 &lt; 单目标 0.294</w:t>
            </w:r>
          </w:p>
        </w:tc>
        <w:tc>
          <w:tcPr>
            <w:tcW w:w="1043" w:type="pct"/>
            <w:shd w:val="clear" w:color="auto" w:fill="FFFFFF"/>
          </w:tcPr>
          <w:p w14:paraId="6D0D9867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wss=0.343 &lt; 单目标 0.397</w:t>
            </w:r>
          </w:p>
        </w:tc>
        <w:tc>
          <w:tcPr>
            <w:tcW w:w="1581" w:type="pct"/>
            <w:shd w:val="clear" w:color="auto" w:fill="FFFFFF"/>
          </w:tcPr>
          <w:p w14:paraId="3D9C8FB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速度上下文反而压低 WSS</w:t>
            </w:r>
          </w:p>
        </w:tc>
      </w:tr>
      <w:tr w14:paraId="63102580">
        <w:trPr>
          <w:jc w:val="center"/>
        </w:trPr>
        <w:tc>
          <w:tcPr>
            <w:tcW w:w="1157" w:type="pct"/>
            <w:vAlign w:val="center"/>
          </w:tcPr>
          <w:p w14:paraId="1E779898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V3P-F-30a VelSup</w:t>
            </w:r>
          </w:p>
        </w:tc>
        <w:tc>
          <w:tcPr>
            <w:tcW w:w="1217" w:type="pct"/>
          </w:tcPr>
          <w:p w14:paraId="6D25C905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速度场改善，vel_mag≈0.57</w:t>
            </w:r>
          </w:p>
        </w:tc>
        <w:tc>
          <w:tcPr>
            <w:tcW w:w="1043" w:type="pct"/>
          </w:tcPr>
          <w:p w14:paraId="5D9DC1CC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best_wss=0.364 &lt; 4957 的 0.399</w:t>
            </w:r>
          </w:p>
        </w:tc>
        <w:tc>
          <w:tcPr>
            <w:tcW w:w="1581" w:type="pct"/>
          </w:tcPr>
          <w:p w14:paraId="0820880E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再证速度监督与 WSS 有 trade-off</w:t>
            </w:r>
          </w:p>
        </w:tc>
      </w:tr>
      <w:tr w14:paraId="6B8BD61F">
        <w:trPr>
          <w:jc w:val="center"/>
        </w:trPr>
        <w:tc>
          <w:tcPr>
            <w:tcW w:w="1157" w:type="pct"/>
            <w:shd w:val="clear" w:color="auto" w:fill="FFFFFF"/>
            <w:vAlign w:val="center"/>
          </w:tcPr>
          <w:p w14:paraId="7D7B83FA">
            <w:pPr>
              <w:spacing w:before="20" w:after="20" w:line="252" w:lineRule="auto"/>
              <w:jc w:val="center"/>
              <w:rPr>
                <w:sz w:val="22"/>
                <w:szCs w:val="24"/>
              </w:rPr>
            </w:pPr>
            <w:r>
              <w:rPr>
                <w:b/>
                <w:sz w:val="18"/>
                <w:szCs w:val="24"/>
              </w:rPr>
              <w:t>V3P-F-PCv2-BLContext</w:t>
            </w:r>
          </w:p>
        </w:tc>
        <w:tc>
          <w:tcPr>
            <w:tcW w:w="1217" w:type="pct"/>
            <w:shd w:val="clear" w:color="auto" w:fill="FFFFFF"/>
          </w:tcPr>
          <w:p w14:paraId="0682FDEB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压力 / 近壁上下文增强</w:t>
            </w:r>
          </w:p>
        </w:tc>
        <w:tc>
          <w:tcPr>
            <w:tcW w:w="1043" w:type="pct"/>
            <w:shd w:val="clear" w:color="auto" w:fill="FFFFFF"/>
          </w:tcPr>
          <w:p w14:paraId="6A53C9A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点级仍≈0.40，未超 PGradFeat</w:t>
            </w:r>
          </w:p>
        </w:tc>
        <w:tc>
          <w:tcPr>
            <w:tcW w:w="1581" w:type="pct"/>
            <w:shd w:val="clear" w:color="auto" w:fill="FFFFFF"/>
          </w:tcPr>
          <w:p w14:paraId="2B6C0F18">
            <w:pPr>
              <w:spacing w:before="20" w:after="20" w:line="252" w:lineRule="auto"/>
              <w:rPr>
                <w:sz w:val="22"/>
                <w:szCs w:val="24"/>
              </w:rPr>
            </w:pPr>
            <w:r>
              <w:rPr>
                <w:sz w:val="18"/>
                <w:szCs w:val="24"/>
              </w:rPr>
              <w:t>近壁上下文有用但不足以突破</w:t>
            </w:r>
          </w:p>
        </w:tc>
      </w:tr>
    </w:tbl>
    <w:p w14:paraId="6EA24B42">
      <w:pPr>
        <w:spacing w:before="40" w:after="60" w:line="283" w:lineRule="auto"/>
      </w:pPr>
    </w:p>
    <w:p w14:paraId="23E3A476">
      <w:pPr>
        <w:spacing w:before="120" w:after="80" w:line="283" w:lineRule="auto"/>
      </w:pP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BAA"/>
    <w:rsid w:val="00997B19"/>
    <w:rsid w:val="00AA1D8D"/>
    <w:rsid w:val="00B346E4"/>
    <w:rsid w:val="00B47730"/>
    <w:rsid w:val="00C029DC"/>
    <w:rsid w:val="00CB0664"/>
    <w:rsid w:val="00D0270A"/>
    <w:rsid w:val="00FC693F"/>
    <w:rsid w:val="1A3F09FE"/>
    <w:rsid w:val="BFF970F8"/>
    <w:rsid w:val="CDE792C9"/>
    <w:rsid w:val="EBB9F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706</Words>
  <Characters>4027</Characters>
  <Lines>33</Lines>
  <Paragraphs>9</Paragraphs>
  <TotalTime>1</TotalTime>
  <ScaleCrop>false</ScaleCrop>
  <LinksUpToDate>false</LinksUpToDate>
  <CharactersWithSpaces>4724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小阳</cp:lastModifiedBy>
  <dcterms:modified xsi:type="dcterms:W3CDTF">2026-06-11T20:52:22Z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964AA8A95132003687AD2A6AFD4D53FD_42</vt:lpwstr>
  </property>
</Properties>
</file>