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br/>
        <w:br/>
        <w:br/>
        <w:t>供水营收管理系统</w:t>
        <w:br/>
        <w:t>操作手册</w:t>
      </w:r>
    </w:p>
    <w:p>
      <w:pPr>
        <w:jc w:val="center"/>
      </w:pPr>
      <w:r>
        <w:rPr>
          <w:color w:val="606060"/>
          <w:sz w:val="24"/>
        </w:rPr>
        <w:br/>
        <w:t>版本 V1.0 · 2026-10-21</w:t>
        <w:br/>
        <w:t>适用版本：试点部署 1b675a6 及以上（ebdc64f）</w:t>
        <w:br/>
        <w:t>适用环境：http://192.168.3.185:5185 及公网域名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rPr>
          <w:b w:val="0"/>
        </w:rPr>
        <w:t>本系统为面向县级水务公司的多租户营收管理 SaaS，采用模块化单体架构，覆盖客户立户、抄表、结算、计费、收费、表务、稽查、报表全业务链。</w:t>
      </w:r>
    </w:p>
    <w:p>
      <w:r>
        <w:rPr>
          <w:b w:val="0"/>
        </w:rPr>
        <w:t>核心设计原则：先正确 → 再完整 → 再高效。所有收费、抄表、表务等业务事实均为追加式记录，可追溯、可审计；关键提交接口均支持幂等防重。</w:t>
      </w:r>
    </w:p>
    <w:p>
      <w:pPr>
        <w:pStyle w:val="Heading2"/>
      </w:pPr>
      <w:r>
        <w:t>1.1 基本概念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租户</w:t>
            </w:r>
          </w:p>
        </w:tc>
        <w:tc>
          <w:tcPr>
            <w:tcW w:type="dxa" w:w="4320"/>
          </w:tcPr>
          <w:p>
            <w:r>
              <w:t>每个水务公司为独立租户，数据完全隔离（数据库行级权限强制隔离）</w:t>
            </w:r>
          </w:p>
        </w:tc>
      </w:tr>
      <w:tr>
        <w:tc>
          <w:tcPr>
            <w:tcW w:type="dxa" w:w="4320"/>
          </w:tcPr>
          <w:p>
            <w:r>
              <w:t>客户</w:t>
            </w:r>
          </w:p>
        </w:tc>
        <w:tc>
          <w:tcPr>
            <w:tcW w:type="dxa" w:w="4320"/>
          </w:tcPr>
          <w:p>
            <w:r>
              <w:t>自然人/单位档案；一个客户可有多个用水户、结算户</w:t>
            </w:r>
          </w:p>
        </w:tc>
      </w:tr>
      <w:tr>
        <w:tc>
          <w:tcPr>
            <w:tcW w:type="dxa" w:w="4320"/>
          </w:tcPr>
          <w:p>
            <w:r>
              <w:t>用水户</w:t>
            </w:r>
          </w:p>
        </w:tc>
        <w:tc>
          <w:tcPr>
            <w:tcW w:type="dxa" w:w="4320"/>
          </w:tcPr>
          <w:p>
            <w:r>
              <w:t>受水点（一个地址一只表），抄表、结算、用水异常的对象</w:t>
            </w:r>
          </w:p>
        </w:tc>
      </w:tr>
      <w:tr>
        <w:tc>
          <w:tcPr>
            <w:tcW w:type="dxa" w:w="4320"/>
          </w:tcPr>
          <w:p>
            <w:r>
              <w:t>结算户</w:t>
            </w:r>
          </w:p>
        </w:tc>
        <w:tc>
          <w:tcPr>
            <w:tcW w:type="dxa" w:w="4320"/>
          </w:tcPr>
          <w:p>
            <w:r>
              <w:t>付费主体，账单、收款、预存、代扣按结算户归集</w:t>
            </w:r>
          </w:p>
        </w:tc>
      </w:tr>
      <w:tr>
        <w:tc>
          <w:tcPr>
            <w:tcW w:type="dxa" w:w="4320"/>
          </w:tcPr>
          <w:p>
            <w:r>
              <w:t>表务</w:t>
            </w:r>
          </w:p>
        </w:tc>
        <w:tc>
          <w:tcPr>
            <w:tcW w:type="dxa" w:w="4320"/>
          </w:tcPr>
          <w:p>
            <w:r>
              <w:t>水表全生命周期管理：档案、工单、装拆换、检定、库房、违章</w:t>
            </w:r>
          </w:p>
        </w:tc>
      </w:tr>
      <w:tr>
        <w:tc>
          <w:tcPr>
            <w:tcW w:type="dxa" w:w="4320"/>
          </w:tcPr>
          <w:p>
            <w:r>
              <w:t>角色/权限</w:t>
            </w:r>
          </w:p>
        </w:tc>
        <w:tc>
          <w:tcPr>
            <w:tcW w:type="dxa" w:w="4320"/>
          </w:tcPr>
          <w:p>
            <w:r>
              <w:t>按角色分配菜单与操作权限；待办任务按权限派发给候选责任人</w:t>
            </w:r>
          </w:p>
        </w:tc>
      </w:tr>
    </w:tbl>
    <w:p>
      <w:pPr>
        <w:pStyle w:val="Heading2"/>
      </w:pPr>
      <w:r>
        <w:t>1.2 登录</w:t>
      </w:r>
    </w:p>
    <w:p>
      <w:pPr>
        <w:ind w:left="283"/>
      </w:pPr>
      <w:r>
        <w:rPr>
          <w:b/>
        </w:rPr>
        <w:t xml:space="preserve">1. </w:t>
      </w:r>
      <w:r>
        <w:t>浏览器访问系统地址，进入登录页</w:t>
      </w:r>
    </w:p>
    <w:p>
      <w:pPr>
        <w:ind w:left="283"/>
      </w:pPr>
      <w:r>
        <w:rPr>
          <w:b/>
        </w:rPr>
        <w:t xml:space="preserve">2. </w:t>
      </w:r>
      <w:r>
        <w:t>依次填写「租户代码」（如 cd-water）、「账号」、「密码」，点击【登 录】</w:t>
      </w:r>
    </w:p>
    <w:p>
      <w:pPr>
        <w:ind w:left="283"/>
      </w:pPr>
      <w:r>
        <w:rPr>
          <w:b/>
        </w:rPr>
        <w:t xml:space="preserve">3. </w:t>
      </w:r>
      <w:r>
        <w:t>首次登录建议立即在系统管理-用户管理中确认账号权限</w:t>
      </w:r>
    </w:p>
    <w:p>
      <w:pPr>
        <w:pStyle w:val="ListBullet"/>
      </w:pPr>
      <w:r>
        <w:t>密码连续输错会被锁定；初始种子密码（admin123）在试点环境已被拒绝</w:t>
      </w:r>
    </w:p>
    <w:p>
      <w:pPr>
        <w:pStyle w:val="ListBullet"/>
      </w:pPr>
      <w:r>
        <w:t>登录态保存在浏览器本地，关闭后仍需重新验证时系统会自动跳转登录页</w:t>
      </w:r>
    </w:p>
    <w:p>
      <w:pPr>
        <w:pStyle w:val="Heading1"/>
      </w:pPr>
      <w:r>
        <w:t>2. 界面与通用操作</w:t>
      </w:r>
    </w:p>
    <w:p>
      <w:pPr>
        <w:pStyle w:val="Heading2"/>
      </w:pPr>
      <w:r>
        <w:t>2.1 界面布局</w:t>
      </w:r>
    </w:p>
    <w:p>
      <w:pPr>
        <w:pStyle w:val="ListBullet"/>
      </w:pPr>
      <w:r>
        <w:t>左侧：功能菜单，按业务域分组（可折叠）</w:t>
      </w:r>
    </w:p>
    <w:p>
      <w:pPr>
        <w:pStyle w:val="ListBullet"/>
      </w:pPr>
      <w:r>
        <w:t>顶部：系统名、租户代码、当前账号与角色、退出按钮、消息铃</w:t>
      </w:r>
    </w:p>
    <w:p>
      <w:pPr>
        <w:pStyle w:val="ListBullet"/>
      </w:pPr>
      <w:r>
        <w:t>中间：业务工作区（列表 + 弹窗表单为主）</w:t>
      </w:r>
    </w:p>
    <w:p>
      <w:pPr>
        <w:pStyle w:val="ListBullet"/>
      </w:pPr>
      <w:r>
        <w:t>列表页通用要素：搜索框、高级筛选、刷新、分页；行内按钮为该行的可用操作</w:t>
      </w:r>
    </w:p>
    <w:p>
      <w:pPr>
        <w:pStyle w:val="Heading2"/>
      </w:pPr>
      <w:r>
        <w:t>2.2 通用规则</w:t>
      </w:r>
    </w:p>
    <w:p>
      <w:pPr>
        <w:pStyle w:val="ListBullet"/>
      </w:pPr>
      <w:r>
        <w:t>红色星号 * 为必填项；日期控件可直接输入 YYYY-MM-DD 后回车</w:t>
      </w:r>
    </w:p>
    <w:p>
      <w:pPr>
        <w:pStyle w:val="ListBullet"/>
      </w:pPr>
      <w:r>
        <w:t>下拉选择器多数支持输入搜索（输入关键字即可过滤）</w:t>
      </w:r>
    </w:p>
    <w:p>
      <w:pPr>
        <w:pStyle w:val="ListBullet"/>
      </w:pPr>
      <w:r>
        <w:t>操作成功/失败在右上角浮出提示；失败会显示中文原因（如「该分表已挂接其他总表」）</w:t>
      </w:r>
    </w:p>
    <w:p>
      <w:pPr>
        <w:pStyle w:val="ListBullet"/>
      </w:pPr>
      <w:r>
        <w:t>重复提交同一表单不会产生重复数据（幂等保护）；误刷新/双击不会造成重复记账</w:t>
      </w:r>
    </w:p>
    <w:p>
      <w:pPr>
        <w:pStyle w:val="Heading1"/>
      </w:pPr>
      <w:r>
        <w:t>3. 菜单结构总览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一级菜单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子菜单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主要用途</w:t>
            </w:r>
          </w:p>
        </w:tc>
      </w:tr>
      <w:tr>
        <w:tc>
          <w:tcPr>
            <w:tcW w:type="dxa" w:w="2880"/>
          </w:tcPr>
          <w:p>
            <w:r>
              <w:t>经营驾驶舱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关键指标、趋势、预警</w:t>
            </w:r>
          </w:p>
        </w:tc>
      </w:tr>
      <w:tr>
        <w:tc>
          <w:tcPr>
            <w:tcW w:type="dxa" w:w="2880"/>
          </w:tcPr>
          <w:p>
            <w:r>
              <w:t>工作台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快捷入口与今日待办</w:t>
            </w:r>
          </w:p>
        </w:tc>
      </w:tr>
      <w:tr>
        <w:tc>
          <w:tcPr>
            <w:tcW w:type="dxa" w:w="2880"/>
          </w:tcPr>
          <w:p>
            <w:r>
              <w:t>异常中心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抄表/业务异常集中处理</w:t>
            </w:r>
          </w:p>
        </w:tc>
      </w:tr>
      <w:tr>
        <w:tc>
          <w:tcPr>
            <w:tcW w:type="dxa" w:w="2880"/>
          </w:tcPr>
          <w:p>
            <w:r>
              <w:t>待办中心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派发给我的任务（稽查、审批、处理等），支持领取/转办</w:t>
            </w:r>
          </w:p>
        </w:tc>
      </w:tr>
      <w:tr>
        <w:tc>
          <w:tcPr>
            <w:tcW w:type="dxa" w:w="2880"/>
          </w:tcPr>
          <w:p>
            <w:r>
              <w:t>报装管理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新装报装流程</w:t>
            </w:r>
          </w:p>
        </w:tc>
      </w:tr>
      <w:tr>
        <w:tc>
          <w:tcPr>
            <w:tcW w:type="dxa" w:w="2880"/>
          </w:tcPr>
          <w:p>
            <w:r>
              <w:t>客户管理</w:t>
            </w:r>
          </w:p>
        </w:tc>
        <w:tc>
          <w:tcPr>
            <w:tcW w:type="dxa" w:w="2880"/>
          </w:tcPr>
          <w:p>
            <w:r>
              <w:t>立户向导 / 客户列表 / 用水户 / 结算户</w:t>
            </w:r>
          </w:p>
        </w:tc>
        <w:tc>
          <w:tcPr>
            <w:tcW w:type="dxa" w:w="2880"/>
          </w:tcPr>
          <w:p>
            <w:r>
              <w:t>客户主档与开户</w:t>
            </w:r>
          </w:p>
        </w:tc>
      </w:tr>
      <w:tr>
        <w:tc>
          <w:tcPr>
            <w:tcW w:type="dxa" w:w="2880"/>
          </w:tcPr>
          <w:p>
            <w:r>
              <w:t>抄表管理</w:t>
            </w:r>
          </w:p>
        </w:tc>
        <w:tc>
          <w:tcPr>
            <w:tcW w:type="dxa" w:w="2880"/>
          </w:tcPr>
          <w:p>
            <w:r>
              <w:t>抄表册 / 抄表计划 / 抄表记录 / 总分表关系 / 远传数据源 / 远传设备 / 远传事件</w:t>
            </w:r>
          </w:p>
        </w:tc>
        <w:tc>
          <w:tcPr>
            <w:tcW w:type="dxa" w:w="2880"/>
          </w:tcPr>
          <w:p>
            <w:r>
              <w:t>抄表业务与远传接入</w:t>
            </w:r>
          </w:p>
        </w:tc>
      </w:tr>
      <w:tr>
        <w:tc>
          <w:tcPr>
            <w:tcW w:type="dxa" w:w="2880"/>
          </w:tcPr>
          <w:p>
            <w:r>
              <w:t>表务管理</w:t>
            </w:r>
          </w:p>
        </w:tc>
        <w:tc>
          <w:tcPr>
            <w:tcW w:type="dxa" w:w="2880"/>
          </w:tcPr>
          <w:p>
            <w:r>
              <w:t>水表档案 / 表务工单 / 处置统计 / 换表记录 / 水表库房 / 违章用水</w:t>
            </w:r>
          </w:p>
        </w:tc>
        <w:tc>
          <w:tcPr>
            <w:tcW w:type="dxa" w:w="2880"/>
          </w:tcPr>
          <w:p>
            <w:r>
              <w:t>水表全生命周期</w:t>
            </w:r>
          </w:p>
        </w:tc>
      </w:tr>
      <w:tr>
        <w:tc>
          <w:tcPr>
            <w:tcW w:type="dxa" w:w="2880"/>
          </w:tcPr>
          <w:p>
            <w:r>
              <w:t>结算管理</w:t>
            </w:r>
          </w:p>
        </w:tc>
        <w:tc>
          <w:tcPr>
            <w:tcW w:type="dxa" w:w="2880"/>
          </w:tcPr>
          <w:p>
            <w:r>
              <w:t>结算水量 / 补差管理</w:t>
            </w:r>
          </w:p>
        </w:tc>
        <w:tc>
          <w:tcPr>
            <w:tcW w:type="dxa" w:w="2880"/>
          </w:tcPr>
          <w:p>
            <w:r>
              <w:t>结算与估差校正</w:t>
            </w:r>
          </w:p>
        </w:tc>
      </w:tr>
      <w:tr>
        <w:tc>
          <w:tcPr>
            <w:tcW w:type="dxa" w:w="2880"/>
          </w:tcPr>
          <w:p>
            <w:r>
              <w:t>计费管理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资费方案与开账批次</w:t>
            </w:r>
          </w:p>
        </w:tc>
      </w:tr>
      <w:tr>
        <w:tc>
          <w:tcPr>
            <w:tcW w:type="dxa" w:w="2880"/>
          </w:tcPr>
          <w:p>
            <w:r>
              <w:t>收费管理</w:t>
            </w:r>
          </w:p>
        </w:tc>
        <w:tc>
          <w:tcPr>
            <w:tcW w:type="dxa" w:w="2880"/>
          </w:tcPr>
          <w:p>
            <w:r>
              <w:t>收费台 / 收款记录 / 预存管理 / 收费员日结 / 坏账核销 / 催缴通知 / 渠道对账 / 票据台账 / 银行代扣</w:t>
            </w:r>
          </w:p>
        </w:tc>
        <w:tc>
          <w:tcPr>
            <w:tcW w:type="dxa" w:w="2880"/>
          </w:tcPr>
          <w:p>
            <w:r>
              <w:t>收款与账务</w:t>
            </w:r>
          </w:p>
        </w:tc>
      </w:tr>
      <w:tr>
        <w:tc>
          <w:tcPr>
            <w:tcW w:type="dxa" w:w="2880"/>
          </w:tcPr>
          <w:p>
            <w:r>
              <w:t>报表 / 数据查询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统计报表与自定义查询导出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组织管理 / 用户管理 / 角色权限 / 租户参数 / 字典管理 / 指标字典 / 操作日志</w:t>
            </w:r>
          </w:p>
        </w:tc>
        <w:tc>
          <w:tcPr>
            <w:tcW w:type="dxa" w:w="2880"/>
          </w:tcPr>
          <w:p>
            <w:r>
              <w:t>系统配置与审计</w:t>
            </w:r>
          </w:p>
        </w:tc>
      </w:tr>
    </w:tbl>
    <w:p>
      <w:r>
        <w:br w:type="page"/>
      </w:r>
    </w:p>
    <w:p>
      <w:pPr>
        <w:pStyle w:val="Heading1"/>
      </w:pPr>
      <w:r>
        <w:t>4. 抄表管理</w:t>
      </w:r>
    </w:p>
    <w:p>
      <w:pPr>
        <w:pStyle w:val="Heading2"/>
      </w:pPr>
      <w:r>
        <w:t>4.1 抄表册</w:t>
      </w:r>
    </w:p>
    <w:p>
      <w:pPr>
        <w:ind w:left="283"/>
      </w:pPr>
      <w:r>
        <w:rPr>
          <w:b/>
        </w:rPr>
        <w:t xml:space="preserve">1. </w:t>
      </w:r>
      <w:r>
        <w:t>进入「抄表管理-抄表册」，查看册列表及册内户数</w:t>
      </w:r>
    </w:p>
    <w:p>
      <w:pPr>
        <w:ind w:left="283"/>
      </w:pPr>
      <w:r>
        <w:rPr>
          <w:b/>
        </w:rPr>
        <w:t xml:space="preserve">2. </w:t>
      </w:r>
      <w:r>
        <w:t>新建册：填写册号、册名、所属组织；册内表计通过册表关系维护</w:t>
      </w:r>
    </w:p>
    <w:p>
      <w:pPr>
        <w:ind w:left="283"/>
      </w:pPr>
      <w:r>
        <w:rPr>
          <w:b/>
        </w:rPr>
        <w:t xml:space="preserve">3. </w:t>
      </w:r>
      <w:r>
        <w:t>注意：一块在装表同一时间只能挂在一个有效册内（系统自动校验）</w:t>
      </w:r>
    </w:p>
    <w:p>
      <w:pPr>
        <w:pStyle w:val="Heading2"/>
      </w:pPr>
      <w:r>
        <w:t>4.2 抄表计划</w:t>
      </w:r>
    </w:p>
    <w:p>
      <w:pPr>
        <w:ind w:left="283"/>
      </w:pPr>
      <w:r>
        <w:rPr>
          <w:b/>
        </w:rPr>
        <w:t xml:space="preserve">1. </w:t>
      </w:r>
      <w:r>
        <w:t>「抄表计划」按月生成各册的抄表任务</w:t>
      </w:r>
    </w:p>
    <w:p>
      <w:pPr>
        <w:ind w:left="283"/>
      </w:pPr>
      <w:r>
        <w:rPr>
          <w:b/>
        </w:rPr>
        <w:t xml:space="preserve">2. </w:t>
      </w:r>
      <w:r>
        <w:t>计划下钻可看每条抄录明细状态（未抄/已抄/异常）</w:t>
      </w:r>
    </w:p>
    <w:p>
      <w:pPr>
        <w:pStyle w:val="Heading2"/>
      </w:pPr>
      <w:r>
        <w:t>4.3 抄表记录</w:t>
      </w:r>
    </w:p>
    <w:p>
      <w:pPr>
        <w:ind w:left="283"/>
      </w:pPr>
      <w:r>
        <w:rPr>
          <w:b/>
        </w:rPr>
        <w:t xml:space="preserve">1. </w:t>
      </w:r>
      <w:r>
        <w:t>列表按户号/客户/地址/账期筛选抄录记录</w:t>
      </w:r>
    </w:p>
    <w:p>
      <w:pPr>
        <w:ind w:left="283"/>
      </w:pPr>
      <w:r>
        <w:rPr>
          <w:b/>
        </w:rPr>
        <w:t xml:space="preserve">2. </w:t>
      </w:r>
      <w:r>
        <w:t>行内【详情】看完整记录；【更正】发起更正链（原记录保留，生成更正版本）</w:t>
      </w:r>
    </w:p>
    <w:p>
      <w:pPr>
        <w:ind w:left="283"/>
      </w:pPr>
      <w:r>
        <w:rPr>
          <w:b/>
        </w:rPr>
        <w:t xml:space="preserve">3. </w:t>
      </w:r>
      <w:r>
        <w:t>行内【上报违章】：抄表员发现疑似违章时一键上报，进入「待核实」并派发稽查任务</w:t>
      </w:r>
    </w:p>
    <w:p>
      <w:pPr>
        <w:ind w:left="283"/>
      </w:pPr>
      <w:r>
        <w:rPr>
          <w:b/>
        </w:rPr>
        <w:t xml:space="preserve">4. </w:t>
      </w:r>
      <w:r>
        <w:t>质检列显示自动质检结果；异常记录同步进入异常中心</w:t>
      </w:r>
    </w:p>
    <w:p>
      <w:pPr>
        <w:pStyle w:val="Heading2"/>
      </w:pPr>
      <w:r>
        <w:t>4.4 移动抄表（H5）</w:t>
      </w:r>
    </w:p>
    <w:p>
      <w:pPr>
        <w:ind w:left="283"/>
      </w:pPr>
      <w:r>
        <w:rPr>
          <w:b/>
        </w:rPr>
        <w:t xml:space="preserve">1. </w:t>
      </w:r>
      <w:r>
        <w:t>手机浏览器访问 系统地址/m/reading，用与 PC 相同的账号登录</w:t>
      </w:r>
    </w:p>
    <w:p>
      <w:pPr>
        <w:ind w:left="283"/>
      </w:pPr>
      <w:r>
        <w:rPr>
          <w:b/>
        </w:rPr>
        <w:t xml:space="preserve">2. </w:t>
      </w:r>
      <w:r>
        <w:t>按抄表计划逐户抄录，支持拍照上传表盘照片</w:t>
      </w:r>
    </w:p>
    <w:p>
      <w:pPr>
        <w:ind w:left="283"/>
      </w:pPr>
      <w:r>
        <w:rPr>
          <w:b/>
        </w:rPr>
        <w:t xml:space="preserve">3. </w:t>
      </w:r>
      <w:r>
        <w:t>拍照后系统自动识别读数：指针表/字轮表本地识别 → 低置信度自动走服务端智能识别兜底</w:t>
      </w:r>
    </w:p>
    <w:p>
      <w:pPr>
        <w:ind w:left="283"/>
      </w:pPr>
      <w:r>
        <w:rPr>
          <w:b/>
        </w:rPr>
        <w:t xml:space="preserve">4. </w:t>
      </w:r>
      <w:r>
        <w:t>识别结果仅为建议值，人工确认后提交；机械校验偏差或置信不足会提示人工核对</w:t>
      </w:r>
    </w:p>
    <w:p>
      <w:pPr>
        <w:ind w:left="283"/>
      </w:pPr>
      <w:r>
        <w:rPr>
          <w:b/>
        </w:rPr>
        <w:t xml:space="preserve">5. </w:t>
      </w:r>
      <w:r>
        <w:t>弱网/离线：录入先进本地队列，网络恢复后手动上传（上传带幂等键，重复提交安全）</w:t>
      </w:r>
    </w:p>
    <w:p>
      <w:pPr>
        <w:pStyle w:val="Heading2"/>
      </w:pPr>
      <w:r>
        <w:t>4.5 总分表关系</w:t>
      </w:r>
    </w:p>
    <w:p>
      <w:r>
        <w:rPr>
          <w:b w:val="0"/>
        </w:rPr>
        <w:t>用于「总表 + 分表」计费场景：按总表计费时分表户不计费，按分表计费时总表户不计费；考核表永不计费。</w:t>
      </w:r>
    </w:p>
    <w:p>
      <w:pPr>
        <w:ind w:left="283"/>
      </w:pPr>
      <w:r>
        <w:rPr>
          <w:b/>
        </w:rPr>
        <w:t xml:space="preserve">1. </w:t>
      </w:r>
      <w:r>
        <w:t>进入「抄表管理-总分表关系」，点【新建关系】</w:t>
      </w:r>
    </w:p>
    <w:p>
      <w:pPr>
        <w:ind w:left="283"/>
      </w:pPr>
      <w:r>
        <w:rPr>
          <w:b/>
        </w:rPr>
        <w:t xml:space="preserve">2. </w:t>
      </w:r>
      <w:r>
        <w:t>搜索选择「总表」与「分表」（输入表号过滤），选择计费模式（按总表计费/按分表计费），填生效日期后确定</w:t>
      </w:r>
    </w:p>
    <w:p>
      <w:pPr>
        <w:ind w:left="283"/>
      </w:pPr>
      <w:r>
        <w:rPr>
          <w:b/>
        </w:rPr>
        <w:t xml:space="preserve">3. </w:t>
      </w:r>
      <w:r>
        <w:t>列表可对关系执行【切换为按分表计费】【失 效】；失效后未挂接的表自动恢复为普通表</w:t>
      </w:r>
    </w:p>
    <w:p>
      <w:pPr>
        <w:pStyle w:val="ListBullet"/>
      </w:pPr>
      <w:r>
        <w:t>同一分表只能挂接一个有效总表，重复挂接会被拒绝</w:t>
      </w:r>
    </w:p>
    <w:p>
      <w:pPr>
        <w:pStyle w:val="ListBullet"/>
      </w:pPr>
      <w:r>
        <w:t>同一总表下的计费模式不可冲突</w:t>
      </w:r>
    </w:p>
    <w:p>
      <w:pPr>
        <w:pStyle w:val="ListBullet"/>
      </w:pPr>
      <w:r>
        <w:t>「漏损分析」：选择总表与期间 →【分析】，展示总表用量、分表合计、漏损差额、漏损率</w:t>
      </w:r>
    </w:p>
    <w:p>
      <w:pPr>
        <w:pStyle w:val="Heading2"/>
      </w:pPr>
      <w:r>
        <w:t>4.6 远传（数据源/设备/事件）</w:t>
      </w:r>
    </w:p>
    <w:p>
      <w:r>
        <w:rPr>
          <w:b w:val="0"/>
        </w:rPr>
        <w:t>远传水表的数据源接入、设备档案与采集事件查看；远传读数进入抄表记录时来源标记为远传。</w:t>
      </w:r>
    </w:p>
    <w:p>
      <w:pPr>
        <w:pStyle w:val="Heading1"/>
      </w:pPr>
      <w:r>
        <w:t>5. 表务管理</w:t>
      </w:r>
    </w:p>
    <w:p>
      <w:pPr>
        <w:pStyle w:val="Heading2"/>
      </w:pPr>
      <w:r>
        <w:t>5.1 水表档案</w:t>
      </w:r>
    </w:p>
    <w:p>
      <w:pPr>
        <w:ind w:left="283"/>
      </w:pPr>
      <w:r>
        <w:rPr>
          <w:b/>
        </w:rPr>
        <w:t xml:space="preserve">1. </w:t>
      </w:r>
      <w:r>
        <w:t>「表务管理-水表档案」：登记、编辑、查看水表；列表含表号/在装户号/品牌/口径/角色/状态等列</w:t>
      </w:r>
    </w:p>
    <w:p>
      <w:pPr>
        <w:ind w:left="283"/>
      </w:pPr>
      <w:r>
        <w:rPr>
          <w:b/>
        </w:rPr>
        <w:t xml:space="preserve">2. </w:t>
      </w:r>
      <w:r>
        <w:t>【登记水表】：表号可留空自动生成；「表具角色」可选 普通表 / 考核表（监控表，不计费）</w:t>
      </w:r>
    </w:p>
    <w:p>
      <w:pPr>
        <w:ind w:left="283"/>
      </w:pPr>
      <w:r>
        <w:rPr>
          <w:b/>
        </w:rPr>
        <w:t xml:space="preserve">3. </w:t>
      </w:r>
      <w:r>
        <w:t>行内【装拆记录】查看该表全生命周期装拆轨迹</w:t>
      </w:r>
    </w:p>
    <w:p>
      <w:r>
        <w:rPr>
          <w:b w:val="0"/>
        </w:rPr>
        <w:t>表具状态：可用 → 在装 → 维护/停用 → 报废。装表/拆表通过表务工单执行，不直接改状态。</w:t>
      </w:r>
    </w:p>
    <w:p>
      <w:pPr>
        <w:pStyle w:val="Heading2"/>
      </w:pPr>
      <w:r>
        <w:t>5.2 表务工单</w:t>
      </w:r>
    </w:p>
    <w:p>
      <w:pPr>
        <w:ind w:left="283"/>
      </w:pPr>
      <w:r>
        <w:rPr>
          <w:b/>
        </w:rPr>
        <w:t xml:space="preserve">1. </w:t>
      </w:r>
      <w:r>
        <w:t>工单类型：装表、拆表、换表（故障/周期检定）、周期检定、争议检定、复水等</w:t>
      </w:r>
    </w:p>
    <w:p>
      <w:pPr>
        <w:ind w:left="283"/>
      </w:pPr>
      <w:r>
        <w:rPr>
          <w:b/>
        </w:rPr>
        <w:t xml:space="preserve">2. </w:t>
      </w:r>
      <w:r>
        <w:t>流程：申请 → 审批 → 派发 → 执行回填 → 归档；各节点在待办中心领取处理</w:t>
      </w:r>
    </w:p>
    <w:p>
      <w:pPr>
        <w:ind w:left="283"/>
      </w:pPr>
      <w:r>
        <w:rPr>
          <w:b/>
        </w:rPr>
        <w:t xml:space="preserve">3. </w:t>
      </w:r>
      <w:r>
        <w:t>检定到期工单由系统每日自动扫描生成（提前量默认30天，租户参数 meterService.checkLeadDays 可配）</w:t>
      </w:r>
    </w:p>
    <w:p>
      <w:pPr>
        <w:ind w:left="283"/>
      </w:pPr>
      <w:r>
        <w:rPr>
          <w:b/>
        </w:rPr>
        <w:t xml:space="preserve">4. </w:t>
      </w:r>
      <w:r>
        <w:t>在网表周期检定工单自动标记「需换表」：执行时须先录换表三要素（新表号、拆表读数、装表读数），再录检定结果</w:t>
      </w:r>
    </w:p>
    <w:p>
      <w:pPr>
        <w:pStyle w:val="Heading3"/>
      </w:pPr>
      <w:r>
        <w:t>归档佐证（强制）</w:t>
      </w:r>
    </w:p>
    <w:p>
      <w:r>
        <w:rPr>
          <w:b w:val="0"/>
        </w:rPr>
        <w:t>归档时必须按工单/违章类型上传佐证，缺项系统拒绝归档并提示缺哪类佐证：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归档必传佐证</w:t>
            </w:r>
          </w:p>
        </w:tc>
      </w:tr>
      <w:tr>
        <w:tc>
          <w:tcPr>
            <w:tcW w:type="dxa" w:w="4320"/>
          </w:tcPr>
          <w:p>
            <w:r>
              <w:t>故障换表(FAULT)</w:t>
            </w:r>
          </w:p>
        </w:tc>
        <w:tc>
          <w:tcPr>
            <w:tcW w:type="dxa" w:w="4320"/>
          </w:tcPr>
          <w:p>
            <w:r>
              <w:t>现场照片 / 拆表读数照片 / 装表读数照片</w:t>
            </w:r>
          </w:p>
        </w:tc>
      </w:tr>
      <w:tr>
        <w:tc>
          <w:tcPr>
            <w:tcW w:type="dxa" w:w="4320"/>
          </w:tcPr>
          <w:p>
            <w:r>
              <w:t>违章用水</w:t>
            </w:r>
          </w:p>
        </w:tc>
        <w:tc>
          <w:tcPr>
            <w:tcW w:type="dxa" w:w="4320"/>
          </w:tcPr>
          <w:p>
            <w:r>
              <w:t>现场照片 + 处罚文书</w:t>
            </w:r>
          </w:p>
        </w:tc>
      </w:tr>
      <w:tr>
        <w:tc>
          <w:tcPr>
            <w:tcW w:type="dxa" w:w="4320"/>
          </w:tcPr>
          <w:p>
            <w:r>
              <w:t>其他类型</w:t>
            </w:r>
          </w:p>
        </w:tc>
        <w:tc>
          <w:tcPr>
            <w:tcW w:type="dxa" w:w="4320"/>
          </w:tcPr>
          <w:p>
            <w:r>
              <w:t>按页面提示补齐</w:t>
            </w:r>
          </w:p>
        </w:tc>
      </w:tr>
    </w:tbl>
    <w:p>
      <w:pPr>
        <w:pStyle w:val="Heading2"/>
      </w:pPr>
      <w:r>
        <w:t>5.3 换表记录</w:t>
      </w:r>
    </w:p>
    <w:p>
      <w:r>
        <w:rPr>
          <w:b w:val="0"/>
        </w:rPr>
        <w:t>所有换表的历史轨迹查询：原表/新表、拆表读数、装表读数、执行人、时间。</w:t>
      </w:r>
    </w:p>
    <w:p>
      <w:pPr>
        <w:pStyle w:val="Heading2"/>
      </w:pPr>
      <w:r>
        <w:t>5.4 处置统计</w:t>
      </w:r>
    </w:p>
    <w:p>
      <w:r>
        <w:rPr>
          <w:b w:val="0"/>
        </w:rPr>
        <w:t>工单类型×状态交叉统计、平均处置时长、按期完成率；页首展示 6 项表务 KPI：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口径</w:t>
            </w:r>
          </w:p>
        </w:tc>
      </w:tr>
      <w:tr>
        <w:tc>
          <w:tcPr>
            <w:tcW w:type="dxa" w:w="4320"/>
          </w:tcPr>
          <w:p>
            <w:r>
              <w:t>换表率</w:t>
            </w:r>
          </w:p>
        </w:tc>
        <w:tc>
          <w:tcPr>
            <w:tcW w:type="dxa" w:w="4320"/>
          </w:tcPr>
          <w:p>
            <w:r>
              <w:t>换表工单数 / 在装表数</w:t>
            </w:r>
          </w:p>
        </w:tc>
      </w:tr>
      <w:tr>
        <w:tc>
          <w:tcPr>
            <w:tcW w:type="dxa" w:w="4320"/>
          </w:tcPr>
          <w:p>
            <w:r>
              <w:t>故障换表率</w:t>
            </w:r>
          </w:p>
        </w:tc>
        <w:tc>
          <w:tcPr>
            <w:tcW w:type="dxa" w:w="4320"/>
          </w:tcPr>
          <w:p>
            <w:r>
              <w:t>故障换表工单数 / 在装表数</w:t>
            </w:r>
          </w:p>
        </w:tc>
      </w:tr>
      <w:tr>
        <w:tc>
          <w:tcPr>
            <w:tcW w:type="dxa" w:w="4320"/>
          </w:tcPr>
          <w:p>
            <w:r>
              <w:t>周期检定完成率</w:t>
            </w:r>
          </w:p>
        </w:tc>
        <w:tc>
          <w:tcPr>
            <w:tcW w:type="dxa" w:w="4320"/>
          </w:tcPr>
          <w:p>
            <w:r>
              <w:t>已完成检定 / 应检表数</w:t>
            </w:r>
          </w:p>
        </w:tc>
      </w:tr>
      <w:tr>
        <w:tc>
          <w:tcPr>
            <w:tcW w:type="dxa" w:w="4320"/>
          </w:tcPr>
          <w:p>
            <w:r>
              <w:t>检定合格率</w:t>
            </w:r>
          </w:p>
        </w:tc>
        <w:tc>
          <w:tcPr>
            <w:tcW w:type="dxa" w:w="4320"/>
          </w:tcPr>
          <w:p>
            <w:r>
              <w:t>检定合格 / 已检表数</w:t>
            </w:r>
          </w:p>
        </w:tc>
      </w:tr>
      <w:tr>
        <w:tc>
          <w:tcPr>
            <w:tcW w:type="dxa" w:w="4320"/>
          </w:tcPr>
          <w:p>
            <w:r>
              <w:t>复水及时率</w:t>
            </w:r>
          </w:p>
        </w:tc>
        <w:tc>
          <w:tcPr>
            <w:tcW w:type="dxa" w:w="4320"/>
          </w:tcPr>
          <w:p>
            <w:r>
              <w:t>SLA内完成复水 / 复水工单数</w:t>
            </w:r>
          </w:p>
        </w:tc>
      </w:tr>
      <w:tr>
        <w:tc>
          <w:tcPr>
            <w:tcW w:type="dxa" w:w="4320"/>
          </w:tcPr>
          <w:p>
            <w:r>
              <w:t>表务处置及时率</w:t>
            </w:r>
          </w:p>
        </w:tc>
        <w:tc>
          <w:tcPr>
            <w:tcW w:type="dxa" w:w="4320"/>
          </w:tcPr>
          <w:p>
            <w:r>
              <w:t>SLA内完成工单 / 工单总数（SLA默认72h，可配）</w:t>
            </w:r>
          </w:p>
        </w:tc>
      </w:tr>
    </w:tbl>
    <w:p>
      <w:pPr>
        <w:pStyle w:val="Heading2"/>
      </w:pPr>
      <w:r>
        <w:t>5.5 水表库房</w:t>
      </w:r>
    </w:p>
    <w:p>
      <w:r>
        <w:rPr>
          <w:b w:val="0"/>
        </w:rPr>
        <w:t>启用库房后，装表/换表强制从库存选表（非库存表无法安装）。</w:t>
      </w:r>
    </w:p>
    <w:p>
      <w:pPr>
        <w:ind w:left="283"/>
      </w:pPr>
      <w:r>
        <w:rPr>
          <w:b/>
        </w:rPr>
        <w:t xml:space="preserve">1. </w:t>
      </w:r>
      <w:r>
        <w:t>【建库房】填库房编号/名称/所属单位；【建货位】选库房后填货位编号/名称</w:t>
      </w:r>
    </w:p>
    <w:p>
      <w:pPr>
        <w:ind w:left="283"/>
      </w:pPr>
      <w:r>
        <w:rPr>
          <w:b/>
        </w:rPr>
        <w:t xml:space="preserve">2. </w:t>
      </w:r>
      <w:r>
        <w:t>【出入库登记】选类型：采购入库（需供应商+批次号）/ 领用出库 / 退库回库 / 报废出库 / 库间调拨</w:t>
      </w:r>
    </w:p>
    <w:p>
      <w:pPr>
        <w:ind w:left="283"/>
      </w:pPr>
      <w:r>
        <w:rPr>
          <w:b/>
        </w:rPr>
        <w:t xml:space="preserve">3. </w:t>
      </w:r>
      <w:r>
        <w:t>搜索表号可多选，选目标库房与货位，填单据号提交</w:t>
      </w:r>
    </w:p>
    <w:p>
      <w:pPr>
        <w:ind w:left="283"/>
      </w:pPr>
      <w:r>
        <w:rPr>
          <w:b/>
        </w:rPr>
        <w:t xml:space="preserve">4. </w:t>
      </w:r>
      <w:r>
        <w:t>「库存」页签看当前在库表及货位；「出入库流水」页签看全部流水（表号/类型/单据号/供应商/批次/时间）</w:t>
      </w:r>
    </w:p>
    <w:p>
      <w:pPr>
        <w:ind w:left="283"/>
      </w:pPr>
      <w:r>
        <w:rPr>
          <w:b/>
        </w:rPr>
        <w:t xml:space="preserve">5. </w:t>
      </w:r>
      <w:r>
        <w:t>领用出库的表（ISSUED 状态）可直接装表；装表成功自动记领用流水</w:t>
      </w:r>
    </w:p>
    <w:p>
      <w:pPr>
        <w:pStyle w:val="Heading2"/>
      </w:pPr>
      <w:r>
        <w:t>5.6 违章用水</w:t>
      </w:r>
    </w:p>
    <w:p>
      <w:pPr>
        <w:ind w:left="283"/>
      </w:pPr>
      <w:r>
        <w:rPr>
          <w:b/>
        </w:rPr>
        <w:t xml:space="preserve">1. </w:t>
      </w:r>
      <w:r>
        <w:t>「稽查登记」：搜索选择用水户（支持户号/客户/地址/表号搜索），选违章类型（字典 VIOLATION_TYPE 维护），填描述与现场照片引用 → 登记后状态「处理中」，自动派发 VIOLATION_HANDLE 高优先级任务给候选责任人</w:t>
      </w:r>
    </w:p>
    <w:p>
      <w:pPr>
        <w:ind w:left="283"/>
      </w:pPr>
      <w:r>
        <w:rPr>
          <w:b/>
        </w:rPr>
        <w:t xml:space="preserve">2. </w:t>
      </w:r>
      <w:r>
        <w:t>抄表上报来源的违章先进入「待核实」：核实属实转处理中，误报关闭</w:t>
      </w:r>
    </w:p>
    <w:p>
      <w:pPr>
        <w:ind w:left="283"/>
      </w:pPr>
      <w:r>
        <w:rPr>
          <w:b/>
        </w:rPr>
        <w:t xml:space="preserve">3. </w:t>
      </w:r>
      <w:r>
        <w:t>【处 理】：录罚款金额、补缴水费、可关联联动工单（停水/拆表）、处理说明</w:t>
      </w:r>
    </w:p>
    <w:p>
      <w:pPr>
        <w:ind w:left="283"/>
      </w:pPr>
      <w:r>
        <w:rPr>
          <w:b/>
        </w:rPr>
        <w:t xml:space="preserve">4. </w:t>
      </w:r>
      <w:r>
        <w:t>【归 档】：按类型强制佐证（如私自接水须现场照片+处罚文书），补齐后归档</w:t>
      </w:r>
    </w:p>
    <w:p>
      <w:pPr>
        <w:pStyle w:val="Heading1"/>
      </w:pPr>
      <w:r>
        <w:t>6. 收费管理 · 银行代扣</w:t>
      </w:r>
    </w:p>
    <w:p>
      <w:r>
        <w:rPr>
          <w:b w:val="0"/>
        </w:rPr>
        <w:t>批量代扣流程：签协议 → 生成批次 → 执行 → 自动销账 → 导出银企文件。银行通道为适配器模式（当前为模拟通道，接真实银行时替换适配器）。</w:t>
      </w:r>
    </w:p>
    <w:p>
      <w:pPr>
        <w:pStyle w:val="Heading2"/>
      </w:pPr>
      <w:r>
        <w:t>6.1 签约代扣协议</w:t>
      </w:r>
    </w:p>
    <w:p>
      <w:pPr>
        <w:ind w:left="283"/>
      </w:pPr>
      <w:r>
        <w:rPr>
          <w:b/>
        </w:rPr>
        <w:t xml:space="preserve">1. </w:t>
      </w:r>
      <w:r>
        <w:t>「收费管理-银行代扣」→【签协议】</w:t>
      </w:r>
    </w:p>
    <w:p>
      <w:pPr>
        <w:ind w:left="283"/>
      </w:pPr>
      <w:r>
        <w:rPr>
          <w:b/>
        </w:rPr>
        <w:t xml:space="preserve">2. </w:t>
      </w:r>
      <w:r>
        <w:t>搜索选择「结算户」（名称模糊搜索），填银行卡号、开户行（下拉）、户名 → 确定</w:t>
      </w:r>
    </w:p>
    <w:p>
      <w:pPr>
        <w:ind w:left="283"/>
      </w:pPr>
      <w:r>
        <w:rPr>
          <w:b/>
        </w:rPr>
        <w:t xml:space="preserve">3. </w:t>
      </w:r>
      <w:r>
        <w:t>协议列表显示 结算户/卡号掩码/开户行/户名/状态；可【解 约】</w:t>
      </w:r>
    </w:p>
    <w:p>
      <w:pPr>
        <w:pStyle w:val="Heading2"/>
      </w:pPr>
      <w:r>
        <w:t>6.2 生成与执行批次</w:t>
      </w:r>
    </w:p>
    <w:p>
      <w:pPr>
        <w:ind w:left="283"/>
      </w:pPr>
      <w:r>
        <w:rPr>
          <w:b/>
        </w:rPr>
        <w:t xml:space="preserve">1. </w:t>
      </w:r>
      <w:r>
        <w:t>【生成代扣批次】填期间 YYYYMM：系统对所有生效协议按结算户汇总当期欠费生成批次</w:t>
      </w:r>
    </w:p>
    <w:p>
      <w:pPr>
        <w:ind w:left="283"/>
      </w:pPr>
      <w:r>
        <w:rPr>
          <w:b/>
        </w:rPr>
        <w:t xml:space="preserve">2. </w:t>
      </w:r>
      <w:r>
        <w:t>已在其他批次（成功或处理中）的结算户自动跳过并提示「防重复」</w:t>
      </w:r>
    </w:p>
    <w:p>
      <w:pPr>
        <w:ind w:left="283"/>
      </w:pPr>
      <w:r>
        <w:rPr>
          <w:b/>
        </w:rPr>
        <w:t xml:space="preserve">3. </w:t>
      </w:r>
      <w:r>
        <w:t>批次行【执行】：逐户经银行通道扣款；成功户自动生成 BANK_DEDUCT 渠道收款并按账单欠费自动分摊销账</w:t>
      </w:r>
    </w:p>
    <w:p>
      <w:pPr>
        <w:ind w:left="283"/>
      </w:pPr>
      <w:r>
        <w:rPr>
          <w:b/>
        </w:rPr>
        <w:t xml:space="preserve">4. </w:t>
      </w:r>
      <w:r>
        <w:t>【明 细】查看每户扣款金额、结果、银行流水号、失败原因；失败户可进入后续批次重扣，成功户永远不再扣</w:t>
      </w:r>
    </w:p>
    <w:p>
      <w:pPr>
        <w:ind w:left="283"/>
      </w:pPr>
      <w:r>
        <w:rPr>
          <w:b/>
        </w:rPr>
        <w:t xml:space="preserve">5. </w:t>
      </w:r>
      <w:r>
        <w:t>批次完成后不可重复执行（BATCH_ALREADY_DONE）</w:t>
      </w:r>
    </w:p>
    <w:p>
      <w:pPr>
        <w:pStyle w:val="Heading2"/>
      </w:pPr>
      <w:r>
        <w:t>6.3 银企文件导出</w:t>
      </w:r>
    </w:p>
    <w:p>
      <w:r>
        <w:rPr>
          <w:b w:val="0"/>
        </w:rPr>
        <w:t>明细弹窗内提供三类文件：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PKMX 扣款明细</w:t>
            </w:r>
          </w:p>
        </w:tc>
        <w:tc>
          <w:tcPr>
            <w:tcW w:type="dxa" w:w="2880"/>
          </w:tcPr>
          <w:p>
            <w:r>
              <w:t>协议户、卡号、金额、期间</w:t>
            </w:r>
          </w:p>
        </w:tc>
        <w:tc>
          <w:tcPr>
            <w:tcW w:type="dxa" w:w="2880"/>
          </w:tcPr>
          <w:p>
            <w:r>
              <w:t>发往银行的扣款盘片</w:t>
            </w:r>
          </w:p>
        </w:tc>
      </w:tr>
      <w:tr>
        <w:tc>
          <w:tcPr>
            <w:tcW w:type="dxa" w:w="2880"/>
          </w:tcPr>
          <w:p>
            <w:r>
              <w:t>PKJG 扣款结果</w:t>
            </w:r>
          </w:p>
        </w:tc>
        <w:tc>
          <w:tcPr>
            <w:tcW w:type="dxa" w:w="2880"/>
          </w:tcPr>
          <w:p>
            <w:r>
              <w:t>每户扣款结果、银行流水、失败原因</w:t>
            </w:r>
          </w:p>
        </w:tc>
        <w:tc>
          <w:tcPr>
            <w:tcW w:type="dxa" w:w="2880"/>
          </w:tcPr>
          <w:p>
            <w:r>
              <w:t>银行回盘记录</w:t>
            </w:r>
          </w:p>
        </w:tc>
      </w:tr>
      <w:tr>
        <w:tc>
          <w:tcPr>
            <w:tcW w:type="dxa" w:w="2880"/>
          </w:tcPr>
          <w:p>
            <w:r>
              <w:t>DZMX 对账明细</w:t>
            </w:r>
          </w:p>
        </w:tc>
        <w:tc>
          <w:tcPr>
            <w:tcW w:type="dxa" w:w="2880"/>
          </w:tcPr>
          <w:p>
            <w:r>
              <w:t>扣款额、状态、流水、收款单号</w:t>
            </w:r>
          </w:p>
        </w:tc>
        <w:tc>
          <w:tcPr>
            <w:tcW w:type="dxa" w:w="2880"/>
          </w:tcPr>
          <w:p>
            <w:r>
              <w:t>与银行对账</w:t>
            </w:r>
          </w:p>
        </w:tc>
      </w:tr>
    </w:tbl>
    <w:p>
      <w:r>
        <w:br w:type="page"/>
      </w:r>
    </w:p>
    <w:p>
      <w:pPr>
        <w:pStyle w:val="Heading1"/>
      </w:pPr>
      <w:r>
        <w:t>7. 待办中心与异常中心</w:t>
      </w:r>
    </w:p>
    <w:p>
      <w:pPr>
        <w:pStyle w:val="ListBullet"/>
      </w:pPr>
      <w:r>
        <w:t>待办中心聚合所有派发给本角色的任务（工单审批/派发/执行、违章处置、复核等），可按优先级/到期日排序，领取后处理</w:t>
      </w:r>
    </w:p>
    <w:p>
      <w:pPr>
        <w:pStyle w:val="ListBullet"/>
      </w:pPr>
      <w:r>
        <w:t>任务有到期时间与优先级；超时未处理会按规则升级</w:t>
      </w:r>
    </w:p>
    <w:p>
      <w:pPr>
        <w:pStyle w:val="ListBullet"/>
      </w:pPr>
      <w:r>
        <w:t>异常中心聚合抄表异常（突增/突减/负用量/估抄等），处理后闭环</w:t>
      </w:r>
    </w:p>
    <w:p>
      <w:pPr>
        <w:pStyle w:val="Heading1"/>
      </w:pPr>
      <w:r>
        <w:t>8. 其他业务域速览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要点</w:t>
            </w:r>
          </w:p>
        </w:tc>
      </w:tr>
      <w:tr>
        <w:tc>
          <w:tcPr>
            <w:tcW w:type="dxa" w:w="4320"/>
          </w:tcPr>
          <w:p>
            <w:r>
              <w:t>立户向导</w:t>
            </w:r>
          </w:p>
        </w:tc>
        <w:tc>
          <w:tcPr>
            <w:tcW w:type="dxa" w:w="4320"/>
          </w:tcPr>
          <w:p>
            <w:r>
              <w:t>一步完成客户+用水户+结算户建档与装表</w:t>
            </w:r>
          </w:p>
        </w:tc>
      </w:tr>
      <w:tr>
        <w:tc>
          <w:tcPr>
            <w:tcW w:type="dxa" w:w="4320"/>
          </w:tcPr>
          <w:p>
            <w:r>
              <w:t>结算水量</w:t>
            </w:r>
          </w:p>
        </w:tc>
        <w:tc>
          <w:tcPr>
            <w:tcW w:type="dxa" w:w="4320"/>
          </w:tcPr>
          <w:p>
            <w:r>
              <w:t>按期生成结算；总分表计费模式自动排除不计费侧；考核表永不计费</w:t>
            </w:r>
          </w:p>
        </w:tc>
      </w:tr>
      <w:tr>
        <w:tc>
          <w:tcPr>
            <w:tcW w:type="dxa" w:w="4320"/>
          </w:tcPr>
          <w:p>
            <w:r>
              <w:t>补差管理</w:t>
            </w:r>
          </w:p>
        </w:tc>
        <w:tc>
          <w:tcPr>
            <w:tcW w:type="dxa" w:w="4320"/>
          </w:tcPr>
          <w:p>
            <w:r>
              <w:t>估抄与实抄差额的调账复核</w:t>
            </w:r>
          </w:p>
        </w:tc>
      </w:tr>
      <w:tr>
        <w:tc>
          <w:tcPr>
            <w:tcW w:type="dxa" w:w="4320"/>
          </w:tcPr>
          <w:p>
            <w:r>
              <w:t>收费台</w:t>
            </w:r>
          </w:p>
        </w:tc>
        <w:tc>
          <w:tcPr>
            <w:tcW w:type="dxa" w:w="4320"/>
          </w:tcPr>
          <w:p>
            <w:r>
              <w:t>按结算户查欠、收款、打印票据；收款自动按账单分摊</w:t>
            </w:r>
          </w:p>
        </w:tc>
      </w:tr>
      <w:tr>
        <w:tc>
          <w:tcPr>
            <w:tcW w:type="dxa" w:w="4320"/>
          </w:tcPr>
          <w:p>
            <w:r>
              <w:t>预存管理</w:t>
            </w:r>
          </w:p>
        </w:tc>
        <w:tc>
          <w:tcPr>
            <w:tcW w:type="dxa" w:w="4320"/>
          </w:tcPr>
          <w:p>
            <w:r>
              <w:t>预存充值/退款，自动抵欠</w:t>
            </w:r>
          </w:p>
        </w:tc>
      </w:tr>
      <w:tr>
        <w:tc>
          <w:tcPr>
            <w:tcW w:type="dxa" w:w="4320"/>
          </w:tcPr>
          <w:p>
            <w:r>
              <w:t>收费员日结</w:t>
            </w:r>
          </w:p>
        </w:tc>
        <w:tc>
          <w:tcPr>
            <w:tcW w:type="dxa" w:w="4320"/>
          </w:tcPr>
          <w:p>
            <w:r>
              <w:t>按收费员×日汇总日结，日结后收款锁定</w:t>
            </w:r>
          </w:p>
        </w:tc>
      </w:tr>
      <w:tr>
        <w:tc>
          <w:tcPr>
            <w:tcW w:type="dxa" w:w="4320"/>
          </w:tcPr>
          <w:p>
            <w:r>
              <w:t>坏账核销</w:t>
            </w:r>
          </w:p>
        </w:tc>
        <w:tc>
          <w:tcPr>
            <w:tcW w:type="dxa" w:w="4320"/>
          </w:tcPr>
          <w:p>
            <w:r>
              <w:t>符合条件的呆坏账核销流程</w:t>
            </w:r>
          </w:p>
        </w:tc>
      </w:tr>
      <w:tr>
        <w:tc>
          <w:tcPr>
            <w:tcW w:type="dxa" w:w="4320"/>
          </w:tcPr>
          <w:p>
            <w:r>
              <w:t>渠道对账</w:t>
            </w:r>
          </w:p>
        </w:tc>
        <w:tc>
          <w:tcPr>
            <w:tcW w:type="dxa" w:w="4320"/>
          </w:tcPr>
          <w:p>
            <w:r>
              <w:t>各收款渠道与银行/第三方对账</w:t>
            </w:r>
          </w:p>
        </w:tc>
      </w:tr>
      <w:tr>
        <w:tc>
          <w:tcPr>
            <w:tcW w:type="dxa" w:w="4320"/>
          </w:tcPr>
          <w:p>
            <w:r>
              <w:t>坏账/报表/查询</w:t>
            </w:r>
          </w:p>
        </w:tc>
        <w:tc>
          <w:tcPr>
            <w:tcW w:type="dxa" w:w="4320"/>
          </w:tcPr>
          <w:p>
            <w:r>
              <w:t>日报月报年报、指标字典可配 KPI、自定义查询导出</w:t>
            </w:r>
          </w:p>
        </w:tc>
      </w:tr>
      <w:tr>
        <w:tc>
          <w:tcPr>
            <w:tcW w:type="dxa" w:w="4320"/>
          </w:tcPr>
          <w:p>
            <w:r>
              <w:t>操作日志</w:t>
            </w:r>
          </w:p>
        </w:tc>
        <w:tc>
          <w:tcPr>
            <w:tcW w:type="dxa" w:w="4320"/>
          </w:tcPr>
          <w:p>
            <w:r>
              <w:t>关键操作全量审计（操作人/时间/内容）</w:t>
            </w:r>
          </w:p>
        </w:tc>
      </w:tr>
    </w:tbl>
    <w:p>
      <w:pPr>
        <w:pStyle w:val="Heading1"/>
      </w:pPr>
      <w:r>
        <w:t>9. 常见操作提示对照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提示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含义与处理</w:t>
            </w:r>
          </w:p>
        </w:tc>
      </w:tr>
      <w:tr>
        <w:tc>
          <w:tcPr>
            <w:tcW w:type="dxa" w:w="4320"/>
          </w:tcPr>
          <w:p>
            <w:r>
              <w:t>该分表已挂接其他总表</w:t>
            </w:r>
          </w:p>
        </w:tc>
        <w:tc>
          <w:tcPr>
            <w:tcW w:type="dxa" w:w="4320"/>
          </w:tcPr>
          <w:p>
            <w:r>
              <w:t>SUB_ALREADY_RELATED：一块分表只能有一个有效总表</w:t>
            </w:r>
          </w:p>
        </w:tc>
      </w:tr>
      <w:tr>
        <w:tc>
          <w:tcPr>
            <w:tcW w:type="dxa" w:w="4320"/>
          </w:tcPr>
          <w:p>
            <w:r>
              <w:t>考核表不能建立总分关系</w:t>
            </w:r>
          </w:p>
        </w:tc>
        <w:tc>
          <w:tcPr>
            <w:tcW w:type="dxa" w:w="4320"/>
          </w:tcPr>
          <w:p>
            <w:r>
              <w:t>CHECK_METER_CANNOT_RELATE</w:t>
            </w:r>
          </w:p>
        </w:tc>
      </w:tr>
      <w:tr>
        <w:tc>
          <w:tcPr>
            <w:tcW w:type="dxa" w:w="4320"/>
          </w:tcPr>
          <w:p>
            <w:r>
              <w:t>该水表不在库存中</w:t>
            </w:r>
          </w:p>
        </w:tc>
        <w:tc>
          <w:tcPr>
            <w:tcW w:type="dxa" w:w="4320"/>
          </w:tcPr>
          <w:p>
            <w:r>
              <w:t>METER_NOT_IN_STOCK：启用库房后须从库存选表装表</w:t>
            </w:r>
          </w:p>
        </w:tc>
      </w:tr>
      <w:tr>
        <w:tc>
          <w:tcPr>
            <w:tcW w:type="dxa" w:w="4320"/>
          </w:tcPr>
          <w:p>
            <w:r>
              <w:t>归档佐证不全</w:t>
            </w:r>
          </w:p>
        </w:tc>
        <w:tc>
          <w:tcPr>
            <w:tcW w:type="dxa" w:w="4320"/>
          </w:tcPr>
          <w:p>
            <w:r>
              <w:t>EVIDENCE_REQUIRED：按弹窗提示补齐必传佐证后重试</w:t>
            </w:r>
          </w:p>
        </w:tc>
      </w:tr>
      <w:tr>
        <w:tc>
          <w:tcPr>
            <w:tcW w:type="dxa" w:w="4320"/>
          </w:tcPr>
          <w:p>
            <w:r>
              <w:t>该结算户已有生效中的代扣协议</w:t>
            </w:r>
          </w:p>
        </w:tc>
        <w:tc>
          <w:tcPr>
            <w:tcW w:type="dxa" w:w="4320"/>
          </w:tcPr>
          <w:p>
            <w:r>
              <w:t>AGREEMENT_ALREADY_ACTIVE：先解约再签</w:t>
            </w:r>
          </w:p>
        </w:tc>
      </w:tr>
      <w:tr>
        <w:tc>
          <w:tcPr>
            <w:tcW w:type="dxa" w:w="4320"/>
          </w:tcPr>
          <w:p>
            <w:r>
              <w:t>该批次已执行完成，不可重复执行</w:t>
            </w:r>
          </w:p>
        </w:tc>
        <w:tc>
          <w:tcPr>
            <w:tcW w:type="dxa" w:w="4320"/>
          </w:tcPr>
          <w:p>
            <w:r>
              <w:t>BATCH_ALREADY_DONE</w:t>
            </w:r>
          </w:p>
        </w:tc>
      </w:tr>
      <w:tr>
        <w:tc>
          <w:tcPr>
            <w:tcW w:type="dxa" w:w="4320"/>
          </w:tcPr>
          <w:p>
            <w:r>
              <w:t>任务已被其他责任人领取</w:t>
            </w:r>
          </w:p>
        </w:tc>
        <w:tc>
          <w:tcPr>
            <w:tcW w:type="dxa" w:w="4320"/>
          </w:tcPr>
          <w:p>
            <w:r>
              <w:t>TASK_ALREADY_CLAIMED：刷新待办列表</w:t>
            </w:r>
          </w:p>
        </w:tc>
      </w:tr>
      <w:tr>
        <w:tc>
          <w:tcPr>
            <w:tcW w:type="dxa" w:w="4320"/>
          </w:tcPr>
          <w:p>
            <w:r>
              <w:t>重复提交</w:t>
            </w:r>
          </w:p>
        </w:tc>
        <w:tc>
          <w:tcPr>
            <w:tcW w:type="dxa" w:w="4320"/>
          </w:tcPr>
          <w:p>
            <w:r>
              <w:t>幂等保护生效，原请求已受理，无需重试</w:t>
            </w:r>
          </w:p>
        </w:tc>
      </w:tr>
    </w:tbl>
    <w:p>
      <w:pPr>
        <w:pStyle w:val="Heading1"/>
      </w:pPr>
      <w:r>
        <w:t>附录：试点环境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访问地址</w:t>
            </w:r>
          </w:p>
        </w:tc>
        <w:tc>
          <w:tcPr>
            <w:tcW w:type="dxa" w:w="4320"/>
          </w:tcPr>
          <w:p>
            <w:r>
              <w:t>http://192.168.3.185:5185（LAN）/ https://water.manqiaotechnology.com</w:t>
            </w:r>
          </w:p>
        </w:tc>
      </w:tr>
      <w:tr>
        <w:tc>
          <w:tcPr>
            <w:tcW w:type="dxa" w:w="4320"/>
          </w:tcPr>
          <w:p>
            <w:r>
              <w:t>移动抄表</w:t>
            </w:r>
          </w:p>
        </w:tc>
        <w:tc>
          <w:tcPr>
            <w:tcW w:type="dxa" w:w="4320"/>
          </w:tcPr>
          <w:p>
            <w:r>
              <w:t>同地址 /m/reading</w:t>
            </w:r>
          </w:p>
        </w:tc>
      </w:tr>
      <w:tr>
        <w:tc>
          <w:tcPr>
            <w:tcW w:type="dxa" w:w="4320"/>
          </w:tcPr>
          <w:p>
            <w:r>
              <w:t>租户</w:t>
            </w:r>
          </w:p>
        </w:tc>
        <w:tc>
          <w:tcPr>
            <w:tcW w:type="dxa" w:w="4320"/>
          </w:tcPr>
          <w:p>
            <w:r>
              <w:t>cd-water（成都水务）、xh-water</w:t>
            </w:r>
          </w:p>
        </w:tc>
      </w:tr>
      <w:tr>
        <w:tc>
          <w:tcPr>
            <w:tcW w:type="dxa" w:w="4320"/>
          </w:tcPr>
          <w:p>
            <w:r>
              <w:t>管理员</w:t>
            </w:r>
          </w:p>
        </w:tc>
        <w:tc>
          <w:tcPr>
            <w:tcW w:type="dxa" w:w="4320"/>
          </w:tcPr>
          <w:p>
            <w:r>
              <w:t>admin（密码单独下发）</w:t>
            </w:r>
          </w:p>
        </w:tc>
      </w:tr>
      <w:tr>
        <w:tc>
          <w:tcPr>
            <w:tcW w:type="dxa" w:w="4320"/>
          </w:tcPr>
          <w:p>
            <w:r>
              <w:t>当前版本</w:t>
            </w:r>
          </w:p>
        </w:tc>
        <w:tc>
          <w:tcPr>
            <w:tcW w:type="dxa" w:w="4320"/>
          </w:tcPr>
          <w:p>
            <w:r>
              <w:t>ebdc64f（页脚/发布信息可见 commit）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