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D3FB0">
      <w:pPr>
        <w:spacing w:before="1240"/>
        <w:jc w:val="center"/>
      </w:pPr>
      <w:r>
        <w:rPr>
          <w:rFonts w:ascii="Noto Sans CJK SC" w:hAnsi="Noto Sans CJK SC" w:eastAsia="Noto Sans CJK SC"/>
          <w:b/>
          <w:color w:val="17365D"/>
          <w:sz w:val="64"/>
        </w:rPr>
        <w:t>Water SaaS</w:t>
      </w:r>
    </w:p>
    <w:p w14:paraId="36DDF923">
      <w:pPr>
        <w:jc w:val="center"/>
      </w:pPr>
      <w:r>
        <w:rPr>
          <w:rFonts w:ascii="Noto Sans CJK SC" w:hAnsi="Noto Sans CJK SC" w:eastAsia="Noto Sans CJK SC"/>
          <w:b/>
          <w:color w:val="2F75B5"/>
          <w:sz w:val="50"/>
        </w:rPr>
        <w:t>产品地图与架构规划</w:t>
      </w:r>
    </w:p>
    <w:p w14:paraId="12BC5330">
      <w:pPr>
        <w:spacing w:before="80" w:after="440" w:line="240" w:lineRule="auto"/>
        <w:jc w:val="center"/>
      </w:pPr>
      <w:r>
        <w:rPr>
          <w:rFonts w:ascii="Noto Sans CJK SC" w:hAnsi="Noto Sans CJK SC" w:eastAsia="Noto Sans CJK SC"/>
          <w:color w:val="5F6B76"/>
          <w:sz w:val="22"/>
        </w:rPr>
        <w:t>PRODUCT MAP · Architecture · Business Logic · Roadmap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E924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2F75B5" w:sz="18" w:space="0"/>
              <w:bottom w:val="nil"/>
              <w:right w:val="nil"/>
            </w:tcBorders>
            <w:shd w:val="clear" w:color="auto" w:fill="EEF5FB"/>
          </w:tcPr>
          <w:p w14:paraId="20545FE4">
            <w:pPr>
              <w:spacing w:before="80" w:after="80" w:line="288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 xml:space="preserve">文档定位  </w:t>
            </w:r>
            <w:r>
              <w:rPr>
                <w:rFonts w:ascii="Noto Sans CJK SC" w:hAnsi="Noto Sans CJK SC" w:eastAsia="Noto Sans CJK SC"/>
                <w:color w:val="243447"/>
                <w:sz w:val="21"/>
              </w:rPr>
              <w:t>这是产品决策基线，不是功能堆叠清单。任何新增功能都应先映射到业务域、核心对象、用户问题、版本层级和明确的“不做什么”。</w:t>
            </w:r>
          </w:p>
        </w:tc>
      </w:tr>
    </w:tbl>
    <w:p w14:paraId="7183939B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2A46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>
            <w:pPr/>
            <w:r>
              <w:rPr>
                <w:b/>
                <w:color w:val="17365D"/>
              </w:rPr>
            </w:r>
            <w:r>
              <w:rPr>
                <w:rFonts w:ascii="Noto Sans CJK SC" w:hAnsi="Noto Sans CJK SC"/>
                <w:color w:val="243447"/>
                <w:sz w:val="21"/>
              </w:rPr>
              <w:t>版本</w:t>
            </w:r>
          </w:p>
        </w:tc>
        <w:tc>
          <w:tcPr>
            <w:tcW w:w="4986" w:type="dxa"/>
            <w:shd w:val="clear" w:color="auto" w:fill="FFFFFF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21"/>
              </w:rPr>
              <w:t>v1.1</w:t>
            </w:r>
          </w:p>
        </w:tc>
      </w:tr>
      <w:tr w14:paraId="72225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EF5FB"/>
            <w:vAlign w:val="center"/>
          </w:tcPr>
          <w:p>
            <w:pPr/>
            <w:r>
              <w:rPr>
                <w:b/>
                <w:color w:val="17365D"/>
              </w:rPr>
            </w:r>
            <w:r>
              <w:rPr>
                <w:rFonts w:ascii="Noto Sans CJK SC" w:hAnsi="Noto Sans CJK SC"/>
                <w:color w:val="243447"/>
                <w:sz w:val="21"/>
              </w:rPr>
              <w:t>产品基线</w:t>
            </w:r>
          </w:p>
        </w:tc>
        <w:tc>
          <w:tcPr>
            <w:tcW w:w="4986" w:type="dxa"/>
            <w:shd w:val="clear" w:color="auto" w:fill="FFFFFF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21"/>
              </w:rPr>
              <w:t>v0.2.0-mvp（业务完整性版本已通过 Release Gate）</w:t>
            </w:r>
          </w:p>
        </w:tc>
      </w:tr>
      <w:tr w14:paraId="7D3E0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>
            <w:pPr/>
            <w:r>
              <w:rPr>
                <w:b/>
                <w:color w:val="17365D"/>
              </w:rPr>
            </w:r>
            <w:r>
              <w:rPr>
                <w:rFonts w:ascii="Noto Sans CJK SC" w:hAnsi="Noto Sans CJK SC"/>
                <w:color w:val="243447"/>
                <w:sz w:val="21"/>
              </w:rPr>
              <w:t>当前阶段</w:t>
            </w:r>
          </w:p>
        </w:tc>
        <w:tc>
          <w:tcPr>
            <w:tcW w:w="4986" w:type="dxa"/>
            <w:shd w:val="clear" w:color="auto" w:fill="FFFFFF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21"/>
              </w:rPr>
              <w:t>v0.2.x 郊县水司适配（County Utility Fit）+ 真实 Pilot</w:t>
            </w:r>
          </w:p>
        </w:tc>
      </w:tr>
      <w:tr w14:paraId="73386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EF5FB"/>
            <w:vAlign w:val="center"/>
          </w:tcPr>
          <w:p>
            <w:pPr/>
            <w:r>
              <w:rPr>
                <w:b/>
                <w:color w:val="17365D"/>
              </w:rPr>
            </w:r>
            <w:r>
              <w:rPr>
                <w:rFonts w:ascii="Noto Sans CJK SC" w:hAnsi="Noto Sans CJK SC"/>
                <w:color w:val="243447"/>
                <w:sz w:val="21"/>
              </w:rPr>
              <w:t>输入依据</w:t>
            </w:r>
          </w:p>
        </w:tc>
        <w:tc>
          <w:tcPr>
            <w:tcW w:w="4986" w:type="dxa"/>
            <w:shd w:val="clear" w:color="auto" w:fill="FFFFFF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21"/>
              </w:rPr>
              <w:t>现有 Water SaaS 架构、v0.2 UAT/Release 结论、成熟水务系统截图、郊县水司 ICP 补充</w:t>
            </w:r>
          </w:p>
        </w:tc>
      </w:tr>
      <w:tr w14:paraId="4EA59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>
            <w:pPr/>
            <w:r>
              <w:rPr>
                <w:b/>
                <w:color w:val="17365D"/>
              </w:rPr>
            </w:r>
            <w:r>
              <w:rPr>
                <w:rFonts w:ascii="Noto Sans CJK SC" w:hAnsi="Noto Sans CJK SC"/>
                <w:color w:val="243447"/>
                <w:sz w:val="21"/>
              </w:rPr>
              <w:t>日期</w:t>
            </w:r>
          </w:p>
        </w:tc>
        <w:tc>
          <w:tcPr>
            <w:tcW w:w="4986" w:type="dxa"/>
            <w:shd w:val="clear" w:color="auto" w:fill="FFFFFF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21"/>
              </w:rPr>
              <w:t>2026-09-21</w:t>
            </w:r>
          </w:p>
        </w:tc>
      </w:tr>
    </w:tbl>
    <w:p w14:paraId="0F33119B"/>
    <w:p w14:paraId="083A1C75">
      <w:pPr>
        <w:jc w:val="center"/>
      </w:pPr>
      <w:r>
        <w:rPr>
          <w:rFonts w:ascii="Noto Sans CJK SC" w:hAnsi="Noto Sans CJK SC"/>
        </w:rPr>
        <w:t>核心方向：郊县水司优先 + 少而稳定的业务域 + 对象中心 + 可追溯账务 + Remote / Prepayment 能力前置</w:t>
      </w:r>
    </w:p>
    <w:p w14:paraId="3DE5C174">
      <w:r>
        <w:br w:type="page"/>
      </w:r>
    </w:p>
    <w:p w14:paraId="27F41713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阅读结论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F381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5B9F68" w:sz="18" w:space="0"/>
              <w:bottom w:val="nil"/>
              <w:right w:val="nil"/>
            </w:tcBorders>
            <w:shd w:val="clear" w:color="auto" w:fill="EAF4EF"/>
          </w:tcPr>
          <w:p>
            <w:pPr/>
            <w:r/>
            <w:r>
              <w:rPr>
                <w:rFonts w:ascii="Noto Sans CJK SC" w:hAnsi="Noto Sans CJK SC"/>
                <w:color w:val="243447"/>
                <w:sz w:val="21"/>
              </w:rPr>
              <w:t>一句话产品定义  面向郊县/县级中小水司及区域供水单位的现代化营业收费 SaaS：以客户与水表为对象中心，贯通人工/远传采集、结算计费、现场/预存资金核销、日结与运营分析；先保证账务正确，再补郊县关键能力，再优化效率，最后扩展企业集成。</w:t>
            </w:r>
          </w:p>
        </w:tc>
      </w:tr>
    </w:tbl>
    <w:p w14:paraId="526B2756">
      <w:pPr>
        <w:spacing w:after="0"/>
      </w:pPr>
    </w:p>
    <w:p w14:paraId="7CD76E58">
      <w:pPr>
        <w:spacing w:before="0" w:after="120" w:line="300" w:lineRule="auto"/>
      </w:pPr>
      <w:r>
        <w:rPr>
          <w:rFonts w:ascii="Noto Sans CJK SC" w:hAnsi="Noto Sans CJK SC" w:eastAsia="Noto Sans CJK SC"/>
          <w:color w:val="243447"/>
          <w:sz w:val="21"/>
        </w:rPr>
        <w:t>我们不复制成熟老系统的几十个菜单。成熟系统的价值在于证明“长期运营最终会遇到哪些业务问题”；我们的目标是用更清晰的数据模型和对象中心交互，把这些能力压缩进少量稳定业务域。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92A7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756A7BAF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主题</w:t>
            </w:r>
          </w:p>
        </w:tc>
        <w:tc>
          <w:tcPr>
            <w:tcW w:w="6803" w:type="dxa"/>
            <w:shd w:val="clear" w:color="auto" w:fill="17365D"/>
            <w:vAlign w:val="center"/>
          </w:tcPr>
          <w:p w14:paraId="5B1B9548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冻结结论</w:t>
            </w:r>
          </w:p>
        </w:tc>
      </w:tr>
      <w:tr w14:paraId="75D9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36A2A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产品骨架</w:t>
            </w:r>
          </w:p>
        </w:tc>
        <w:tc>
          <w:tcPr>
            <w:tcW w:w="6803" w:type="dxa"/>
            <w:vAlign w:val="center"/>
          </w:tcPr>
          <w:p w14:paraId="42F0B4F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7 个一级业务域：工作台、客户与水表、抄表、结算与计费、收费与账务、报表与运营、系统管理</w:t>
            </w:r>
          </w:p>
        </w:tc>
      </w:tr>
    </w:tbl>
    <w:p w14:paraId="4C22FBF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D870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21DDC46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业务中心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129F3E6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WaterAccount（水表户）是主要业务聚合点，串联客户、结算关系、水表安装、抄表、结算、账单、收费和史</w:t>
            </w:r>
          </w:p>
        </w:tc>
      </w:tr>
      <w:tr w14:paraId="12F4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B3AF9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账务原则</w:t>
            </w:r>
          </w:p>
        </w:tc>
        <w:tc>
          <w:tcPr>
            <w:tcW w:w="6803" w:type="dxa"/>
            <w:vAlign w:val="center"/>
          </w:tcPr>
          <w:p w14:paraId="03F6CDB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POSTED 财务事实不可原地改；更正通过 supersede / reversal / replacement / adjustment，保留完整历史</w:t>
            </w:r>
          </w:p>
        </w:tc>
      </w:tr>
      <w:tr w14:paraId="7E8DE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2A426B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版本策略</w:t>
            </w:r>
          </w:p>
        </w:tc>
        <w:tc>
          <w:tcPr>
            <w:tcW w:w="6803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v0.2.0=业务完整 I；v0.2.x=郊县水司适配；v0.3=高效使用；v0.4+=企业能力；GIS/APP/DMA 等客户驱动</w:t>
            </w:r>
          </w:p>
        </w:tc>
      </w:tr>
      <w:tr w14:paraId="62B3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AB85D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当前重点</w:t>
            </w:r>
          </w:p>
        </w:tc>
        <w:tc>
          <w:tcPr>
            <w:tcW w:w="6803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Remote Reading Integration V1、Prepayment V1、水表生命周期 UI、用户360°、异常中心、欠费/运营报表</w:t>
            </w:r>
          </w:p>
        </w:tc>
      </w:tr>
    </w:tbl>
    <w:p w14:paraId="4482AD9A">
      <w:pPr>
        <w:spacing w:after="0"/>
      </w:pPr>
    </w:p>
    <w:p w14:paraId="684275F9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目录</w:t>
      </w:r>
    </w:p>
    <w:p w14:paraId="6A13D1CB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1. 产品思维导图与七大业务域</w:t>
      </w:r>
    </w:p>
    <w:p w14:paraId="6C36CCFF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2. 产品定位与设计原则</w:t>
      </w:r>
    </w:p>
    <w:p w14:paraId="1AE44EEF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3. 业务架构与核心交易主链</w:t>
      </w:r>
    </w:p>
    <w:p w14:paraId="44FB25E8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4. 对象模型：WaterAccount 360°</w:t>
      </w:r>
    </w:p>
    <w:p w14:paraId="303D32AE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5. 功能层级：Core / Operational / Enterprise / Specialized</w:t>
      </w:r>
    </w:p>
    <w:p w14:paraId="176094B7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6. 当前基线与成熟系统启示</w:t>
      </w:r>
    </w:p>
    <w:p w14:paraId="43EBEE04">
      <w:pPr>
        <w:spacing w:before="0" w:after="40" w:line="240" w:lineRule="auto"/>
      </w:pPr>
      <w:r>
        <w:rPr>
          <w:rFonts w:ascii="Noto Sans CJK SC" w:hAnsi="Noto Sans CJK SC"/>
        </w:rPr>
        <w:t>7. v0.2 家族产品地图：v0.2.0 + 郊县水司适配</w:t>
      </w:r>
    </w:p>
    <w:p w14:paraId="73453CD2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8. v0.3：运营效率</w:t>
      </w:r>
    </w:p>
    <w:p w14:paraId="4B74008A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9. v0.4+：企业能力与客户特化</w:t>
      </w:r>
    </w:p>
    <w:p w14:paraId="34379E5B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10. 角色与信息架构</w:t>
      </w:r>
    </w:p>
    <w:p w14:paraId="5CB67EE6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11. 技术与数据架构护栏</w:t>
      </w:r>
    </w:p>
    <w:p w14:paraId="60F696A2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12. 版本治理与验收门禁</w:t>
      </w:r>
    </w:p>
    <w:p w14:paraId="33B4BFE5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13. 下一步执行计划</w:t>
      </w:r>
    </w:p>
    <w:p w14:paraId="54A4FA49">
      <w:pPr>
        <w:spacing w:before="0" w:after="40" w:line="240" w:lineRule="auto"/>
      </w:pPr>
      <w:r>
        <w:rPr>
          <w:rFonts w:ascii="Noto Sans CJK SC" w:hAnsi="Noto Sans CJK SC" w:eastAsia="Noto Sans CJK SC"/>
          <w:color w:val="2F75B5"/>
          <w:sz w:val="21"/>
        </w:rPr>
        <w:t>附录：能力清单</w:t>
      </w:r>
    </w:p>
    <w:p w14:paraId="6D22FD33">
      <w:pPr>
        <w:sectPr>
          <w:headerReference r:id="rId5" w:type="default"/>
          <w:footerReference r:id="rId6" w:type="default"/>
          <w:pgSz w:w="12240" w:h="15840"/>
          <w:pgMar w:top="1020" w:right="1134" w:bottom="964" w:left="1134" w:header="720" w:footer="720" w:gutter="0"/>
          <w:cols w:space="720" w:num="1"/>
          <w:docGrid w:linePitch="360" w:charSpace="0"/>
        </w:sectPr>
      </w:pPr>
    </w:p>
    <w:p w14:paraId="5660EDF7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1. 产品思维导图与七大业务域</w:t>
      </w:r>
    </w:p>
    <w:p w14:paraId="45F24974">
      <w:pPr>
        <w:jc w:val="center"/>
      </w:pPr>
      <w:r>
        <w:drawing>
          <wp:inline distT="0" distB="0" distL="114300" distR="114300">
            <wp:extent cx="9875520" cy="614489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1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4CE0"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color w:val="5F6B76"/>
          <w:sz w:val="18"/>
        </w:rPr>
        <w:t>图 1  Water SaaS 产品思维导图：一级业务域保持稳定，能力向内生长而不是向菜单扩散</w:t>
      </w:r>
    </w:p>
    <w:p w14:paraId="4F4FC2F6">
      <w:pPr>
        <w:sectPr>
          <w:headerReference r:id="rId7" w:type="default"/>
          <w:footerReference r:id="rId8" w:type="default"/>
          <w:pgSz w:w="15840" w:h="12240" w:orient="landscape"/>
          <w:pgMar w:top="680" w:right="680" w:bottom="680" w:left="680" w:header="720" w:footer="720" w:gutter="0"/>
          <w:cols w:space="720" w:num="1"/>
          <w:docGrid w:linePitch="360" w:charSpace="0"/>
        </w:sectPr>
      </w:pPr>
    </w:p>
    <w:p w14:paraId="3CB746A0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2. 产品定位与设计原则</w:t>
      </w:r>
    </w:p>
    <w:p w14:paraId="0FC5F7F2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2.1 产品定位</w:t>
      </w:r>
    </w:p>
    <w:p w14:paraId="678A46FC">
      <w:pPr>
        <w:spacing w:before="0" w:after="120" w:line="300" w:lineRule="auto"/>
      </w:pPr>
      <w:r>
        <w:rPr>
          <w:rFonts w:ascii="Noto Sans CJK SC" w:hAnsi="Noto Sans CJK SC"/>
        </w:rPr>
        <w:t>Water SaaS 的目标不是成为一个“功能最多”的传统营业收费系统，而是成为一个可快速部署、账务正确、流程清晰、可持续扩展的水务营业收费 SaaS。v1.1 将首要 ICP 明确为郊县/县级中小型自来水公司及区域供水单位；园区、机场、物业供水单位仍属于相邻市场。首要 ICP 的现实特征——人工与远传表长期混用、欠费与回收率压力较高、IT 团队较轻——直接决定 Remote Reading Integration V1 与 Prepayment V1 的优先级。</w:t>
      </w:r>
    </w:p>
    <w:p>
      <w:pPr>
        <w:pStyle w:val="5"/>
      </w:pPr>
      <w:r>
        <w:t>2.1.1 首要 ICP：郊县 / 县级中小水司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247"/>
        <w:gridCol w:w="2381"/>
        <w:gridCol w:w="3969"/>
      </w:tblGrid>
      <w:tr w14:paraId="129D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ICP 特征</w:t>
            </w:r>
          </w:p>
        </w:tc>
        <w:tc>
          <w:tcPr>
            <w:tcW w:w="1247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常见现实</w:t>
            </w:r>
          </w:p>
        </w:tc>
        <w:tc>
          <w:tcPr>
            <w:tcW w:w="2381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产品含义</w:t>
            </w:r>
          </w:p>
        </w:tc>
        <w:tc>
          <w:tcPr>
            <w:tcW w:w="3969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近期优先级</w:t>
            </w:r>
          </w:p>
        </w:tc>
      </w:tr>
      <w:tr w14:paraId="2A8D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表计结构</w:t>
            </w:r>
          </w:p>
        </w:tc>
        <w:tc>
          <w:tcPr>
            <w:tcW w:w="1247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机械表与远传表长期并存</w:t>
            </w:r>
          </w:p>
        </w:tc>
        <w:tc>
          <w:tcPr>
            <w:tcW w:w="238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保留人工抄表主链，同时建设轻量 Remote 数据接入层</w:t>
            </w:r>
          </w:p>
        </w:tc>
        <w:tc>
          <w:tcPr>
            <w:tcW w:w="396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Remote Reading V1</w:t>
            </w:r>
          </w:p>
        </w:tc>
      </w:tr>
      <w:tr w14:paraId="0EB92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收费回收</w:t>
            </w:r>
          </w:p>
        </w:tc>
        <w:tc>
          <w:tcPr>
            <w:tcW w:w="1247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欠费/回收率压力高，居民预存可改善现金回收</w:t>
            </w:r>
          </w:p>
        </w:tc>
        <w:tc>
          <w:tcPr>
            <w:tcW w:w="238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预存必须进入账务闭环、收据、日结和自动抵扣</w:t>
            </w:r>
          </w:p>
        </w:tc>
        <w:tc>
          <w:tcPr>
            <w:tcW w:w="3969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Prepayment V1</w:t>
            </w:r>
          </w:p>
        </w:tc>
      </w:tr>
      <w:tr w14:paraId="1418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组织能力</w:t>
            </w:r>
          </w:p>
        </w:tc>
        <w:tc>
          <w:tcPr>
            <w:tcW w:w="1247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人员精简、专职 IT 能力有限</w:t>
            </w:r>
          </w:p>
        </w:tc>
        <w:tc>
          <w:tcPr>
            <w:tcW w:w="238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配置简单、失败可回退、不要先做重型 IoT/工作流平台</w:t>
            </w:r>
          </w:p>
        </w:tc>
        <w:tc>
          <w:tcPr>
            <w:tcW w:w="396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SaaS 简化运维</w:t>
            </w:r>
          </w:p>
        </w:tc>
      </w:tr>
      <w:tr w14:paraId="2B539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采购决策</w:t>
            </w:r>
          </w:p>
        </w:tc>
        <w:tc>
          <w:tcPr>
            <w:tcW w:w="1247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先看能否稳定营业，再看高级集成</w:t>
            </w:r>
          </w:p>
        </w:tc>
        <w:tc>
          <w:tcPr>
            <w:tcW w:w="238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Core 层级由目标客户营业关键性决定，不是行业绝对分类</w:t>
            </w:r>
          </w:p>
        </w:tc>
        <w:tc>
          <w:tcPr>
            <w:tcW w:w="3969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先核心、后企业化</w:t>
            </w:r>
          </w:p>
        </w:tc>
      </w:tr>
    </w:tbl>
    <w:p w14:paraId="23C8E7E0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2.2 五条产品原则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1A05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7365D"/>
            <w:vAlign w:val="center"/>
          </w:tcPr>
          <w:p w14:paraId="6F66CA90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原则</w:t>
            </w:r>
          </w:p>
        </w:tc>
        <w:tc>
          <w:tcPr>
            <w:tcW w:w="6690" w:type="dxa"/>
            <w:shd w:val="clear" w:color="auto" w:fill="17365D"/>
            <w:vAlign w:val="center"/>
          </w:tcPr>
          <w:p w14:paraId="38B51B6B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解释</w:t>
            </w:r>
          </w:p>
        </w:tc>
      </w:tr>
      <w:tr w14:paraId="4320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21137C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对象中心，而不是菜单中心</w:t>
            </w:r>
          </w:p>
        </w:tc>
        <w:tc>
          <w:tcPr>
            <w:tcW w:w="6690" w:type="dxa"/>
            <w:vAlign w:val="center"/>
          </w:tcPr>
          <w:p w14:paraId="30E79BB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围绕 WaterAccount、Meter、Settlement、Bill、Payment 等对象组织操作和历史；避免“开户/修改/查询/删除/换表”分别变成一级菜单。</w:t>
            </w:r>
          </w:p>
        </w:tc>
      </w:tr>
      <w:tr w14:paraId="641F0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9FC"/>
            <w:vAlign w:val="center"/>
          </w:tcPr>
          <w:p w14:paraId="5553EC1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事实与计算分离</w:t>
            </w:r>
          </w:p>
        </w:tc>
        <w:tc>
          <w:tcPr>
            <w:tcW w:w="6690" w:type="dxa"/>
            <w:shd w:val="clear" w:color="auto" w:fill="F7F9FC"/>
            <w:vAlign w:val="center"/>
          </w:tcPr>
          <w:p w14:paraId="5EBA928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真实表码是事实；估水、结算水量、补差和费用是派生结果。禁止用“模拟表码”污染原始事实。</w:t>
            </w:r>
          </w:p>
        </w:tc>
      </w:tr>
      <w:tr w14:paraId="7CBD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D293D1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财务不可变</w:t>
            </w:r>
          </w:p>
        </w:tc>
        <w:tc>
          <w:tcPr>
            <w:tcW w:w="6690" w:type="dxa"/>
            <w:vAlign w:val="center"/>
          </w:tcPr>
          <w:p w14:paraId="5DF423B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终审/过账后的业务事实不原地修改；错误通过追加式纠正，完整保留审计链。</w:t>
            </w:r>
          </w:p>
        </w:tc>
      </w:tr>
      <w:tr w14:paraId="6246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9FC"/>
            <w:vAlign w:val="center"/>
          </w:tcPr>
          <w:p w14:paraId="7D29F99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先正确，再完整，再高效</w:t>
            </w:r>
          </w:p>
        </w:tc>
        <w:tc>
          <w:tcPr>
            <w:tcW w:w="6690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v0.1.x 建立正确闭环；v0.2.0 完成第一阶段业务完整；v0.2.x 补郊县关键能力（Remote/预存）；v0.3 优化日常效率；企业集成后置。</w:t>
            </w:r>
          </w:p>
        </w:tc>
      </w:tr>
      <w:tr w14:paraId="50E72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01ED7D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少而稳定的一级导航</w:t>
            </w:r>
          </w:p>
        </w:tc>
        <w:tc>
          <w:tcPr>
            <w:tcW w:w="6690" w:type="dxa"/>
            <w:vAlign w:val="center"/>
          </w:tcPr>
          <w:p w14:paraId="34D4837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一级域尽量维持 7 个。新能力优先进入既有域，除非形成新的独立业务责任边界。</w:t>
            </w:r>
          </w:p>
        </w:tc>
      </w:tr>
    </w:tbl>
    <w:p w14:paraId="2B4230BE">
      <w:pPr>
        <w:spacing w:after="0"/>
      </w:pPr>
    </w:p>
    <w:p w14:paraId="27CAB0F3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3. 业务架构与核心交易主链</w:t>
      </w:r>
    </w:p>
    <w:p w14:paraId="063947E0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3.1 七大业务域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4819"/>
        <w:gridCol w:w="1247"/>
      </w:tblGrid>
      <w:tr w14:paraId="719E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0200B900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业务域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01C1D8DD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责任</w:t>
            </w:r>
          </w:p>
        </w:tc>
        <w:tc>
          <w:tcPr>
            <w:tcW w:w="4819" w:type="dxa"/>
            <w:shd w:val="clear" w:color="auto" w:fill="17365D"/>
            <w:vAlign w:val="center"/>
          </w:tcPr>
          <w:p w14:paraId="5FF7AEAA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主要能力</w:t>
            </w:r>
          </w:p>
        </w:tc>
        <w:tc>
          <w:tcPr>
            <w:tcW w:w="1247" w:type="dxa"/>
            <w:shd w:val="clear" w:color="auto" w:fill="17365D"/>
            <w:vAlign w:val="center"/>
          </w:tcPr>
          <w:p w14:paraId="5FF4BCD7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定位</w:t>
            </w:r>
          </w:p>
        </w:tc>
      </w:tr>
      <w:tr w14:paraId="4B0C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FEC5B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工作台</w:t>
            </w:r>
          </w:p>
        </w:tc>
        <w:tc>
          <w:tcPr>
            <w:tcW w:w="1701" w:type="dxa"/>
            <w:vAlign w:val="center"/>
          </w:tcPr>
          <w:p w14:paraId="6DB6AE7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角色入口</w:t>
            </w:r>
          </w:p>
        </w:tc>
        <w:tc>
          <w:tcPr>
            <w:tcW w:w="4819" w:type="dxa"/>
            <w:vAlign w:val="center"/>
          </w:tcPr>
          <w:p w14:paraId="085A296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今日待办、抄表进度、异常、收费、欠费、开账失败</w:t>
            </w:r>
          </w:p>
        </w:tc>
        <w:tc>
          <w:tcPr>
            <w:tcW w:w="1247" w:type="dxa"/>
            <w:vAlign w:val="center"/>
          </w:tcPr>
          <w:p w14:paraId="082CA82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v0.2/V0.3逐步增强</w:t>
            </w:r>
          </w:p>
        </w:tc>
      </w:tr>
      <w:tr w14:paraId="00B2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D2B135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客户与水表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A34599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基础档案与生命周期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38D8576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Customer、SettleAccount、WaterAccount、Meter、Installation、变更历史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1275DDE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</w:t>
            </w:r>
          </w:p>
        </w:tc>
      </w:tr>
      <w:tr w14:paraId="3F2FA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46CBA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抄表</w:t>
            </w:r>
          </w:p>
        </w:tc>
        <w:tc>
          <w:tcPr>
            <w:tcW w:w="1701" w:type="dxa"/>
            <w:vAlign w:val="center"/>
          </w:tcPr>
          <w:p w14:paraId="4F0EA29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采集与质检</w:t>
            </w:r>
          </w:p>
        </w:tc>
        <w:tc>
          <w:tcPr>
            <w:tcW w:w="481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抄表册、计划、人工实抄、Remote Reading V1、未抄见、QC、估水入口</w:t>
            </w:r>
          </w:p>
        </w:tc>
        <w:tc>
          <w:tcPr>
            <w:tcW w:w="1247" w:type="dxa"/>
            <w:vAlign w:val="center"/>
          </w:tcPr>
          <w:p w14:paraId="2727CD6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</w:t>
            </w:r>
          </w:p>
        </w:tc>
      </w:tr>
      <w:tr w14:paraId="0C9B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D0BE28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结算与计费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C798FC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水量到应收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455E77F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Settlement、Component、Reconciliation、Tariff、BillingRun、Bill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5DF951A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</w:t>
            </w:r>
          </w:p>
        </w:tc>
      </w:tr>
      <w:tr w14:paraId="2C8A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8AA1B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收费与账务</w:t>
            </w:r>
          </w:p>
        </w:tc>
        <w:tc>
          <w:tcPr>
            <w:tcW w:w="1701" w:type="dxa"/>
            <w:vAlign w:val="center"/>
          </w:tcPr>
          <w:p w14:paraId="6AA8AB9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应收到实收</w:t>
            </w:r>
          </w:p>
        </w:tc>
        <w:tc>
          <w:tcPr>
            <w:tcW w:w="481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欠费、Payment、Allocation、Receipt、Prepayment Ledger V1、Reversal、DayClose</w:t>
            </w:r>
          </w:p>
        </w:tc>
        <w:tc>
          <w:tcPr>
            <w:tcW w:w="1247" w:type="dxa"/>
            <w:vAlign w:val="center"/>
          </w:tcPr>
          <w:p w14:paraId="5759D69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</w:t>
            </w:r>
          </w:p>
        </w:tc>
      </w:tr>
      <w:tr w14:paraId="4BB54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367B65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报表与运营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16AB0E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运营可见性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207B17E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应收、实收、回收率、售水量、抄表完成率、异常、连续未抄</w:t>
            </w:r>
          </w:p>
        </w:tc>
        <w:tc>
          <w:tcPr>
            <w:tcW w:w="1247" w:type="dxa"/>
            <w:shd w:val="clear" w:color="auto" w:fill="F7F9FC"/>
            <w:vAlign w:val="center"/>
          </w:tcPr>
          <w:p w14:paraId="0D13B55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核心→增强</w:t>
            </w:r>
          </w:p>
        </w:tc>
      </w:tr>
      <w:tr w14:paraId="1498B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3D96B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系统管理</w:t>
            </w:r>
          </w:p>
        </w:tc>
        <w:tc>
          <w:tcPr>
            <w:tcW w:w="1701" w:type="dxa"/>
            <w:vAlign w:val="center"/>
          </w:tcPr>
          <w:p w14:paraId="4317309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组织与安全</w:t>
            </w:r>
          </w:p>
        </w:tc>
        <w:tc>
          <w:tcPr>
            <w:tcW w:w="4819" w:type="dxa"/>
            <w:vAlign w:val="center"/>
          </w:tcPr>
          <w:p w14:paraId="165702E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Tenant、Org、Staff、Role、参数、审计</w:t>
            </w:r>
          </w:p>
        </w:tc>
        <w:tc>
          <w:tcPr>
            <w:tcW w:w="1247" w:type="dxa"/>
            <w:vAlign w:val="center"/>
          </w:tcPr>
          <w:p w14:paraId="289D63E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平台底座</w:t>
            </w:r>
          </w:p>
        </w:tc>
      </w:tr>
    </w:tbl>
    <w:p w14:paraId="24600E59">
      <w:pPr>
        <w:spacing w:after="0"/>
      </w:pPr>
    </w:p>
    <w:p w14:paraId="3D887607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3.2 核心业务链</w:t>
      </w:r>
    </w:p>
    <w:p w14:paraId="61F8BD7D">
      <w:pPr>
        <w:jc w:val="center"/>
      </w:pPr>
      <w:r>
        <w:drawing>
          <wp:inline distT="0" distB="0" distL="114300" distR="114300">
            <wp:extent cx="6126480" cy="329311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E57A"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color w:val="5F6B76"/>
          <w:sz w:val="18"/>
        </w:rPr>
        <w:t>图 2  核心交易主链与异常纠错轨道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F6B7582">
        <w:trPr>
          <w:jc w:val="center"/>
        </w:trPr>
        <w:tc>
          <w:tcPr>
            <w:tcW w:w="9972" w:type="dxa"/>
            <w:tcBorders>
              <w:top w:val="nil"/>
              <w:left w:val="single" w:color="E6A04B" w:sz="18" w:space="0"/>
              <w:bottom w:val="nil"/>
              <w:right w:val="nil"/>
            </w:tcBorders>
            <w:shd w:val="clear" w:color="auto" w:fill="FFF4E5"/>
          </w:tcPr>
          <w:p w14:paraId="184FB012">
            <w:pPr>
              <w:spacing w:before="80" w:after="80" w:line="288" w:lineRule="auto"/>
            </w:pPr>
            <w:r>
              <w:rPr>
                <w:rFonts w:ascii="Noto Sans CJK SC" w:hAnsi="Noto Sans CJK SC" w:eastAsia="Noto Sans CJK SC"/>
                <w:b/>
                <w:color w:val="E6A04B"/>
                <w:sz w:val="22"/>
              </w:rPr>
              <w:t xml:space="preserve">关键判断  </w:t>
            </w:r>
            <w:r>
              <w:rPr>
                <w:rFonts w:ascii="Noto Sans CJK SC" w:hAnsi="Noto Sans CJK SC" w:eastAsia="Noto Sans CJK SC"/>
                <w:color w:val="243447"/>
                <w:sz w:val="21"/>
              </w:rPr>
              <w:t>真正复杂的不是 Happy Path，而是“业务已经发生以后如何纠错”。因此换表、补抄、估水恢复、补差、红冲、重开等能力必须保持追加事实与可追溯历史。</w:t>
            </w:r>
          </w:p>
        </w:tc>
      </w:tr>
    </w:tbl>
    <w:p w14:paraId="3650B901">
      <w:pPr>
        <w:spacing w:after="0"/>
      </w:pPr>
    </w:p>
    <w:p w14:paraId="41107397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3.3 关键业务状态与不可变边界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288"/>
        <w:gridCol w:w="4649"/>
      </w:tblGrid>
      <w:tr w14:paraId="02AE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237A8518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w="3288" w:type="dxa"/>
            <w:shd w:val="clear" w:color="auto" w:fill="17365D"/>
            <w:vAlign w:val="center"/>
          </w:tcPr>
          <w:p w14:paraId="2E73CB67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典型状态</w:t>
            </w:r>
          </w:p>
        </w:tc>
        <w:tc>
          <w:tcPr>
            <w:tcW w:w="4649" w:type="dxa"/>
            <w:shd w:val="clear" w:color="auto" w:fill="17365D"/>
            <w:vAlign w:val="center"/>
          </w:tcPr>
          <w:p w14:paraId="67145963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冻结规则</w:t>
            </w:r>
          </w:p>
        </w:tc>
      </w:tr>
      <w:tr w14:paraId="1637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F1BD7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抄表</w:t>
            </w:r>
          </w:p>
        </w:tc>
        <w:tc>
          <w:tcPr>
            <w:tcW w:w="3288" w:type="dxa"/>
            <w:vAlign w:val="center"/>
          </w:tcPr>
          <w:p w14:paraId="4EAC601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PENDING → PASSED / REJECTED / MANUAL_REVIEW</w:t>
            </w:r>
          </w:p>
        </w:tc>
        <w:tc>
          <w:tcPr>
            <w:tcW w:w="4649" w:type="dxa"/>
            <w:vAlign w:val="center"/>
          </w:tcPr>
          <w:p w14:paraId="169C83A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更正用 supersede，新行成为有效事实，旧行保留</w:t>
            </w:r>
          </w:p>
        </w:tc>
      </w:tr>
      <w:tr w14:paraId="541BD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DF0EC7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结算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2D16393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DRAFT → FINAL</w:t>
            </w:r>
          </w:p>
        </w:tc>
        <w:tc>
          <w:tcPr>
            <w:tcW w:w="4649" w:type="dxa"/>
            <w:shd w:val="clear" w:color="auto" w:fill="F7F9FC"/>
            <w:vAlign w:val="center"/>
          </w:tcPr>
          <w:p w14:paraId="2437048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FINAL 不原地改；后续差异通过 reconciliation/adjustment</w:t>
            </w:r>
          </w:p>
        </w:tc>
      </w:tr>
      <w:tr w14:paraId="2BED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350EC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资费</w:t>
            </w:r>
          </w:p>
        </w:tc>
        <w:tc>
          <w:tcPr>
            <w:tcW w:w="3288" w:type="dxa"/>
            <w:vAlign w:val="center"/>
          </w:tcPr>
          <w:p w14:paraId="563A7C4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DRAFT → ACTIVE → RETIRED</w:t>
            </w:r>
          </w:p>
        </w:tc>
        <w:tc>
          <w:tcPr>
            <w:tcW w:w="4649" w:type="dxa"/>
            <w:vAlign w:val="center"/>
          </w:tcPr>
          <w:p w14:paraId="66A500F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已用于账单的版本冻结；新价格开新版本</w:t>
            </w:r>
          </w:p>
        </w:tc>
      </w:tr>
      <w:tr w14:paraId="6F0A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E43F71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账单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5C4B0F2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DRAFT → POSTED / PARTIAL_PAID / PAID</w:t>
            </w:r>
          </w:p>
        </w:tc>
        <w:tc>
          <w:tcPr>
            <w:tcW w:w="4649" w:type="dxa"/>
            <w:shd w:val="clear" w:color="auto" w:fill="F7F9FC"/>
            <w:vAlign w:val="center"/>
          </w:tcPr>
          <w:p w14:paraId="3718F85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POSTED 之后不改金额；通过 reversal/replacement 纠正</w:t>
            </w:r>
          </w:p>
        </w:tc>
      </w:tr>
      <w:tr w14:paraId="258F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84B88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收款</w:t>
            </w:r>
          </w:p>
        </w:tc>
        <w:tc>
          <w:tcPr>
            <w:tcW w:w="3288" w:type="dxa"/>
            <w:vAlign w:val="center"/>
          </w:tcPr>
          <w:p w14:paraId="34EEC49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RECEIVED → DAY_CLOSED（或红冲追加负向收款）</w:t>
            </w:r>
          </w:p>
        </w:tc>
        <w:tc>
          <w:tcPr>
            <w:tcW w:w="4649" w:type="dxa"/>
            <w:vAlign w:val="center"/>
          </w:tcPr>
          <w:p w14:paraId="1FC7140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日结历史保持不变，跨日红冲进入下一次日结</w:t>
            </w:r>
          </w:p>
        </w:tc>
      </w:tr>
      <w:tr w14:paraId="54713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852B5A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水表安装</w:t>
            </w:r>
          </w:p>
        </w:tc>
        <w:tc>
          <w:tcPr>
            <w:tcW w:w="3288" w:type="dxa"/>
            <w:shd w:val="clear" w:color="auto" w:fill="F7F9FC"/>
            <w:vAlign w:val="center"/>
          </w:tcPr>
          <w:p w14:paraId="731D314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ACTIVE → REMOVED</w:t>
            </w:r>
          </w:p>
        </w:tc>
        <w:tc>
          <w:tcPr>
            <w:tcW w:w="4649" w:type="dxa"/>
            <w:shd w:val="clear" w:color="auto" w:fill="F7F9FC"/>
            <w:vAlign w:val="center"/>
          </w:tcPr>
          <w:p w14:paraId="125D86E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拆表/换表产生新的安装事实；已终审期间禁止回写造成漏量</w:t>
            </w:r>
          </w:p>
        </w:tc>
      </w:tr>
    </w:tbl>
    <w:p w14:paraId="218F4BEA">
      <w:pPr>
        <w:spacing w:after="0"/>
      </w:pPr>
    </w:p>
    <w:p w14:paraId="3AA22CD3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4. 对象模型：WaterAccount 360°</w:t>
      </w:r>
    </w:p>
    <w:p w14:paraId="396EA1F5">
      <w:pPr>
        <w:spacing w:before="0" w:after="120" w:line="300" w:lineRule="auto"/>
      </w:pPr>
      <w:r>
        <w:rPr>
          <w:rFonts w:ascii="Noto Sans CJK SC" w:hAnsi="Noto Sans CJK SC" w:eastAsia="Noto Sans CJK SC"/>
          <w:color w:val="243447"/>
          <w:sz w:val="21"/>
        </w:rPr>
        <w:t>成熟系统通常把同一个水表户拆成“开户、修改、过户、换表、查询、欠费、收费”等多个菜单。我们的目标是让 WaterAccount 成为主要业务上下文：用户只需先找到“这个户”，再查看和处理完整生命周期。</w:t>
      </w:r>
    </w:p>
    <w:p w14:paraId="17CCC396">
      <w:pPr>
        <w:jc w:val="center"/>
      </w:pPr>
      <w:r>
        <w:drawing>
          <wp:inline distT="0" distB="0" distL="114300" distR="114300">
            <wp:extent cx="5852160" cy="4390390"/>
            <wp:effectExtent l="0" t="0" r="152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873"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color w:val="5F6B76"/>
          <w:sz w:val="18"/>
        </w:rPr>
        <w:t>图 3  WaterAccount 360° 对象关系</w:t>
      </w:r>
    </w:p>
    <w:p w14:paraId="2D00B6D3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4.1 建议的 360° 页面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73A6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2F9E9E" w:sz="18" w:space="0"/>
              <w:bottom w:val="nil"/>
              <w:right w:val="nil"/>
            </w:tcBorders>
            <w:shd w:val="clear" w:color="auto" w:fill="EEF5FB"/>
          </w:tcPr>
          <w:p w14:paraId="3991B632">
            <w:pPr>
              <w:spacing w:before="80" w:after="80" w:line="288" w:lineRule="auto"/>
            </w:pPr>
            <w:r>
              <w:rPr>
                <w:rFonts w:ascii="Noto Sans CJK SC" w:hAnsi="Noto Sans CJK SC" w:eastAsia="Noto Sans CJK SC"/>
                <w:b/>
                <w:color w:val="2F9E9E"/>
                <w:sz w:val="22"/>
              </w:rPr>
              <w:t xml:space="preserve">页面头部  </w:t>
            </w:r>
            <w:r>
              <w:rPr>
                <w:rFonts w:ascii="Noto Sans CJK SC" w:hAnsi="Noto Sans CJK SC" w:eastAsia="Noto Sans CJK SC"/>
                <w:color w:val="243447"/>
                <w:sz w:val="21"/>
              </w:rPr>
              <w:t>张三 · A2026000123 · 居民计量 · 正常 ｜ 当前欠费 ¥126.30 ｜ 当前表 M000231 ｜ 本期状态：已抄/待结算</w:t>
            </w:r>
          </w:p>
        </w:tc>
      </w:tr>
    </w:tbl>
    <w:p w14:paraId="5F292BBE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819"/>
        <w:gridCol w:w="2551"/>
      </w:tblGrid>
      <w:tr w14:paraId="201E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6BEEA7E5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Tab / 区块</w:t>
            </w:r>
          </w:p>
        </w:tc>
        <w:tc>
          <w:tcPr>
            <w:tcW w:w="4819" w:type="dxa"/>
            <w:shd w:val="clear" w:color="auto" w:fill="17365D"/>
            <w:vAlign w:val="center"/>
          </w:tcPr>
          <w:p w14:paraId="089DF239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w="2551" w:type="dxa"/>
            <w:shd w:val="clear" w:color="auto" w:fill="17365D"/>
            <w:vAlign w:val="center"/>
          </w:tcPr>
          <w:p w14:paraId="200D1E60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主要操作</w:t>
            </w:r>
          </w:p>
        </w:tc>
      </w:tr>
      <w:tr w14:paraId="08362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21124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概览</w:t>
            </w:r>
          </w:p>
        </w:tc>
        <w:tc>
          <w:tcPr>
            <w:tcW w:w="4819" w:type="dxa"/>
            <w:vAlign w:val="center"/>
          </w:tcPr>
          <w:p w14:paraId="6C1EED0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当前状态、最近读数、欠费、本期进度、异常提示</w:t>
            </w:r>
          </w:p>
        </w:tc>
        <w:tc>
          <w:tcPr>
            <w:tcW w:w="2551" w:type="dxa"/>
            <w:vAlign w:val="center"/>
          </w:tcPr>
          <w:p w14:paraId="1F3DD9F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收费、抄表、换表、更多操作</w:t>
            </w:r>
          </w:p>
        </w:tc>
      </w:tr>
      <w:tr w14:paraId="6AC4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3ED3E9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水表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26A6832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当前水表、安装历史、换表/拆表记录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165CB93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换表、拆表、故障处理</w:t>
            </w:r>
          </w:p>
        </w:tc>
      </w:tr>
      <w:tr w14:paraId="68AF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CBDF8F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抄表</w:t>
            </w:r>
          </w:p>
        </w:tc>
        <w:tc>
          <w:tcPr>
            <w:tcW w:w="4819" w:type="dxa"/>
            <w:vAlign w:val="center"/>
          </w:tcPr>
          <w:p w14:paraId="5E25938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历史读数、NO_READ、QC、估水来源</w:t>
            </w:r>
          </w:p>
        </w:tc>
        <w:tc>
          <w:tcPr>
            <w:tcW w:w="2551" w:type="dxa"/>
            <w:vAlign w:val="center"/>
          </w:tcPr>
          <w:p w14:paraId="44EBAA2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补录、更正、查看异常</w:t>
            </w:r>
          </w:p>
        </w:tc>
      </w:tr>
      <w:tr w14:paraId="0ED91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8C94E7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结算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5762150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本期/历史 Settlement、Component、估水/补差来源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3A31BA8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查看终审、补差解释</w:t>
            </w:r>
          </w:p>
        </w:tc>
      </w:tr>
      <w:tr w14:paraId="3EA4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62D53F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账单</w:t>
            </w:r>
          </w:p>
        </w:tc>
        <w:tc>
          <w:tcPr>
            <w:tcW w:w="4819" w:type="dxa"/>
            <w:vAlign w:val="center"/>
          </w:tcPr>
          <w:p w14:paraId="153F107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应收、红冲/重开、资费版本、金额解释</w:t>
            </w:r>
          </w:p>
        </w:tc>
        <w:tc>
          <w:tcPr>
            <w:tcW w:w="2551" w:type="dxa"/>
            <w:vAlign w:val="center"/>
          </w:tcPr>
          <w:p w14:paraId="2978791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查看账单、进入收费</w:t>
            </w:r>
          </w:p>
        </w:tc>
      </w:tr>
      <w:tr w14:paraId="22E0A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2488D5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收费</w:t>
            </w:r>
          </w:p>
        </w:tc>
        <w:tc>
          <w:tcPr>
            <w:tcW w:w="4819" w:type="dxa"/>
            <w:shd w:val="clear" w:color="auto" w:fill="F7F9FC"/>
            <w:vAlign w:val="center"/>
          </w:tcPr>
          <w:p w14:paraId="430E5F3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支付、分摊、收据、红冲</w:t>
            </w:r>
          </w:p>
        </w:tc>
        <w:tc>
          <w:tcPr>
            <w:tcW w:w="2551" w:type="dxa"/>
            <w:shd w:val="clear" w:color="auto" w:fill="F7F9FC"/>
            <w:vAlign w:val="center"/>
          </w:tcPr>
          <w:p w14:paraId="3708CF8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收款、打印、追溯</w:t>
            </w:r>
          </w:p>
        </w:tc>
      </w:tr>
      <w:tr w14:paraId="1068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5380E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变更历史</w:t>
            </w:r>
          </w:p>
        </w:tc>
        <w:tc>
          <w:tcPr>
            <w:tcW w:w="4819" w:type="dxa"/>
            <w:vAlign w:val="center"/>
          </w:tcPr>
          <w:p w14:paraId="4882D34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过户、人口、类别、安装、状态变更</w:t>
            </w:r>
          </w:p>
        </w:tc>
        <w:tc>
          <w:tcPr>
            <w:tcW w:w="2551" w:type="dxa"/>
            <w:vAlign w:val="center"/>
          </w:tcPr>
          <w:p w14:paraId="164F410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只读审计</w:t>
            </w:r>
          </w:p>
        </w:tc>
      </w:tr>
    </w:tbl>
    <w:p w14:paraId="1C28776E">
      <w:pPr>
        <w:spacing w:after="0"/>
      </w:pPr>
    </w:p>
    <w:p w14:paraId="3823E03A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5. 功能层级：四层产品地图</w:t>
      </w:r>
    </w:p>
    <w:p w14:paraId="27A174B7">
      <w:pPr>
        <w:spacing w:before="0" w:after="120" w:line="300" w:lineRule="auto"/>
      </w:pPr>
      <w:r>
        <w:rPr>
          <w:rFonts w:ascii="Noto Sans CJK SC" w:hAnsi="Noto Sans CJK SC" w:eastAsia="Noto Sans CJK SC"/>
          <w:color w:val="243447"/>
          <w:sz w:val="21"/>
        </w:rPr>
        <w:t>所有能力按“是否属于核心交易闭环、是否主要提升效率、是否属于企业集成、是否高度客户特化”分层。这样可以防止成熟系统的长期功能一次性侵入 MVP。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247"/>
        <w:gridCol w:w="2381"/>
        <w:gridCol w:w="3969"/>
      </w:tblGrid>
      <w:tr w14:paraId="129D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w="1247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w="2381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判断标准</w:t>
            </w:r>
          </w:p>
        </w:tc>
        <w:tc>
          <w:tcPr>
            <w:tcW w:w="3969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能力范围</w:t>
            </w:r>
          </w:p>
        </w:tc>
      </w:tr>
      <w:tr w14:paraId="2A8D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L1 Core Transaction</w:t>
            </w:r>
          </w:p>
        </w:tc>
        <w:tc>
          <w:tcPr>
            <w:tcW w:w="1247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v0.2.x</w:t>
            </w:r>
          </w:p>
        </w:tc>
        <w:tc>
          <w:tcPr>
            <w:tcW w:w="238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业务必须能跑，并适配首要 ICP</w:t>
            </w:r>
          </w:p>
        </w:tc>
        <w:tc>
          <w:tcPr>
            <w:tcW w:w="396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客户/水表、人工/Remote抄表、QC、估水、结算/补差、人口阶梯、开账、收费、预存V1、红冲、日结、欠费、基础报表</w:t>
            </w:r>
          </w:p>
        </w:tc>
      </w:tr>
      <w:tr w14:paraId="0EB92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L2 Operational Efficiency</w:t>
            </w:r>
          </w:p>
        </w:tc>
        <w:tc>
          <w:tcPr>
            <w:tcW w:w="1247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v0.3</w:t>
            </w:r>
          </w:p>
        </w:tc>
        <w:tc>
          <w:tcPr>
            <w:tcW w:w="238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一天能高效处理几百户</w:t>
            </w:r>
          </w:p>
        </w:tc>
        <w:tc>
          <w:tcPr>
            <w:tcW w:w="3969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全局搜索、用户360° V2、异常排序、批量抄表/QC/结算、极速收费、Excel 导入导出、欠费工作台</w:t>
            </w:r>
          </w:p>
        </w:tc>
      </w:tr>
      <w:tr w14:paraId="1418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L3 Enterprise Operation</w:t>
            </w:r>
          </w:p>
        </w:tc>
        <w:tc>
          <w:tcPr>
            <w:tcW w:w="1247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v0.4+</w:t>
            </w:r>
          </w:p>
        </w:tc>
        <w:tc>
          <w:tcPr>
            <w:tcW w:w="238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进入正式水司运营体系</w:t>
            </w:r>
          </w:p>
        </w:tc>
        <w:tc>
          <w:tcPr>
            <w:tcW w:w="396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电子发票、合同、银行代扣/第三方支付、催缴、停复水、工单、短信通知、完整远传设备管理与财务对账</w:t>
            </w:r>
          </w:p>
        </w:tc>
      </w:tr>
      <w:tr w14:paraId="2B539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L4 Specialized</w:t>
            </w:r>
          </w:p>
        </w:tc>
        <w:tc>
          <w:tcPr>
            <w:tcW w:w="1247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客户驱动</w:t>
            </w:r>
          </w:p>
        </w:tc>
        <w:tc>
          <w:tcPr>
            <w:tcW w:w="238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有明确客户/合同再做</w:t>
            </w:r>
          </w:p>
        </w:tc>
        <w:tc>
          <w:tcPr>
            <w:tcW w:w="3969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GIS、DMA/产销差、重点贸易表、APP/微信营业厅、信用系统、复杂优惠和集团财务</w:t>
            </w:r>
          </w:p>
        </w:tc>
      </w:tr>
    </w:tbl>
    <w:p w14:paraId="6B198C9C">
      <w:pPr>
        <w:spacing w:after="0"/>
      </w:pPr>
    </w:p>
    <w:p w14:paraId="1B8D2CF0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6. 当前基线与成熟系统启示</w:t>
      </w:r>
    </w:p>
    <w:p w14:paraId="2EF7FF1F">
      <w:pPr>
        <w:pStyle w:val="4"/>
        <w:spacing w:before="100" w:after="80" w:line="240" w:lineRule="auto"/>
      </w:pPr>
      <w:r>
        <w:rPr>
          <w:rFonts w:ascii="Noto Sans CJK SC" w:hAnsi="Noto Sans CJK SC"/>
        </w:rPr>
        <w:t>6.1 v0.2.0 已建立的产品底座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4535"/>
      </w:tblGrid>
      <w:tr w14:paraId="74C2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14:paraId="7043235D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0F1BAEC8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w="4535" w:type="dxa"/>
            <w:shd w:val="clear" w:color="auto" w:fill="17365D"/>
            <w:vAlign w:val="center"/>
          </w:tcPr>
          <w:p w14:paraId="139B9522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 w14:paraId="5A38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417CE9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客户/结算户/水表户</w:t>
            </w:r>
          </w:p>
        </w:tc>
        <w:tc>
          <w:tcPr>
            <w:tcW w:w="1701" w:type="dxa"/>
            <w:vAlign w:val="center"/>
          </w:tcPr>
          <w:p w14:paraId="5E6A603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已完成</w:t>
            </w:r>
          </w:p>
        </w:tc>
        <w:tc>
          <w:tcPr>
            <w:tcW w:w="4535" w:type="dxa"/>
            <w:vAlign w:val="center"/>
          </w:tcPr>
          <w:p w14:paraId="18EA8F6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三账户关系与立户闭环</w:t>
            </w:r>
          </w:p>
        </w:tc>
      </w:tr>
      <w:tr w14:paraId="20FA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54D55FE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水表与安装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5743B5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数据模型完成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693353C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Meter 与 MeterInstallation 分离；UI 生命周期仍需增强</w:t>
            </w:r>
          </w:p>
        </w:tc>
      </w:tr>
      <w:tr w14:paraId="54F3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52BFA6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抄表册/计划/录入/QC</w:t>
            </w:r>
          </w:p>
        </w:tc>
        <w:tc>
          <w:tcPr>
            <w:tcW w:w="170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已完成 + v0.2.0增强</w:t>
            </w:r>
          </w:p>
        </w:tc>
        <w:tc>
          <w:tcPr>
            <w:tcW w:w="4535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ACTUAL/REMOTE/NO_READ；MONTHLY/BIMONTHLY；更正保留历史</w:t>
            </w:r>
          </w:p>
        </w:tc>
      </w:tr>
      <w:tr w14:paraId="5306A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99D9EB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结算/估水</w:t>
            </w:r>
          </w:p>
        </w:tc>
        <w:tc>
          <w:tcPr>
            <w:tcW w:w="170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已完成 + v0.2.0增强</w:t>
            </w:r>
          </w:p>
        </w:tc>
        <w:tc>
          <w:tcPr>
            <w:tcW w:w="4535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Settlement/Component；AVG3；NO_READ estimateQty；估水来源与恢复补差</w:t>
            </w:r>
          </w:p>
        </w:tc>
      </w:tr>
      <w:tr w14:paraId="5882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91B83F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资费/计费</w:t>
            </w:r>
          </w:p>
        </w:tc>
        <w:tc>
          <w:tcPr>
            <w:tcW w:w="170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已完成 + v0.2.0增强</w:t>
            </w:r>
          </w:p>
        </w:tc>
        <w:tc>
          <w:tcPr>
            <w:tcW w:w="4535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资费版本、阶梯、BillingRun、Bill；effective-dated 人口 + Settlement 快照</w:t>
            </w:r>
          </w:p>
        </w:tc>
      </w:tr>
      <w:tr w14:paraId="4B90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BF8D53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收费/收据/日结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23E0A0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已完成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03A0EB9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部分能力已通过浏览器 UAT 主链验证</w:t>
            </w:r>
          </w:p>
        </w:tc>
      </w:tr>
      <w:tr w14:paraId="72F5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CFA2A6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报表</w:t>
            </w:r>
          </w:p>
        </w:tc>
        <w:tc>
          <w:tcPr>
            <w:tcW w:w="1701" w:type="dxa"/>
            <w:vAlign w:val="center"/>
          </w:tcPr>
          <w:p w14:paraId="7A7873D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基础版</w:t>
            </w:r>
          </w:p>
        </w:tc>
        <w:tc>
          <w:tcPr>
            <w:tcW w:w="4535" w:type="dxa"/>
            <w:vAlign w:val="center"/>
          </w:tcPr>
          <w:p w14:paraId="5679A17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抄表日报、收费日报、应收、实收、回收率</w:t>
            </w:r>
          </w:p>
        </w:tc>
      </w:tr>
      <w:tr w14:paraId="50AD3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C"/>
            <w:vAlign w:val="center"/>
          </w:tcPr>
          <w:p w14:paraId="159FB4F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权限与审计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0C1EE2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已完成底座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818A27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Tenant/RLS/Org/Role/Audit</w:t>
            </w:r>
          </w:p>
        </w:tc>
      </w:tr>
    </w:tbl>
    <w:p w14:paraId="467A806D">
      <w:pPr>
        <w:spacing w:after="0"/>
      </w:pPr>
    </w:p>
    <w:p w14:paraId="509CE0D8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6.2 成熟系统给我们的三类信号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391B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 w14:paraId="11BC8EA4">
            <w:pPr>
              <w:jc w:val="center"/>
            </w:pPr>
            <w:r>
              <w:drawing>
                <wp:inline distT="0" distB="0" distL="114300" distR="114300">
                  <wp:extent cx="2103120" cy="5467985"/>
                  <wp:effectExtent l="0" t="0" r="11430" b="184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546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shd w:val="clear" w:color="auto" w:fill="F7F9FC"/>
          </w:tcPr>
          <w:p w14:paraId="25D005B2">
            <w:pPr>
              <w:spacing w:before="80" w:after="80" w:line="300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必须学习的：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完整业务覆盖、异常场景、历史纠错、抄表生产、人口阶梯、换表/拆表、欠费/收费、报表口径。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不能照搬的：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围绕菜单组织业务；同一对象被拆成开户/修改/查询/换表/收费等大量入口；页面字段堆叠；查询模块重复业务菜单。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应当优化的：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对象中心 360°、角色工作台、异常中心、批量与键盘效率、明确状态与来源解释、统一搜索。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br w:type="textWrapping"/>
            </w:r>
          </w:p>
        </w:tc>
      </w:tr>
    </w:tbl>
    <w:p w14:paraId="0DFD3958"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color w:val="5F6B76"/>
          <w:sz w:val="18"/>
        </w:rPr>
        <w:t>图 4  成熟系统菜单示例：业务覆盖完整，但功能高度碎片化（用户提供截图）</w:t>
      </w:r>
    </w:p>
    <w:p w14:paraId="7F61276D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6.3 核心保留 / MVP 暂缓 / 优化重构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D0E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43FA8EAE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w="6803" w:type="dxa"/>
            <w:shd w:val="clear" w:color="auto" w:fill="17365D"/>
            <w:vAlign w:val="center"/>
          </w:tcPr>
          <w:p w14:paraId="17421F73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66B4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485E98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核心必须保留</w:t>
            </w:r>
          </w:p>
        </w:tc>
        <w:tc>
          <w:tcPr>
            <w:tcW w:w="6803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客户/水表户/结算户、水表安装、人工/Remote抄表、抄表册/计划/QC、NO_READ/估水、结算/补差、阶梯、开账、欠费、收费、预存V1、红冲、日结、基础报表、权限审计</w:t>
            </w:r>
          </w:p>
        </w:tc>
      </w:tr>
      <w:tr w14:paraId="48F3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F12141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MVP 暂缓</w:t>
            </w:r>
          </w:p>
        </w:tc>
        <w:tc>
          <w:tcPr>
            <w:tcW w:w="6803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合同归档、发票库存/电子发票、银行代扣、复杂催缴、停复水工单、APP、GIS、信用、复杂优惠、报表设计器、完整 IoT 设备管理平台</w:t>
            </w:r>
          </w:p>
        </w:tc>
      </w:tr>
      <w:tr w14:paraId="75FBA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3EEF2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优先优化</w:t>
            </w:r>
          </w:p>
        </w:tc>
        <w:tc>
          <w:tcPr>
            <w:tcW w:w="6803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Remote Reading V1、Prepayment V1、用户360°、异常中心、水表生命周期、欠费工作台、全局搜索、批量操作、统一业务解释</w:t>
            </w:r>
          </w:p>
        </w:tc>
      </w:tr>
    </w:tbl>
    <w:p w14:paraId="2015C8CB">
      <w:pPr>
        <w:spacing w:after="0"/>
      </w:pPr>
    </w:p>
    <w:p w14:paraId="4DBE90E6">
      <w:pPr>
        <w:pStyle w:val="3"/>
        <w:spacing w:before="160" w:after="80" w:line="240" w:lineRule="auto"/>
      </w:pPr>
      <w:r>
        <w:rPr>
          <w:rFonts w:ascii="Noto Sans CJK SC" w:hAnsi="Noto Sans CJK SC"/>
        </w:rPr>
        <w:t>7. v0.2 家族产品地图：v0.2.0 + 郊县水司适配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94BA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5B9F68" w:sz="18" w:space="0"/>
              <w:bottom w:val="nil"/>
              <w:right w:val="nil"/>
            </w:tcBorders>
            <w:shd w:val="clear" w:color="auto" w:fill="EAF4EF"/>
          </w:tcPr>
          <w:p>
            <w:pPr/>
            <w:r/>
            <w:r>
              <w:rPr>
                <w:rFonts w:ascii="Noto Sans CJK SC" w:hAnsi="Noto Sans CJK SC"/>
                <w:color w:val="243447"/>
                <w:sz w:val="20"/>
              </w:rPr>
              <w:t>v0.2 家族目标  v0.2.0 已完成第一阶段“业务完整性”：监控表、人口阶梯、双月抄表、NO_READ估水与恢复补差。v0.2.x 不扩企业重功能，转向首要 ICP 的 County Utility Fit：把远传读数接入、预存水费、水表生命周期、360°、异常与欠费运营补齐。</w:t>
            </w:r>
          </w:p>
        </w:tc>
      </w:tr>
    </w:tbl>
    <w:p w14:paraId="4A5587D5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247"/>
        <w:gridCol w:w="2381"/>
        <w:gridCol w:w="3969"/>
      </w:tblGrid>
      <w:tr w14:paraId="129D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Epic</w:t>
            </w:r>
          </w:p>
        </w:tc>
        <w:tc>
          <w:tcPr>
            <w:tcW w:w="1247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w="2381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业务规则 / 范围</w:t>
            </w:r>
          </w:p>
        </w:tc>
        <w:tc>
          <w:tcPr>
            <w:tcW w:w="3969" w:type="dxa"/>
            <w:shd w:val="clear" w:color="auto" w:fill="17365D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/>
                <w:b/>
                <w:color w:val="FFFFFF"/>
                <w:sz w:val="19"/>
              </w:rPr>
              <w:t>UI 交付</w:t>
            </w:r>
          </w:p>
        </w:tc>
      </w:tr>
      <w:tr w14:paraId="2A8D6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E1 用水类别与监控表</w:t>
            </w:r>
          </w:p>
        </w:tc>
        <w:tc>
          <w:tcPr>
            <w:tcW w:w="1247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v0.2.0 已发布</w:t>
            </w:r>
          </w:p>
        </w:tc>
        <w:tc>
          <w:tcPr>
            <w:tcW w:w="238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固定五类；MONITORING 系统客户；不可计费 DB invariant；仍可正常抄表/结算</w:t>
            </w:r>
          </w:p>
        </w:tc>
        <w:tc>
          <w:tcPr>
            <w:tcW w:w="396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受控类别 + 监控表完整向导/展示</w:t>
            </w:r>
          </w:p>
        </w:tc>
      </w:tr>
      <w:tr w14:paraId="0EB92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E2 居民人数与阶梯</w:t>
            </w:r>
          </w:p>
        </w:tc>
        <w:tc>
          <w:tcPr>
            <w:tcW w:w="1247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v0.2.0 已发布</w:t>
            </w:r>
          </w:p>
        </w:tc>
        <w:tc>
          <w:tcPr>
            <w:tcW w:w="238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effective-dated household profile；Settlement 快照；baseHousehold/perPersonQty；YTD 年度累计</w:t>
            </w:r>
          </w:p>
        </w:tc>
        <w:tc>
          <w:tcPr>
            <w:tcW w:w="3969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账单解释本期人数、基准人数、增加额度</w:t>
            </w:r>
          </w:p>
        </w:tc>
      </w:tr>
      <w:tr w14:paraId="14188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E3 抄表周期</w:t>
            </w:r>
          </w:p>
        </w:tc>
        <w:tc>
          <w:tcPr>
            <w:tcW w:w="1247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v0.2.0 已发布</w:t>
            </w:r>
          </w:p>
        </w:tc>
        <w:tc>
          <w:tcPr>
            <w:tcW w:w="238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MONTHLY/BIMONTHLY；anchorPeriod；后端 due；非应抄期 warning 但允许补抄</w:t>
            </w:r>
          </w:p>
        </w:tc>
        <w:tc>
          <w:tcPr>
            <w:tcW w:w="3969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册设置 + 生成计划提示</w:t>
            </w:r>
          </w:p>
        </w:tc>
      </w:tr>
      <w:tr w14:paraId="2B539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E4 未抄见估水与恢复</w:t>
            </w:r>
          </w:p>
        </w:tc>
        <w:tc>
          <w:tcPr>
            <w:tcW w:w="1247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v0.2.0 已发布</w:t>
            </w:r>
          </w:p>
        </w:tc>
        <w:tc>
          <w:tcPr>
            <w:tcW w:w="238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NO_READ estimateQty；人工覆盖 &gt; reader estimate &gt; AVG3；正差吸收/负差 adjustment；历史重计价</w:t>
            </w:r>
          </w:p>
        </w:tc>
        <w:tc>
          <w:tcPr>
            <w:tcW w:w="3969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来源清晰，不制造模拟表码；补差文案业务化</w:t>
            </w:r>
          </w:p>
        </w:tc>
      </w:tr>
      <w:tr>
        <w:tc>
          <w:tcPr>
            <w:tcW w:type="dxa" w:w="204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E5 Remote Reading Integration V1</w:t>
            </w:r>
          </w:p>
        </w:tc>
        <w:tc>
          <w:tcPr>
            <w:tcW w:type="dxa" w:w="1247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v0.2.x 近期优先</w:t>
            </w:r>
          </w:p>
        </w:tc>
        <w:tc>
          <w:tcPr>
            <w:tcW w:type="dxa" w:w="238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厂商 Adapter + API/Webhook/文件；设备标识绑定；原始事件幂等留痕；生成 REMOTE reading；异常进入 QC；失败可回退人工</w:t>
            </w:r>
          </w:p>
        </w:tc>
        <w:tc>
          <w:tcPr>
            <w:tcW w:type="dxa" w:w="3969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远传来源/采集时间/状态可见；绑定与失败诊断；不做重型设备平台</w:t>
            </w:r>
          </w:p>
        </w:tc>
      </w:tr>
      <w:tr>
        <w:tc>
          <w:tcPr>
            <w:tcW w:type="dxa" w:w="204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E6 Prepayment V1</w:t>
            </w:r>
          </w:p>
        </w:tc>
        <w:tc>
          <w:tcPr>
            <w:tcW w:type="dxa" w:w="1247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v0.2.x 近期优先</w:t>
            </w:r>
          </w:p>
        </w:tc>
        <w:tc>
          <w:tcPr>
            <w:tcW w:type="dxa" w:w="238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以 SettleAccount 为账户；append-only ledger：TOP_UP/APPLY/REFUND/REVERSAL；余额派生；账单过账后按规则抵扣；进入收据/日结</w:t>
            </w:r>
          </w:p>
        </w:tc>
        <w:tc>
          <w:tcPr>
            <w:tcW w:type="dxa" w:w="3969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预存余额、充值、退款/红冲、流水、自动抵扣解释</w:t>
            </w:r>
          </w:p>
        </w:tc>
      </w:tr>
      <w:tr>
        <w:tc>
          <w:tcPr>
            <w:tcW w:type="dxa" w:w="204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E7 水表生命周期 UI</w:t>
            </w:r>
          </w:p>
        </w:tc>
        <w:tc>
          <w:tcPr>
            <w:tcW w:type="dxa" w:w="1247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v0.2.x</w:t>
            </w:r>
          </w:p>
        </w:tc>
        <w:tc>
          <w:tcPr>
            <w:tcW w:type="dxa" w:w="238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装表、换表、拆表、故障/停用、安装历史；FINAL 期间 fail-closed</w:t>
            </w:r>
          </w:p>
        </w:tc>
        <w:tc>
          <w:tcPr>
            <w:tcW w:type="dxa" w:w="3969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聚合到 WaterAccount 详情，不新增多个一级菜单</w:t>
            </w:r>
          </w:p>
        </w:tc>
      </w:tr>
      <w:tr>
        <w:tc>
          <w:tcPr>
            <w:tcW w:type="dxa" w:w="204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E8 用户 360° V1</w:t>
            </w:r>
          </w:p>
        </w:tc>
        <w:tc>
          <w:tcPr>
            <w:tcW w:type="dxa" w:w="1247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v0.2.x</w:t>
            </w:r>
          </w:p>
        </w:tc>
        <w:tc>
          <w:tcPr>
            <w:tcW w:type="dxa" w:w="238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概览、水表、抄表、结算、账单、收费/预存、变更历史</w:t>
            </w:r>
          </w:p>
        </w:tc>
        <w:tc>
          <w:tcPr>
            <w:tcW w:type="dxa" w:w="3969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形成对象中心工作入口</w:t>
            </w:r>
          </w:p>
        </w:tc>
      </w:tr>
      <w:tr>
        <w:tc>
          <w:tcPr>
            <w:tcW w:type="dxa" w:w="204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E9 异常中心 V1</w:t>
            </w:r>
          </w:p>
        </w:tc>
        <w:tc>
          <w:tcPr>
            <w:tcW w:type="dxa" w:w="1247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v0.2.x</w:t>
            </w:r>
          </w:p>
        </w:tc>
        <w:tc>
          <w:tcPr>
            <w:tcW w:type="dxa" w:w="238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未抄见、连续估水、异常高/低水量、QC 待复核、开账失败、远传采集失败</w:t>
            </w:r>
          </w:p>
        </w:tc>
        <w:tc>
          <w:tcPr>
            <w:tcW w:type="dxa" w:w="3969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聚合与跳转处理，不做复杂工作流引擎</w:t>
            </w:r>
          </w:p>
        </w:tc>
      </w:tr>
      <w:tr>
        <w:tc>
          <w:tcPr>
            <w:tcW w:type="dxa" w:w="204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E10 基础运营报表增强</w:t>
            </w:r>
          </w:p>
        </w:tc>
        <w:tc>
          <w:tcPr>
            <w:tcW w:type="dxa" w:w="1247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v0.2.x</w:t>
            </w:r>
          </w:p>
        </w:tc>
        <w:tc>
          <w:tcPr>
            <w:tcW w:type="dxa" w:w="2381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欠费表、售水量、抄表完成率、连续未抄、异常水量、预存余额/抵扣摘要</w:t>
            </w:r>
          </w:p>
        </w:tc>
        <w:tc>
          <w:tcPr>
            <w:tcW w:type="dxa" w:w="3969"/>
          </w:tcPr>
          <w:p>
            <w:pPr/>
            <w:r/>
            <w:r>
              <w:rPr>
                <w:rFonts w:ascii="Noto Sans CJK SC" w:hAnsi="Noto Sans CJK SC"/>
                <w:color w:val="243447"/>
                <w:sz w:val="15"/>
              </w:rPr>
              <w:t>固定高价值报表 + 导出；不做报表设计器</w:t>
            </w:r>
          </w:p>
        </w:tc>
      </w:tr>
    </w:tbl>
    <w:p w14:paraId="1AD2A707">
      <w:pPr>
        <w:spacing w:after="0"/>
      </w:pPr>
    </w:p>
    <w:p w14:paraId="0B38182D">
      <w:pPr>
        <w:pStyle w:val="4"/>
        <w:spacing w:before="100" w:after="80" w:line="240" w:lineRule="auto"/>
      </w:pPr>
      <w:r>
        <w:rPr>
          <w:rFonts w:ascii="Noto Sans CJK SC" w:hAnsi="Noto Sans CJK SC"/>
        </w:rPr>
        <w:t>7.1 v0.2.x 仍明确不做</w:t>
      </w:r>
    </w:p>
    <w:p w14:paraId="15BD1072">
      <w:pPr>
        <w:pStyle w:val="16"/>
        <w:spacing w:before="0" w:after="60" w:line="276" w:lineRule="auto"/>
      </w:pPr>
      <w:r>
        <w:rPr>
          <w:rFonts w:ascii="Noto Sans CJK SC" w:hAnsi="Noto Sans CJK SC"/>
        </w:rPr>
        <w:t>电子发票与发票库存</w:t>
      </w:r>
    </w:p>
    <w:p w14:paraId="32EA0E5C">
      <w:pPr>
        <w:pStyle w:val="16"/>
        <w:spacing w:before="0" w:after="60" w:line="276" w:lineRule="auto"/>
      </w:pPr>
      <w:r>
        <w:rPr>
          <w:rFonts w:ascii="Noto Sans CJK SC" w:hAnsi="Noto Sans CJK SC"/>
        </w:rPr>
        <w:t>合同管理与归档</w:t>
      </w:r>
    </w:p>
    <w:p w14:paraId="1E570BE8">
      <w:pPr>
        <w:pStyle w:val="16"/>
        <w:spacing w:before="0" w:after="60" w:line="276" w:lineRule="auto"/>
      </w:pPr>
      <w:r>
        <w:rPr>
          <w:rFonts w:ascii="Noto Sans CJK SC" w:hAnsi="Noto Sans CJK SC"/>
        </w:rPr>
        <w:t>完整 IoT 设备管理平台（协议栈 / 固件 / 指令下发）</w:t>
      </w:r>
    </w:p>
    <w:p w14:paraId="278252DA">
      <w:pPr>
        <w:pStyle w:val="16"/>
        <w:spacing w:before="0" w:after="60" w:line="276" w:lineRule="auto"/>
      </w:pPr>
      <w:r>
        <w:rPr>
          <w:rFonts w:ascii="Noto Sans CJK SC" w:hAnsi="Noto Sans CJK SC"/>
        </w:rPr>
        <w:t>银行代扣与第三方支付渠道</w:t>
      </w:r>
    </w:p>
    <w:p w14:paraId="1820827E">
      <w:pPr>
        <w:pStyle w:val="16"/>
        <w:spacing w:before="0" w:after="60" w:line="276" w:lineRule="auto"/>
      </w:pPr>
      <w:r>
        <w:rPr>
          <w:rFonts w:ascii="Noto Sans CJK SC" w:hAnsi="Noto Sans CJK SC"/>
        </w:rPr>
        <w:t>复杂催缴 / 停复水 / 工单工作流</w:t>
      </w:r>
    </w:p>
    <w:p w14:paraId="3C10B2FF">
      <w:pPr>
        <w:pStyle w:val="16"/>
        <w:spacing w:before="0" w:after="60" w:line="276" w:lineRule="auto"/>
      </w:pPr>
      <w:r>
        <w:rPr>
          <w:rFonts w:ascii="Noto Sans CJK SC" w:hAnsi="Noto Sans CJK SC"/>
        </w:rPr>
        <w:t>移动 APP / GIS / DMA / 重点贸易表</w:t>
      </w:r>
    </w:p>
    <w:p w14:paraId="7EA26874">
      <w:pPr>
        <w:pStyle w:val="16"/>
        <w:spacing w:before="0" w:after="60" w:line="276" w:lineRule="auto"/>
      </w:pPr>
      <w:r>
        <w:rPr>
          <w:rFonts w:ascii="Noto Sans CJK SC" w:hAnsi="Noto Sans CJK SC"/>
        </w:rPr>
        <w:t>通用报表设计器</w:t>
      </w:r>
    </w:p>
    <w:p w14:paraId="1DA5EF80">
      <w:pPr>
        <w:pStyle w:val="16"/>
        <w:spacing w:before="0" w:after="60" w:line="276" w:lineRule="auto"/>
      </w:pPr>
      <w:r>
        <w:rPr>
          <w:rFonts w:ascii="Noto Sans CJK SC" w:hAnsi="Noto Sans CJK SC"/>
        </w:rPr>
        <w:t>复杂预存财务清算 / 跨主体资金池</w:t>
      </w:r>
    </w:p>
    <w:p w14:paraId="436D302D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8. v0.3：运营效率（从“能用”到“好用”）</w:t>
      </w:r>
    </w:p>
    <w:p w14:paraId="5AE91888">
      <w:pPr>
        <w:spacing w:before="0" w:after="120" w:line="300" w:lineRule="auto"/>
      </w:pPr>
      <w:r>
        <w:rPr>
          <w:rFonts w:ascii="Noto Sans CJK SC" w:hAnsi="Noto Sans CJK SC"/>
        </w:rPr>
        <w:t>v0.3 不以新增复杂业务规则为主，而是在 v0.2.x 完成郊县关键营业能力后回答一个更现实的问题：收费员、抄表员、复核员每天处理几百户时，系统是否足够快、足够直觉。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0B0C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14C6F246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w="6803" w:type="dxa"/>
            <w:shd w:val="clear" w:color="auto" w:fill="17365D"/>
            <w:vAlign w:val="center"/>
          </w:tcPr>
          <w:p w14:paraId="3CD26C19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</w:tr>
      <w:tr w14:paraId="0C0B6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35976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全局搜索</w:t>
            </w:r>
          </w:p>
        </w:tc>
        <w:tc>
          <w:tcPr>
            <w:tcW w:w="6803" w:type="dxa"/>
            <w:vAlign w:val="center"/>
          </w:tcPr>
          <w:p w14:paraId="5C4C6A7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户号/客户号/姓名/手机号/地址/表号/支付单号统一入口，直接落到 360°</w:t>
            </w:r>
          </w:p>
        </w:tc>
      </w:tr>
      <w:tr w14:paraId="554B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77FD862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极速抄表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7A36526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连续录入、键盘优先、上一户/下一户、上期表码与异常阈值同时可见</w:t>
            </w:r>
          </w:p>
        </w:tc>
      </w:tr>
      <w:tr w14:paraId="2F2D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44EF3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批量 QC</w:t>
            </w:r>
          </w:p>
        </w:tc>
        <w:tc>
          <w:tcPr>
            <w:tcW w:w="6803" w:type="dxa"/>
            <w:vAlign w:val="center"/>
          </w:tcPr>
          <w:p w14:paraId="6B81A89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异常排序、批量通过/复核、历史均量与变化率</w:t>
            </w:r>
          </w:p>
        </w:tc>
      </w:tr>
      <w:tr w14:paraId="601D0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5127905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批量结算/开账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492A865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按账期、组织、册批量处理；失败户单独形成可恢复队列</w:t>
            </w:r>
          </w:p>
        </w:tc>
      </w:tr>
      <w:tr w14:paraId="5440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E60A1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快速收费台</w:t>
            </w:r>
          </w:p>
        </w:tc>
        <w:tc>
          <w:tcPr>
            <w:tcW w:w="6803" w:type="dxa"/>
            <w:vAlign w:val="center"/>
          </w:tcPr>
          <w:p w14:paraId="5DBF6BA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搜索即定位、欠费一眼可见、默认分摊、收款后自动进入下一户</w:t>
            </w:r>
          </w:p>
        </w:tc>
      </w:tr>
      <w:tr w14:paraId="2AD9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6B5E822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Excel 导入导出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0B07F21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开户、人口、抄表、欠费等明确模板；错误行报告</w:t>
            </w:r>
          </w:p>
        </w:tc>
      </w:tr>
      <w:tr w14:paraId="330D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E0B93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欠费工作台</w:t>
            </w:r>
          </w:p>
        </w:tc>
        <w:tc>
          <w:tcPr>
            <w:tcW w:w="6803" w:type="dxa"/>
            <w:vAlign w:val="center"/>
          </w:tcPr>
          <w:p w14:paraId="6FD8354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按账龄/金额/区域/类别排序，支持批量导出与后续催缴</w:t>
            </w:r>
          </w:p>
        </w:tc>
      </w:tr>
      <w:tr w14:paraId="5EACA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0868CF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运营工作台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0E8EE47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抄表完成率、异常、欠费、收费、未日结、开账失败等角色化 KPI</w:t>
            </w:r>
          </w:p>
        </w:tc>
      </w:tr>
    </w:tbl>
    <w:p w14:paraId="0B215FF9">
      <w:pPr>
        <w:spacing w:after="0"/>
      </w:pPr>
    </w:p>
    <w:p w14:paraId="7D9FA3BD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9. v0.4+：企业能力与客户特化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385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70B962C8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方向</w:t>
            </w:r>
          </w:p>
        </w:tc>
        <w:tc>
          <w:tcPr>
            <w:tcW w:w="6803" w:type="dxa"/>
            <w:shd w:val="clear" w:color="auto" w:fill="17365D"/>
            <w:vAlign w:val="center"/>
          </w:tcPr>
          <w:p w14:paraId="5E6374B0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</w:tr>
      <w:tr w14:paraId="5715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C985FB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财务/票据</w:t>
            </w:r>
          </w:p>
        </w:tc>
        <w:tc>
          <w:tcPr>
            <w:tcW w:w="6803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电子发票、发票红冲、银行代扣、第三方支付、复杂预存清算/资金池、正式财务对账</w:t>
            </w:r>
          </w:p>
        </w:tc>
      </w:tr>
      <w:tr w14:paraId="343D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08AFA48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客户运营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177CA1E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催缴、短信/微信通知、停复水、工单、合同</w:t>
            </w:r>
          </w:p>
        </w:tc>
      </w:tr>
      <w:tr w14:paraId="1F6F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B120CF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设备与采集</w:t>
            </w:r>
          </w:p>
        </w:tc>
        <w:tc>
          <w:tcPr>
            <w:tcW w:w="6803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完整远传设备管理平台：协议/集中器/指令下发/固件/设备健康；V1 数据接入不在此层</w:t>
            </w:r>
          </w:p>
        </w:tc>
      </w:tr>
      <w:tr w14:paraId="4933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7EB4CF7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专业水务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347206E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DMA/产销差、重点贸易表、GIS、漏损与监测</w:t>
            </w:r>
          </w:p>
        </w:tc>
      </w:tr>
      <w:tr w14:paraId="5189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5A39B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渠道</w:t>
            </w:r>
          </w:p>
        </w:tc>
        <w:tc>
          <w:tcPr>
            <w:tcW w:w="6803" w:type="dxa"/>
            <w:vAlign w:val="center"/>
          </w:tcPr>
          <w:p w14:paraId="751FEF0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移动 APP、微信营业厅、自助查询缴费</w:t>
            </w:r>
          </w:p>
        </w:tc>
      </w:tr>
      <w:tr w14:paraId="121A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96CD40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大型组织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7CC18BF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多级集团权限、复杂审批、跨组织财务与数据交换</w:t>
            </w:r>
          </w:p>
        </w:tc>
      </w:tr>
    </w:tbl>
    <w:p w14:paraId="7A6D01DF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3E67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E6A04B" w:sz="18" w:space="0"/>
              <w:bottom w:val="nil"/>
              <w:right w:val="nil"/>
            </w:tcBorders>
            <w:shd w:val="clear" w:color="auto" w:fill="FFF4E5"/>
          </w:tcPr>
          <w:p w14:paraId="4AF6D054">
            <w:pPr>
              <w:spacing w:before="80" w:after="80" w:line="288" w:lineRule="auto"/>
            </w:pPr>
            <w:r>
              <w:rPr>
                <w:rFonts w:ascii="Noto Sans CJK SC" w:hAnsi="Noto Sans CJK SC" w:eastAsia="Noto Sans CJK SC"/>
                <w:b/>
                <w:color w:val="E6A04B"/>
                <w:sz w:val="22"/>
              </w:rPr>
              <w:t xml:space="preserve">进入规则  </w:t>
            </w:r>
            <w:r>
              <w:rPr>
                <w:rFonts w:ascii="Noto Sans CJK SC" w:hAnsi="Noto Sans CJK SC" w:eastAsia="Noto Sans CJK SC"/>
                <w:color w:val="243447"/>
                <w:sz w:val="21"/>
              </w:rPr>
              <w:t>L3/L4 能力只有在“明确客户 + 明确业务流程 + 明确数据接口 + 明确验收口径”时进入实施，不因成熟系统存在就默认加入 Roadmap。</w:t>
            </w:r>
          </w:p>
        </w:tc>
      </w:tr>
    </w:tbl>
    <w:p w14:paraId="341D691B">
      <w:pPr>
        <w:spacing w:after="0"/>
      </w:pPr>
    </w:p>
    <w:p w14:paraId="3E1AFF65">
      <w:pPr>
        <w:jc w:val="center"/>
      </w:pPr>
      <w:r>
        <w:drawing>
          <wp:inline distT="0" distB="0" distL="114300" distR="114300">
            <wp:extent cx="6126480" cy="28962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1016">
      <w:pPr>
        <w:spacing w:before="0" w:after="160" w:line="240" w:lineRule="auto"/>
        <w:jc w:val="center"/>
      </w:pPr>
      <w:r>
        <w:rPr>
          <w:rFonts w:ascii="Noto Sans CJK SC" w:hAnsi="Noto Sans CJK SC" w:eastAsia="Noto Sans CJK SC"/>
          <w:color w:val="5F6B76"/>
          <w:sz w:val="18"/>
        </w:rPr>
        <w:t>图 5  版本路线图</w:t>
      </w:r>
    </w:p>
    <w:p w14:paraId="3BF59E1B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10. 角色与信息架构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252"/>
        <w:gridCol w:w="3005"/>
      </w:tblGrid>
      <w:tr w14:paraId="28712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7365D"/>
            <w:vAlign w:val="center"/>
          </w:tcPr>
          <w:p w14:paraId="335BE1E9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w="4252" w:type="dxa"/>
            <w:shd w:val="clear" w:color="auto" w:fill="17365D"/>
            <w:vAlign w:val="center"/>
          </w:tcPr>
          <w:p w14:paraId="567CF5B4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默认入口</w:t>
            </w:r>
          </w:p>
        </w:tc>
        <w:tc>
          <w:tcPr>
            <w:tcW w:w="3005" w:type="dxa"/>
            <w:shd w:val="clear" w:color="auto" w:fill="17365D"/>
            <w:vAlign w:val="center"/>
          </w:tcPr>
          <w:p w14:paraId="67F8417A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主要目标</w:t>
            </w:r>
          </w:p>
        </w:tc>
      </w:tr>
      <w:tr w14:paraId="3E000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6FC9F1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管理员/营业员</w:t>
            </w:r>
          </w:p>
        </w:tc>
        <w:tc>
          <w:tcPr>
            <w:tcW w:w="4252" w:type="dxa"/>
            <w:vAlign w:val="center"/>
          </w:tcPr>
          <w:p w14:paraId="149029B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客户与水表、资费、结算、开账、综合查询</w:t>
            </w:r>
          </w:p>
        </w:tc>
        <w:tc>
          <w:tcPr>
            <w:tcW w:w="3005" w:type="dxa"/>
            <w:vAlign w:val="center"/>
          </w:tcPr>
          <w:p w14:paraId="4F3CCC4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业务设置与综合处理</w:t>
            </w:r>
          </w:p>
        </w:tc>
      </w:tr>
      <w:tr w14:paraId="60B0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74FB88F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抄表员</w:t>
            </w:r>
          </w:p>
        </w:tc>
        <w:tc>
          <w:tcPr>
            <w:tcW w:w="4252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工作台、抄表册/计划、人工录入、NO_READ、远传异常</w:t>
            </w:r>
          </w:p>
        </w:tc>
        <w:tc>
          <w:tcPr>
            <w:tcW w:w="3005" w:type="dxa"/>
            <w:shd w:val="clear" w:color="auto" w:fill="F7F9FC"/>
            <w:vAlign w:val="center"/>
          </w:tcPr>
          <w:p w14:paraId="7297976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最快完成现场/网页录入</w:t>
            </w:r>
          </w:p>
        </w:tc>
      </w:tr>
      <w:tr w14:paraId="3AC9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758DD0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复核员</w:t>
            </w:r>
          </w:p>
        </w:tc>
        <w:tc>
          <w:tcPr>
            <w:tcW w:w="4252" w:type="dxa"/>
            <w:vAlign w:val="center"/>
          </w:tcPr>
          <w:p w14:paraId="06267F0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异常中心、抄表记录、QC、结算预览</w:t>
            </w:r>
          </w:p>
        </w:tc>
        <w:tc>
          <w:tcPr>
            <w:tcW w:w="3005" w:type="dxa"/>
            <w:vAlign w:val="center"/>
          </w:tcPr>
          <w:p w14:paraId="28DB8E4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只看值得看的异常，提高审核效率</w:t>
            </w:r>
          </w:p>
        </w:tc>
      </w:tr>
      <w:tr w14:paraId="3A16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6E45D5A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收费员</w:t>
            </w:r>
          </w:p>
        </w:tc>
        <w:tc>
          <w:tcPr>
            <w:tcW w:w="4252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收费台、预存、收据、收费记录、日结</w:t>
            </w:r>
          </w:p>
        </w:tc>
        <w:tc>
          <w:tcPr>
            <w:tcW w:w="3005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20–30 秒完成普通缴费；预存充值/抵扣可解释且可追溯</w:t>
            </w:r>
          </w:p>
        </w:tc>
      </w:tr>
      <w:tr w14:paraId="7D364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2A1AE4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管理人员</w:t>
            </w:r>
          </w:p>
        </w:tc>
        <w:tc>
          <w:tcPr>
            <w:tcW w:w="4252" w:type="dxa"/>
            <w:vAlign w:val="center"/>
          </w:tcPr>
          <w:p w14:paraId="7F95AFC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工作台、报表、欠费、异常、回收率</w:t>
            </w:r>
          </w:p>
        </w:tc>
        <w:tc>
          <w:tcPr>
            <w:tcW w:w="3005" w:type="dxa"/>
            <w:vAlign w:val="center"/>
          </w:tcPr>
          <w:p w14:paraId="7F382F5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回答“今天发生了什么、哪里有风险”</w:t>
            </w:r>
          </w:p>
        </w:tc>
      </w:tr>
    </w:tbl>
    <w:p w14:paraId="143898B8">
      <w:pPr>
        <w:spacing w:after="0"/>
      </w:pPr>
    </w:p>
    <w:p w14:paraId="584BC6A4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10.1 一级导航冻结建议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761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14:paraId="26782697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一级导航</w:t>
            </w:r>
          </w:p>
        </w:tc>
        <w:tc>
          <w:tcPr>
            <w:tcW w:w="6803" w:type="dxa"/>
            <w:shd w:val="clear" w:color="auto" w:fill="17365D"/>
            <w:vAlign w:val="center"/>
          </w:tcPr>
          <w:p w14:paraId="4DED0623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包含内容</w:t>
            </w:r>
          </w:p>
        </w:tc>
      </w:tr>
      <w:tr w14:paraId="2771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A19B3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工作台</w:t>
            </w:r>
          </w:p>
        </w:tc>
        <w:tc>
          <w:tcPr>
            <w:tcW w:w="6803" w:type="dxa"/>
            <w:vAlign w:val="center"/>
          </w:tcPr>
          <w:p w14:paraId="21B9122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所有角色可见但内容不同</w:t>
            </w:r>
          </w:p>
        </w:tc>
      </w:tr>
      <w:tr w14:paraId="31B71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1F388D8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客户与水表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685D61C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客户、结算户、水表户、水表、360°</w:t>
            </w:r>
          </w:p>
        </w:tc>
      </w:tr>
      <w:tr w14:paraId="1BC0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3FE73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抄表</w:t>
            </w:r>
          </w:p>
        </w:tc>
        <w:tc>
          <w:tcPr>
            <w:tcW w:w="6803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抄表册、计划、人工录入/QC、Remote 接入状态、异常入口</w:t>
            </w:r>
          </w:p>
        </w:tc>
      </w:tr>
      <w:tr w14:paraId="6313B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441A83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结算与计费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098271A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结算、补差、资费、开账、账单</w:t>
            </w:r>
          </w:p>
        </w:tc>
      </w:tr>
      <w:tr w14:paraId="60CA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FDAA7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收费与账务</w:t>
            </w:r>
          </w:p>
        </w:tc>
        <w:tc>
          <w:tcPr>
            <w:tcW w:w="6803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8"/>
              </w:rPr>
              <w:t>收费台、预存、收费记录、日结、红冲/欠费</w:t>
            </w:r>
          </w:p>
        </w:tc>
      </w:tr>
      <w:tr w14:paraId="24359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14:paraId="3FE6849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报表与运营</w:t>
            </w:r>
          </w:p>
        </w:tc>
        <w:tc>
          <w:tcPr>
            <w:tcW w:w="6803" w:type="dxa"/>
            <w:shd w:val="clear" w:color="auto" w:fill="F7F9FC"/>
            <w:vAlign w:val="center"/>
          </w:tcPr>
          <w:p w14:paraId="2431AB4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固定报表、运营指标、异常与欠费分析</w:t>
            </w:r>
          </w:p>
        </w:tc>
      </w:tr>
      <w:tr w14:paraId="4AFA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46D123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系统管理</w:t>
            </w:r>
          </w:p>
        </w:tc>
        <w:tc>
          <w:tcPr>
            <w:tcW w:w="6803" w:type="dxa"/>
            <w:vAlign w:val="center"/>
          </w:tcPr>
          <w:p w14:paraId="13B9C89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组织、员工、角色、参数、审计</w:t>
            </w:r>
          </w:p>
        </w:tc>
      </w:tr>
    </w:tbl>
    <w:p w14:paraId="1D6D4825">
      <w:pPr>
        <w:spacing w:after="0"/>
      </w:pPr>
    </w:p>
    <w:p w14:paraId="58EC5FE3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10.2 不再新增“重复查询模块”</w:t>
      </w:r>
    </w:p>
    <w:p w14:paraId="35BEA6DF">
      <w:pPr>
        <w:spacing w:before="0" w:after="120" w:line="300" w:lineRule="auto"/>
      </w:pPr>
      <w:r>
        <w:rPr>
          <w:rFonts w:ascii="Noto Sans CJK SC" w:hAnsi="Noto Sans CJK SC" w:eastAsia="Noto Sans CJK SC"/>
          <w:color w:val="243447"/>
          <w:sz w:val="21"/>
        </w:rPr>
        <w:t>查询能力优先进入对象详情和全局搜索。例如 Customer/WaterAccount 详情直接展示抄表、结算、账单、收费和变更历史；不再分别建立“客户查询、客户历史查询、抄表查询、费用查询”的重复菜单。</w:t>
      </w:r>
    </w:p>
    <w:p w14:paraId="4B17D93E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11. 技术与数据架构护栏</w:t>
      </w:r>
    </w:p>
    <w:p w14:paraId="351A6C5E">
      <w:pPr>
        <w:spacing w:before="0" w:after="120" w:line="300" w:lineRule="auto"/>
      </w:pPr>
      <w:r>
        <w:rPr>
          <w:rFonts w:ascii="Noto Sans CJK SC" w:hAnsi="Noto Sans CJK SC" w:eastAsia="Noto Sans CJK SC"/>
          <w:color w:val="243447"/>
          <w:sz w:val="21"/>
        </w:rPr>
        <w:t>产品地图决定“做什么”，技术护栏决定“无论增加什么功能都不能破坏什么”。当前模块化单体 + PostgreSQL + RLS 是适合 MVP/早期 SaaS 的架构，不需要为了 Roadmap 提前拆微服务。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082"/>
        <w:gridCol w:w="3515"/>
      </w:tblGrid>
      <w:tr w14:paraId="776C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6714E3A0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护栏</w:t>
            </w:r>
          </w:p>
        </w:tc>
        <w:tc>
          <w:tcPr>
            <w:tcW w:w="4082" w:type="dxa"/>
            <w:shd w:val="clear" w:color="auto" w:fill="17365D"/>
            <w:vAlign w:val="center"/>
          </w:tcPr>
          <w:p w14:paraId="27F8D0FA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当前原则</w:t>
            </w:r>
          </w:p>
        </w:tc>
        <w:tc>
          <w:tcPr>
            <w:tcW w:w="3515" w:type="dxa"/>
            <w:shd w:val="clear" w:color="auto" w:fill="17365D"/>
            <w:vAlign w:val="center"/>
          </w:tcPr>
          <w:p w14:paraId="55BBD5BB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对未来功能的要求</w:t>
            </w:r>
          </w:p>
        </w:tc>
      </w:tr>
      <w:tr w14:paraId="627B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99FA6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Tenant / RLS</w:t>
            </w:r>
          </w:p>
        </w:tc>
        <w:tc>
          <w:tcPr>
            <w:tcW w:w="4082" w:type="dxa"/>
            <w:vAlign w:val="center"/>
          </w:tcPr>
          <w:p w14:paraId="3F7E105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共享 PostgreSQL，tenant_id + RLS；运行角色 non-owner / no BYPASSRLS；FORCE RLS</w:t>
            </w:r>
          </w:p>
        </w:tc>
        <w:tc>
          <w:tcPr>
            <w:tcW w:w="3515" w:type="dxa"/>
            <w:vAlign w:val="center"/>
          </w:tcPr>
          <w:p w14:paraId="0ED4DB7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任何新表默认进入租户隔离设计</w:t>
            </w:r>
          </w:p>
        </w:tc>
      </w:tr>
      <w:tr w14:paraId="03EF6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FFD356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业务事实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5117D9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Reading 等采集事实 append-only；更正用 supersede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261B166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不允许用估水伪造 register reading</w:t>
            </w:r>
          </w:p>
        </w:tc>
      </w:tr>
      <w:tr w14:paraId="226F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45901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结算快照</w:t>
            </w:r>
          </w:p>
        </w:tc>
        <w:tc>
          <w:tcPr>
            <w:tcW w:w="4082" w:type="dxa"/>
            <w:vAlign w:val="center"/>
          </w:tcPr>
          <w:p w14:paraId="6E46E9E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Settlement 保存影响历史定价/补差的快照，例如 householdSizeSnapshot</w:t>
            </w:r>
          </w:p>
        </w:tc>
        <w:tc>
          <w:tcPr>
            <w:tcW w:w="3515" w:type="dxa"/>
            <w:vAlign w:val="center"/>
          </w:tcPr>
          <w:p w14:paraId="0EEE2C6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历史重算不读取可变的“当前值”</w:t>
            </w:r>
          </w:p>
        </w:tc>
      </w:tr>
      <w:tr w14:paraId="50D32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590E4E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财务不可变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A7EDE5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POSTED Bill / Payment 历史不原地修；用 reversal/replacement/adjustment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21F8A2B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对账可重演、审计可解释</w:t>
            </w:r>
          </w:p>
        </w:tc>
      </w:tr>
      <w:tr w14:paraId="0196C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3D7DB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金额与数量</w:t>
            </w:r>
          </w:p>
        </w:tc>
        <w:tc>
          <w:tcPr>
            <w:tcW w:w="4082" w:type="dxa"/>
            <w:vAlign w:val="center"/>
          </w:tcPr>
          <w:p w14:paraId="4F47C6E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数量 Decimal；金额整数分；统一 HALF_UP</w:t>
            </w:r>
          </w:p>
        </w:tc>
        <w:tc>
          <w:tcPr>
            <w:tcW w:w="3515" w:type="dxa"/>
            <w:vAlign w:val="center"/>
          </w:tcPr>
          <w:p w14:paraId="558824A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避免浮点误差</w:t>
            </w:r>
          </w:p>
        </w:tc>
      </w:tr>
      <w:tr w14:paraId="459A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D8ED00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幂等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65F60C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立户、计划、结算、计费、收款等关键写操作提供幂等</w:t>
            </w:r>
          </w:p>
        </w:tc>
        <w:tc>
          <w:tcPr>
            <w:tcW w:w="3515" w:type="dxa"/>
            <w:shd w:val="clear" w:color="auto" w:fill="F7F9FC"/>
            <w:vAlign w:val="center"/>
          </w:tcPr>
          <w:p w14:paraId="0F4469E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UI 双击/重试不得重复写业务单</w:t>
            </w:r>
          </w:p>
        </w:tc>
      </w:tr>
      <w:tr w14:paraId="3B67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D4A4D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版本</w:t>
            </w:r>
          </w:p>
        </w:tc>
        <w:tc>
          <w:tcPr>
            <w:tcW w:w="4082" w:type="dxa"/>
            <w:vAlign w:val="center"/>
          </w:tcPr>
          <w:p w14:paraId="79281F8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资费版本、业务状态、审计日志</w:t>
            </w:r>
          </w:p>
        </w:tc>
        <w:tc>
          <w:tcPr>
            <w:tcW w:w="3515" w:type="dxa"/>
            <w:vAlign w:val="center"/>
          </w:tcPr>
          <w:p w14:paraId="05CED18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规则变化必须可追溯到当期版本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远传接入</w:t>
            </w:r>
          </w:p>
        </w:tc>
        <w:tc>
          <w:tcPr>
            <w:tcW w:type="dxa" w:w="4082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原始采集事件 append-only + source/vendor/device key + 幂等</w:t>
            </w:r>
          </w:p>
        </w:tc>
        <w:tc>
          <w:tcPr>
            <w:tcW w:type="dxa" w:w="3515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Adapter 不得绕过 MeterReading/QC；失败可回退人工；V1 不承担设备协议栈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预存账本</w:t>
            </w:r>
          </w:p>
        </w:tc>
        <w:tc>
          <w:tcPr>
            <w:tcW w:type="dxa" w:w="4082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以 SettleAccount 为账户；余额由不可变 ledger 汇总</w:t>
            </w:r>
          </w:p>
        </w:tc>
        <w:tc>
          <w:tcPr>
            <w:tcW w:type="dxa" w:w="3515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禁止 mutable balance 作为唯一真相；充值/抵扣/退款/红冲都追加流水并进入审计/日结</w:t>
            </w:r>
          </w:p>
        </w:tc>
      </w:tr>
    </w:tbl>
    <w:p w14:paraId="6554A386">
      <w:pPr>
        <w:spacing w:after="0"/>
      </w:pPr>
    </w:p>
    <w:p w14:paraId="2B2C632E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11.1 人口阶梯与估水的冻结逻辑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CEDC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7868B2" w:sz="18" w:space="0"/>
              <w:bottom w:val="nil"/>
              <w:right w:val="nil"/>
            </w:tcBorders>
            <w:shd w:val="clear" w:color="auto" w:fill="F0EAF7"/>
          </w:tcPr>
          <w:p w14:paraId="762C18E2">
            <w:pPr>
              <w:spacing w:before="80" w:after="80" w:line="288" w:lineRule="auto"/>
            </w:pPr>
            <w:r>
              <w:rPr>
                <w:rFonts w:ascii="Noto Sans CJK SC" w:hAnsi="Noto Sans CJK SC" w:eastAsia="Noto Sans CJK SC"/>
                <w:b/>
                <w:color w:val="7868B2"/>
                <w:sz w:val="22"/>
              </w:rPr>
              <w:t xml:space="preserve">人口阶梯  </w:t>
            </w:r>
            <w:r>
              <w:rPr>
                <w:rFonts w:ascii="Noto Sans CJK SC" w:hAnsi="Noto Sans CJK SC" w:eastAsia="Noto Sans CJK SC"/>
                <w:color w:val="243447"/>
                <w:sz w:val="21"/>
              </w:rPr>
              <w:t>人数必须 effective-dated；Settlement 生成时快照当期人数。历史补差/重算使用快照而不是 WaterAccount 当前人数。阶梯扩展只平移多档 PER_QTY 的有限边界，YTD 年度累计逻辑保持不变。</w:t>
            </w:r>
          </w:p>
        </w:tc>
      </w:tr>
    </w:tbl>
    <w:p w14:paraId="1C2EDD61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15E7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E6A04B" w:sz="18" w:space="0"/>
              <w:bottom w:val="nil"/>
              <w:right w:val="nil"/>
            </w:tcBorders>
            <w:shd w:val="clear" w:color="auto" w:fill="FFF4E5"/>
          </w:tcPr>
          <w:p w14:paraId="0E2EA430">
            <w:pPr>
              <w:spacing w:before="80" w:after="80" w:line="288" w:lineRule="auto"/>
            </w:pPr>
            <w:r>
              <w:rPr>
                <w:rFonts w:ascii="Noto Sans CJK SC" w:hAnsi="Noto Sans CJK SC" w:eastAsia="Noto Sans CJK SC"/>
                <w:b/>
                <w:color w:val="E6A04B"/>
                <w:sz w:val="22"/>
              </w:rPr>
              <w:t xml:space="preserve">估水优先级  </w:t>
            </w:r>
            <w:r>
              <w:rPr>
                <w:rFonts w:ascii="Noto Sans CJK SC" w:hAnsi="Noto Sans CJK SC" w:eastAsia="Noto Sans CJK SC"/>
                <w:color w:val="243447"/>
                <w:sz w:val="21"/>
              </w:rPr>
              <w:t>显式 Settlement 人工覆盖 &gt; NO_READ 上的抄表员 estimateQty &gt; AUTO_AVG3；来源必须可追溯。模拟读数只允许前端展示，不落库为真实表码。</w:t>
            </w:r>
          </w:p>
        </w:tc>
      </w:tr>
    </w:tbl>
    <w:p w14:paraId="1EF91B45">
      <w:pPr>
        <w:spacing w:after="0"/>
      </w:pPr>
    </w:p>
    <w:p>
      <w:pPr>
        <w:pStyle w:val="4"/>
      </w:pPr>
      <w:r>
        <w:t>11.2 Remote Reading 与 Prepayment 的冻结逻辑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CEDC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7868B2" w:sz="18" w:space="0"/>
              <w:bottom w:val="nil"/>
              <w:right w:val="nil"/>
            </w:tcBorders>
            <w:shd w:val="clear" w:color="auto" w:fill="F0EAF7"/>
          </w:tcPr>
          <w:p>
            <w:pPr/>
            <w:r/>
            <w:r>
              <w:rPr>
                <w:rFonts w:ascii="Noto Sans CJK SC" w:hAnsi="Noto Sans CJK SC"/>
                <w:color w:val="243447"/>
                <w:sz w:val="20"/>
              </w:rPr>
              <w:t>Remote Reading V1  只解决“远传数据可信进入现有抄表主链”：外部平台 → Adapter → 原始采集事件 → Meter 绑定 → REMOTE Reading → QC → Settlement。原始事件必须幂等、可追溯；不把厂商协议栈、固件、指令下发和完整设备运维平台提前到 V1。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15E7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E6A04B" w:sz="18" w:space="0"/>
              <w:bottom w:val="nil"/>
              <w:right w:val="nil"/>
            </w:tcBorders>
            <w:shd w:val="clear" w:color="auto" w:fill="FFF4E5"/>
          </w:tcPr>
          <w:p>
            <w:pPr/>
            <w:r/>
            <w:r>
              <w:rPr>
                <w:rFonts w:ascii="Noto Sans CJK SC" w:hAnsi="Noto Sans CJK SC"/>
                <w:color w:val="243447"/>
                <w:sz w:val="20"/>
              </w:rPr>
              <w:t>Prepayment V1  以 SettleAccount 为账户，使用 append-only ledger（TOP_UP / APPLY / REFUND / REVERSAL）；余额是流水汇总结果而不是可随意改写字段。账单 POSTED 后通过 Allocation 使用预存资金，充值与退款进入 Receipt / DayClose / Audit；不提前做银行代扣、第三方支付或复杂资金池。</w:t>
            </w:r>
          </w:p>
        </w:tc>
      </w:tr>
    </w:tbl>
    <w:p w14:paraId="24A18A11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12. 版本治理与验收门禁</w:t>
      </w:r>
    </w:p>
    <w:p w14:paraId="4CD43E20">
      <w:pPr>
        <w:spacing w:before="0" w:after="120" w:line="300" w:lineRule="auto"/>
      </w:pPr>
      <w:r>
        <w:rPr>
          <w:rFonts w:ascii="Noto Sans CJK SC" w:hAnsi="Noto Sans CJK SC" w:eastAsia="Noto Sans CJK SC"/>
          <w:color w:val="243447"/>
          <w:sz w:val="21"/>
        </w:rPr>
        <w:t>产品地图不是一次性文档。每个版本的需求进入开发前，必须先确认能力层级、所属业务域、对象模型和“不做什么”；每个版本结束后，Pilot 反馈再反哺下一版地图。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535"/>
        <w:gridCol w:w="2721"/>
      </w:tblGrid>
      <w:tr w14:paraId="2E62C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7365D"/>
            <w:vAlign w:val="center"/>
          </w:tcPr>
          <w:p w14:paraId="6F087C7D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Gate</w:t>
            </w:r>
          </w:p>
        </w:tc>
        <w:tc>
          <w:tcPr>
            <w:tcW w:w="4535" w:type="dxa"/>
            <w:shd w:val="clear" w:color="auto" w:fill="17365D"/>
            <w:vAlign w:val="center"/>
          </w:tcPr>
          <w:p w14:paraId="4A17C4FA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要求</w:t>
            </w:r>
          </w:p>
        </w:tc>
        <w:tc>
          <w:tcPr>
            <w:tcW w:w="2721" w:type="dxa"/>
            <w:shd w:val="clear" w:color="auto" w:fill="17365D"/>
            <w:vAlign w:val="center"/>
          </w:tcPr>
          <w:p w14:paraId="4FB9FBA1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目的</w:t>
            </w:r>
          </w:p>
        </w:tc>
      </w:tr>
      <w:tr w14:paraId="1DFE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FC4EE6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Product Gate</w:t>
            </w:r>
          </w:p>
        </w:tc>
        <w:tc>
          <w:tcPr>
            <w:tcW w:w="4535" w:type="dxa"/>
            <w:vAlign w:val="center"/>
          </w:tcPr>
          <w:p w14:paraId="38882A0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Epic 有明确用户、问题、核心场景、规则、UI 入口、审计、Not in scope</w:t>
            </w:r>
          </w:p>
        </w:tc>
        <w:tc>
          <w:tcPr>
            <w:tcW w:w="2721" w:type="dxa"/>
            <w:vAlign w:val="center"/>
          </w:tcPr>
          <w:p w14:paraId="64F911F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防止 AI/开发自行扩范围</w:t>
            </w:r>
          </w:p>
        </w:tc>
      </w:tr>
      <w:tr w14:paraId="0AEA6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16B13F0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Domain Gate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F35775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对象与状态机冻结；异常/纠错路径明确</w:t>
            </w:r>
          </w:p>
        </w:tc>
        <w:tc>
          <w:tcPr>
            <w:tcW w:w="2721" w:type="dxa"/>
            <w:shd w:val="clear" w:color="auto" w:fill="F7F9FC"/>
            <w:vAlign w:val="center"/>
          </w:tcPr>
          <w:p w14:paraId="4E13D4A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防止 Happy Path 正确但历史纠错失真</w:t>
            </w:r>
          </w:p>
        </w:tc>
      </w:tr>
      <w:tr w14:paraId="4862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A03B2F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Backend Gate</w:t>
            </w:r>
          </w:p>
        </w:tc>
        <w:tc>
          <w:tcPr>
            <w:tcW w:w="4535" w:type="dxa"/>
            <w:vAlign w:val="center"/>
          </w:tcPr>
          <w:p w14:paraId="0F78CCD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migration、纯函数、API、E2E、RLS、账务守恒</w:t>
            </w:r>
          </w:p>
        </w:tc>
        <w:tc>
          <w:tcPr>
            <w:tcW w:w="2721" w:type="dxa"/>
            <w:vAlign w:val="center"/>
          </w:tcPr>
          <w:p w14:paraId="0DD45FD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保证数据与业务正确</w:t>
            </w:r>
          </w:p>
        </w:tc>
      </w:tr>
      <w:tr w14:paraId="00A4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1AB799D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Frontend UAT Gate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844EB3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Playwright + 真实浏览器主链 + 权限 + 响应式</w:t>
            </w:r>
          </w:p>
        </w:tc>
        <w:tc>
          <w:tcPr>
            <w:tcW w:w="2721" w:type="dxa"/>
            <w:shd w:val="clear" w:color="auto" w:fill="F7F9FC"/>
            <w:vAlign w:val="center"/>
          </w:tcPr>
          <w:p w14:paraId="0044CA6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保证“能操作”</w:t>
            </w:r>
          </w:p>
        </w:tc>
      </w:tr>
      <w:tr w14:paraId="1CB2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46939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Pilot Gate</w:t>
            </w:r>
          </w:p>
        </w:tc>
        <w:tc>
          <w:tcPr>
            <w:tcW w:w="4535" w:type="dxa"/>
            <w:vAlign w:val="center"/>
          </w:tcPr>
          <w:p w14:paraId="7D2A5D6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连续真实模拟几天/多个账期，记录 BUG/WORKFLOW/UX/FEATURE</w:t>
            </w:r>
          </w:p>
        </w:tc>
        <w:tc>
          <w:tcPr>
            <w:tcW w:w="2721" w:type="dxa"/>
            <w:vAlign w:val="center"/>
          </w:tcPr>
          <w:p w14:paraId="5256EF5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保证“好用且贴近业务”</w:t>
            </w:r>
          </w:p>
        </w:tc>
      </w:tr>
      <w:tr w14:paraId="7CB6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03A5269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Release Gate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158028D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版本说明、标签、数据库迁移、回滚/备份说明</w:t>
            </w:r>
          </w:p>
        </w:tc>
        <w:tc>
          <w:tcPr>
            <w:tcW w:w="2721" w:type="dxa"/>
            <w:shd w:val="clear" w:color="auto" w:fill="F7F9FC"/>
            <w:vAlign w:val="center"/>
          </w:tcPr>
          <w:p w14:paraId="759232E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可部署、可追溯</w:t>
            </w:r>
          </w:p>
        </w:tc>
      </w:tr>
    </w:tbl>
    <w:p w14:paraId="15B6696D">
      <w:pPr>
        <w:spacing w:after="0"/>
      </w:pPr>
    </w:p>
    <w:p w14:paraId="3B3645C8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12.1 产品反馈分类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51F1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4EE9FA98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w="4535" w:type="dxa"/>
            <w:shd w:val="clear" w:color="auto" w:fill="17365D"/>
            <w:vAlign w:val="center"/>
          </w:tcPr>
          <w:p w14:paraId="41CF66F3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067DA95D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典型去向</w:t>
            </w:r>
          </w:p>
        </w:tc>
      </w:tr>
      <w:tr w14:paraId="3B3B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1B9FE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BUG</w:t>
            </w:r>
          </w:p>
        </w:tc>
        <w:tc>
          <w:tcPr>
            <w:tcW w:w="4535" w:type="dxa"/>
            <w:vAlign w:val="center"/>
          </w:tcPr>
          <w:p w14:paraId="77D593B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结果错误、状态错误、金额错误、权限/数据泄露</w:t>
            </w:r>
          </w:p>
        </w:tc>
        <w:tc>
          <w:tcPr>
            <w:tcW w:w="2835" w:type="dxa"/>
            <w:vAlign w:val="center"/>
          </w:tcPr>
          <w:p w14:paraId="2F02D15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Hotfix 或当前版本</w:t>
            </w:r>
          </w:p>
        </w:tc>
      </w:tr>
      <w:tr w14:paraId="313EF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A9291F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WORKFLOW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78E547A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业务能做但流程设计不合理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6B083E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v0.2/v0.3 优先</w:t>
            </w:r>
          </w:p>
        </w:tc>
      </w:tr>
      <w:tr w14:paraId="3075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931FE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UX</w:t>
            </w:r>
          </w:p>
        </w:tc>
        <w:tc>
          <w:tcPr>
            <w:tcW w:w="4535" w:type="dxa"/>
            <w:vAlign w:val="center"/>
          </w:tcPr>
          <w:p w14:paraId="714EE38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点击多、看不懂、上下文不足、搜索慢</w:t>
            </w:r>
          </w:p>
        </w:tc>
        <w:tc>
          <w:tcPr>
            <w:tcW w:w="2835" w:type="dxa"/>
            <w:vAlign w:val="center"/>
          </w:tcPr>
          <w:p w14:paraId="65D5902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v0.3 重点</w:t>
            </w:r>
          </w:p>
        </w:tc>
      </w:tr>
      <w:tr w14:paraId="2AEF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720104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FEATURE</w:t>
            </w:r>
          </w:p>
        </w:tc>
        <w:tc>
          <w:tcPr>
            <w:tcW w:w="4535" w:type="dxa"/>
            <w:shd w:val="clear" w:color="auto" w:fill="F7F9FC"/>
            <w:vAlign w:val="center"/>
          </w:tcPr>
          <w:p w14:paraId="4F8DB5B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当前版本真正缺少的业务能力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0ED4EA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9"/>
              </w:rPr>
              <w:t>按 L1-L4 产品地图排期</w:t>
            </w:r>
          </w:p>
        </w:tc>
      </w:tr>
    </w:tbl>
    <w:p w14:paraId="1A5606A3">
      <w:pPr>
        <w:spacing w:after="0"/>
      </w:pPr>
    </w:p>
    <w:p w14:paraId="58F7AFFC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13. 下一步执行计划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1EE9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5B9F68" w:sz="18" w:space="0"/>
              <w:bottom w:val="nil"/>
              <w:right w:val="nil"/>
            </w:tcBorders>
            <w:shd w:val="clear" w:color="auto" w:fill="EAF4EF"/>
          </w:tcPr>
          <w:p>
            <w:pPr/>
            <w:r/>
            <w:r>
              <w:rPr>
                <w:rFonts w:ascii="Noto Sans CJK SC" w:hAnsi="Noto Sans CJK SC"/>
                <w:color w:val="243447"/>
                <w:sz w:val="20"/>
              </w:rPr>
              <w:t>当前动作  v0.2.0-mvp 已发布。Product Map v1.1 作为新的范围基线：用真实 Pilot 验证现有五条新链路，同时优先冻结并实现 Remote Reading Integration V1 + Prepayment V1；其后再完成水表生命周期、360°、异常中心和运营报表，最后进入 v0.3 效率阶段。</w:t>
            </w:r>
          </w:p>
        </w:tc>
      </w:tr>
    </w:tbl>
    <w:p w14:paraId="6EE56A41">
      <w:pPr>
        <w:spacing w:after="0"/>
      </w:pPr>
    </w:p>
    <w:p w14:paraId="6805D5A3">
      <w:pPr>
        <w:pStyle w:val="14"/>
        <w:spacing w:before="0" w:after="60" w:line="276" w:lineRule="auto"/>
      </w:pPr>
      <w:r>
        <w:rPr>
          <w:rFonts w:ascii="Noto Sans CJK SC" w:hAnsi="Noto Sans CJK SC"/>
        </w:rPr>
        <w:t>冻结 Product Map v1.1，明确首要 ICP 为郊县/县级中小水司；后续需求必须先映射到业务域、层级和版本。</w:t>
      </w:r>
    </w:p>
    <w:p w14:paraId="799E3BD3">
      <w:pPr>
        <w:pStyle w:val="14"/>
        <w:spacing w:before="0" w:after="60" w:line="276" w:lineRule="auto"/>
      </w:pPr>
      <w:r>
        <w:rPr>
          <w:rFonts w:ascii="Noto Sans CJK SC" w:hAnsi="Noto Sans CJK SC"/>
        </w:rPr>
        <w:t>为 E5 Remote Reading V1 与 E6 Prepayment V1 先写完整产品定义（User / Problem / Scenarios / Rules / UI / Audit / Not in Scope），完成后再展开 E7–E10。</w:t>
      </w:r>
    </w:p>
    <w:p w14:paraId="750FCE5F">
      <w:pPr>
        <w:pStyle w:val="14"/>
        <w:spacing w:before="0" w:after="60" w:line="276" w:lineRule="auto"/>
      </w:pPr>
      <w:r>
        <w:rPr>
          <w:rFonts w:ascii="Noto Sans CJK SC" w:hAnsi="Noto Sans CJK SC"/>
        </w:rPr>
        <w:t>以 v0.2.0-mvp 为稳定基线建立后续集成分支；部署 ops 独立，Remote Adapter/预存账本按 vertical slice 开发。</w:t>
      </w:r>
    </w:p>
    <w:p w14:paraId="7B3EDC46">
      <w:pPr>
        <w:pStyle w:val="14"/>
        <w:spacing w:before="0" w:after="60" w:line="276" w:lineRule="auto"/>
      </w:pPr>
      <w:r>
        <w:rPr>
          <w:rFonts w:ascii="Noto Sans CJK SC" w:hAnsi="Noto Sans CJK SC"/>
        </w:rPr>
        <w:t>v0.2.x 优先顺序：Remote Reading V1 → Prepayment V1 → 水表生命周期 → 360° → 异常中心 → 运营报表。</w:t>
      </w:r>
    </w:p>
    <w:p w14:paraId="676D1F29">
      <w:pPr>
        <w:pStyle w:val="14"/>
        <w:spacing w:before="0" w:after="60" w:line="276" w:lineRule="auto"/>
      </w:pPr>
      <w:r>
        <w:rPr>
          <w:rFonts w:ascii="Noto Sans CJK SC" w:hAnsi="Noto Sans CJK SC"/>
        </w:rPr>
        <w:t>每个 Epic 增加 Domain/API/E2E/Playwright 回归；Remote 必测重复数据/异常回退，Prepayment 必测资金守恒/红冲/日结。</w:t>
      </w:r>
    </w:p>
    <w:p w14:paraId="116B5428">
      <w:pPr>
        <w:pStyle w:val="14"/>
        <w:spacing w:before="0" w:after="60" w:line="276" w:lineRule="auto"/>
      </w:pPr>
      <w:r>
        <w:rPr>
          <w:rFonts w:ascii="Noto Sans CJK SC" w:hAnsi="Noto Sans CJK SC"/>
        </w:rPr>
        <w:t>Pilot 按多个账期累计 BUG/WORKFLOW/UX/FEATURE，验证回收率/预存使用与远传稳定性，再冻结 v0.3 效率 backlog。</w:t>
      </w:r>
    </w:p>
    <w:p w14:paraId="4ADAAB39">
      <w:pPr>
        <w:pStyle w:val="4"/>
        <w:spacing w:before="100" w:after="80" w:line="240" w:lineRule="auto"/>
      </w:pPr>
      <w:r>
        <w:rPr>
          <w:rFonts w:ascii="Noto Sans CJK SC" w:hAnsi="Noto Sans CJK SC" w:eastAsia="Noto Sans CJK SC"/>
          <w:b/>
          <w:color w:val="17365D"/>
          <w:sz w:val="28"/>
        </w:rPr>
        <w:t>13.1 产品地图维护规则</w:t>
      </w:r>
    </w:p>
    <w:p w14:paraId="29531092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color w:val="243447"/>
          <w:sz w:val="21"/>
        </w:rPr>
        <w:t>一级业务域原则上不因单个客户需求改变；新菜单必须证明存在独立责任边界。</w:t>
      </w:r>
    </w:p>
    <w:p w14:paraId="162E1380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color w:val="243447"/>
          <w:sz w:val="21"/>
        </w:rPr>
        <w:t>任何新功能必须标记 L1/L2/L3/L4，以及所属版本。</w:t>
      </w:r>
    </w:p>
    <w:p w14:paraId="1B40839B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color w:val="243447"/>
          <w:sz w:val="21"/>
        </w:rPr>
        <w:t>任何新功能必须明确是否影响历史账务、资费版本、权限、审计和数据迁移。</w:t>
      </w:r>
    </w:p>
    <w:p w14:paraId="50A02D6C">
      <w:pPr>
        <w:pStyle w:val="16"/>
        <w:spacing w:before="0" w:after="60" w:line="276" w:lineRule="auto"/>
      </w:pPr>
      <w:r>
        <w:rPr>
          <w:rFonts w:ascii="Noto Sans CJK SC" w:hAnsi="Noto Sans CJK SC" w:eastAsia="Noto Sans CJK SC"/>
          <w:color w:val="243447"/>
          <w:sz w:val="21"/>
        </w:rPr>
        <w:t>任何“成熟系统里有”的功能都不是默认需求；先回答用户是谁、频率多高、没有它是否无法营业。</w:t>
      </w:r>
    </w:p>
    <w:p w14:paraId="55EC8A2D">
      <w:pPr>
        <w:pStyle w:val="16"/>
        <w:spacing w:before="0" w:after="60" w:line="276" w:lineRule="auto"/>
      </w:pPr>
      <w:r>
        <w:rPr>
          <w:rFonts w:ascii="Noto Sans CJK SC" w:hAnsi="Noto Sans CJK SC"/>
        </w:rPr>
        <w:t>产品地图每个大版本更新一次；ICP 发生变化时允许调整能力层级，但必须记录“为什么前置/后置”，不得无记录扩范围。</w:t>
      </w:r>
    </w:p>
    <w:p w14:paraId="4CD70638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附录 A：能力清单（建议 Source of Truth）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587"/>
        <w:gridCol w:w="1701"/>
        <w:gridCol w:w="1814"/>
      </w:tblGrid>
      <w:tr w14:paraId="2BE8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14:paraId="6977FC82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业务域</w:t>
            </w:r>
          </w:p>
        </w:tc>
        <w:tc>
          <w:tcPr>
            <w:tcW w:w="2835" w:type="dxa"/>
            <w:shd w:val="clear" w:color="auto" w:fill="17365D"/>
            <w:vAlign w:val="center"/>
          </w:tcPr>
          <w:p w14:paraId="47BF36B7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w="1587" w:type="dxa"/>
            <w:shd w:val="clear" w:color="auto" w:fill="17365D"/>
            <w:vAlign w:val="center"/>
          </w:tcPr>
          <w:p w14:paraId="32558E54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w="1701" w:type="dxa"/>
            <w:shd w:val="clear" w:color="auto" w:fill="17365D"/>
            <w:vAlign w:val="center"/>
          </w:tcPr>
          <w:p w14:paraId="5D2ED087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</w:t>
            </w:r>
          </w:p>
        </w:tc>
        <w:tc>
          <w:tcPr>
            <w:tcW w:w="1814" w:type="dxa"/>
            <w:shd w:val="clear" w:color="auto" w:fill="17365D"/>
            <w:vAlign w:val="center"/>
          </w:tcPr>
          <w:p w14:paraId="30BF5AAB">
            <w:pPr>
              <w:spacing w:before="4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规划</w:t>
            </w:r>
          </w:p>
        </w:tc>
      </w:tr>
      <w:tr w14:paraId="4A23E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EA6EE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客户与水表</w:t>
            </w:r>
          </w:p>
        </w:tc>
        <w:tc>
          <w:tcPr>
            <w:tcW w:w="2835" w:type="dxa"/>
            <w:vAlign w:val="center"/>
          </w:tcPr>
          <w:p w14:paraId="29F677C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立户</w:t>
            </w:r>
          </w:p>
        </w:tc>
        <w:tc>
          <w:tcPr>
            <w:tcW w:w="1587" w:type="dxa"/>
            <w:vAlign w:val="center"/>
          </w:tcPr>
          <w:p w14:paraId="3C1A3C0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 w14:paraId="3FF4055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已完成</w:t>
            </w:r>
          </w:p>
        </w:tc>
        <w:tc>
          <w:tcPr>
            <w:tcW w:w="1814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持续 polish</w:t>
            </w:r>
          </w:p>
        </w:tc>
      </w:tr>
      <w:tr w14:paraId="2F85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8D44BA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客户与水表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377488A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复用客户/结算户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2732E6A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EEF26C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已有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171B209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Pilot优化</w:t>
            </w:r>
          </w:p>
        </w:tc>
      </w:tr>
      <w:tr w14:paraId="6920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A1C90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客户与水表</w:t>
            </w:r>
          </w:p>
        </w:tc>
        <w:tc>
          <w:tcPr>
            <w:tcW w:w="2835" w:type="dxa"/>
            <w:vAlign w:val="center"/>
          </w:tcPr>
          <w:p w14:paraId="0D78352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过户/状态变更</w:t>
            </w:r>
          </w:p>
        </w:tc>
        <w:tc>
          <w:tcPr>
            <w:tcW w:w="1587" w:type="dxa"/>
            <w:vAlign w:val="center"/>
          </w:tcPr>
          <w:p w14:paraId="2DF4BFC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 w14:paraId="014A2BE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部分</w:t>
            </w:r>
          </w:p>
        </w:tc>
        <w:tc>
          <w:tcPr>
            <w:tcW w:w="1814" w:type="dxa"/>
            <w:vAlign w:val="center"/>
          </w:tcPr>
          <w:p w14:paraId="47C20D9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v0.2/v0.3</w:t>
            </w:r>
          </w:p>
        </w:tc>
      </w:tr>
      <w:tr w14:paraId="15D5F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C3A0F6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客户与水表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727353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换表/拆表 UI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5946A49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C4DBE4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数据层已有</w:t>
            </w:r>
          </w:p>
        </w:tc>
        <w:tc>
          <w:tcPr>
            <w:tcW w:w="1814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v0.2.x</w:t>
            </w:r>
          </w:p>
        </w:tc>
      </w:tr>
      <w:tr w14:paraId="0570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9DAEC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客户与水表</w:t>
            </w:r>
          </w:p>
        </w:tc>
        <w:tc>
          <w:tcPr>
            <w:tcW w:w="2835" w:type="dxa"/>
            <w:vAlign w:val="center"/>
          </w:tcPr>
          <w:p w14:paraId="0E2A112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用户360°</w:t>
            </w:r>
          </w:p>
        </w:tc>
        <w:tc>
          <w:tcPr>
            <w:tcW w:w="1587" w:type="dxa"/>
            <w:vAlign w:val="center"/>
          </w:tcPr>
          <w:p w14:paraId="498986A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Operational</w:t>
            </w:r>
          </w:p>
        </w:tc>
        <w:tc>
          <w:tcPr>
            <w:tcW w:w="1701" w:type="dxa"/>
            <w:vAlign w:val="center"/>
          </w:tcPr>
          <w:p w14:paraId="72D2FED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v0.2.x V1 / v0.3 V2</w:t>
            </w:r>
          </w:p>
        </w:tc>
      </w:tr>
      <w:tr w14:paraId="290F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FF0031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抄表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487F2B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抄表册/计划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2C0DCBD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v0.2.0 已增强</w:t>
            </w:r>
          </w:p>
        </w:tc>
        <w:tc>
          <w:tcPr>
            <w:tcW w:w="1814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持续</w:t>
            </w:r>
          </w:p>
        </w:tc>
      </w:tr>
      <w:tr w14:paraId="497B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F45F1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抄表</w:t>
            </w:r>
          </w:p>
        </w:tc>
        <w:tc>
          <w:tcPr>
            <w:tcW w:w="2835" w:type="dxa"/>
            <w:vAlign w:val="center"/>
          </w:tcPr>
          <w:p w14:paraId="420D38F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实抄/远传/NO_READ</w:t>
            </w:r>
          </w:p>
        </w:tc>
        <w:tc>
          <w:tcPr>
            <w:tcW w:w="1587" w:type="dxa"/>
            <w:vAlign w:val="center"/>
          </w:tcPr>
          <w:p w14:paraId="56BAD66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v0.2.0 已增强</w:t>
            </w:r>
          </w:p>
        </w:tc>
        <w:tc>
          <w:tcPr>
            <w:tcW w:w="1814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Remote 接入 V1 另列</w:t>
            </w:r>
          </w:p>
        </w:tc>
      </w:tr>
      <w:tr>
        <w:tc>
          <w:tcPr>
            <w:tcW w:type="dxa" w:w="1701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抄表/设备接入</w:t>
            </w:r>
          </w:p>
        </w:tc>
        <w:tc>
          <w:tcPr>
            <w:tcW w:type="dxa" w:w="2835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Remote Reading Integration V1</w:t>
            </w:r>
          </w:p>
        </w:tc>
        <w:tc>
          <w:tcPr>
            <w:tcW w:type="dxa" w:w="1587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Core</w:t>
            </w:r>
          </w:p>
        </w:tc>
        <w:tc>
          <w:tcPr>
            <w:tcW w:type="dxa" w:w="1701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模型已有，外部接入缺失</w:t>
            </w:r>
          </w:p>
        </w:tc>
        <w:tc>
          <w:tcPr>
            <w:tcW w:type="dxa" w:w="1814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v0.2.x 近期优先</w:t>
            </w:r>
          </w:p>
        </w:tc>
      </w:tr>
      <w:tr w14:paraId="06242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B9DCE9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抄表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503479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QC/更正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3D547BC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BAE0F8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已完成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3222118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v0.3批量</w:t>
            </w:r>
          </w:p>
        </w:tc>
      </w:tr>
      <w:tr w14:paraId="19ACE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38915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抄表</w:t>
            </w:r>
          </w:p>
        </w:tc>
        <w:tc>
          <w:tcPr>
            <w:tcW w:w="2835" w:type="dxa"/>
            <w:vAlign w:val="center"/>
          </w:tcPr>
          <w:p w14:paraId="614C20B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极速连续录入</w:t>
            </w:r>
          </w:p>
        </w:tc>
        <w:tc>
          <w:tcPr>
            <w:tcW w:w="1587" w:type="dxa"/>
            <w:vAlign w:val="center"/>
          </w:tcPr>
          <w:p w14:paraId="5602896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Operational</w:t>
            </w:r>
          </w:p>
        </w:tc>
        <w:tc>
          <w:tcPr>
            <w:tcW w:w="1701" w:type="dxa"/>
            <w:vAlign w:val="center"/>
          </w:tcPr>
          <w:p w14:paraId="431DBE3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vAlign w:val="center"/>
          </w:tcPr>
          <w:p w14:paraId="177A543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v0.3</w:t>
            </w:r>
          </w:p>
        </w:tc>
      </w:tr>
      <w:tr w14:paraId="1D85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8BEAF2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抄表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EFE70A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异常中心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6B9045D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Operational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FFD5B1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04F4997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v0.2 V1</w:t>
            </w:r>
          </w:p>
        </w:tc>
      </w:tr>
      <w:tr w14:paraId="7F7C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76BEA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结算计费</w:t>
            </w:r>
          </w:p>
        </w:tc>
        <w:tc>
          <w:tcPr>
            <w:tcW w:w="2835" w:type="dxa"/>
            <w:vAlign w:val="center"/>
          </w:tcPr>
          <w:p w14:paraId="7131799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AVG3/手工估水</w:t>
            </w:r>
          </w:p>
        </w:tc>
        <w:tc>
          <w:tcPr>
            <w:tcW w:w="1587" w:type="dxa"/>
            <w:vAlign w:val="center"/>
          </w:tcPr>
          <w:p w14:paraId="648E94D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v0.2.0 已增强</w:t>
            </w:r>
          </w:p>
        </w:tc>
        <w:tc>
          <w:tcPr>
            <w:tcW w:w="1814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持续</w:t>
            </w:r>
          </w:p>
        </w:tc>
      </w:tr>
      <w:tr w14:paraId="5CFE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46B103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结算计费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9BECDA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估水恢复补差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5F0D38D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已完成 v0.2.0</w:t>
            </w:r>
          </w:p>
        </w:tc>
        <w:tc>
          <w:tcPr>
            <w:tcW w:w="1814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持续</w:t>
            </w:r>
          </w:p>
        </w:tc>
      </w:tr>
      <w:tr w14:paraId="3885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0F532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结算计费</w:t>
            </w:r>
          </w:p>
        </w:tc>
        <w:tc>
          <w:tcPr>
            <w:tcW w:w="2835" w:type="dxa"/>
            <w:vAlign w:val="center"/>
          </w:tcPr>
          <w:p w14:paraId="21B0DD8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人口阶梯</w:t>
            </w:r>
          </w:p>
        </w:tc>
        <w:tc>
          <w:tcPr>
            <w:tcW w:w="1587" w:type="dxa"/>
            <w:vAlign w:val="center"/>
          </w:tcPr>
          <w:p w14:paraId="3DAEDF0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已完成 v0.2.0</w:t>
            </w:r>
          </w:p>
        </w:tc>
        <w:tc>
          <w:tcPr>
            <w:tcW w:w="1814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持续</w:t>
            </w:r>
          </w:p>
        </w:tc>
      </w:tr>
      <w:tr w14:paraId="7F34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580E33A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结算计费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7272C4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监控表不计费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1655333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已完成 v0.2.0</w:t>
            </w:r>
          </w:p>
        </w:tc>
        <w:tc>
          <w:tcPr>
            <w:tcW w:w="1814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持续</w:t>
            </w:r>
          </w:p>
        </w:tc>
      </w:tr>
      <w:tr w14:paraId="5595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26EFD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结算计费</w:t>
            </w:r>
          </w:p>
        </w:tc>
        <w:tc>
          <w:tcPr>
            <w:tcW w:w="2835" w:type="dxa"/>
            <w:vAlign w:val="center"/>
          </w:tcPr>
          <w:p w14:paraId="3C522C9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资费版本/开账</w:t>
            </w:r>
          </w:p>
        </w:tc>
        <w:tc>
          <w:tcPr>
            <w:tcW w:w="1587" w:type="dxa"/>
            <w:vAlign w:val="center"/>
          </w:tcPr>
          <w:p w14:paraId="0FC4623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 w14:paraId="17E3B28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已完成</w:t>
            </w:r>
          </w:p>
        </w:tc>
        <w:tc>
          <w:tcPr>
            <w:tcW w:w="1814" w:type="dxa"/>
            <w:vAlign w:val="center"/>
          </w:tcPr>
          <w:p w14:paraId="5DB2454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持续</w:t>
            </w:r>
          </w:p>
        </w:tc>
      </w:tr>
      <w:tr w14:paraId="420AD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0CBA555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收费账务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80A2D0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欠费/收费/分摊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04159A5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31DCE7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已完成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10CA4AA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v0.3效率</w:t>
            </w:r>
          </w:p>
        </w:tc>
      </w:tr>
      <w:tr w14:paraId="2592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2A95B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收费账务</w:t>
            </w:r>
          </w:p>
        </w:tc>
        <w:tc>
          <w:tcPr>
            <w:tcW w:w="2835" w:type="dxa"/>
            <w:vAlign w:val="center"/>
          </w:tcPr>
          <w:p w14:paraId="4ADDA7E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收据/日结</w:t>
            </w:r>
          </w:p>
        </w:tc>
        <w:tc>
          <w:tcPr>
            <w:tcW w:w="1587" w:type="dxa"/>
            <w:vAlign w:val="center"/>
          </w:tcPr>
          <w:p w14:paraId="25B3E70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 w14:paraId="66C239A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已完成</w:t>
            </w:r>
          </w:p>
        </w:tc>
        <w:tc>
          <w:tcPr>
            <w:tcW w:w="1814" w:type="dxa"/>
            <w:vAlign w:val="center"/>
          </w:tcPr>
          <w:p w14:paraId="52C8BD3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持续</w:t>
            </w:r>
          </w:p>
        </w:tc>
      </w:tr>
      <w:tr w14:paraId="0FF0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641B1C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收费账务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582D45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红冲/纠错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3D01689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747D71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底层已有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082AC4C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v0.2/v0.3 UI</w:t>
            </w:r>
          </w:p>
        </w:tc>
      </w:tr>
      <w:tr w14:paraId="754BD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 w14:paraId="08E3EA1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收费账务</w:t>
            </w:r>
          </w:p>
        </w:tc>
        <w:tc>
          <w:tcPr>
            <w:tcW w:w="2835" w:type="dxa"/>
            <w:vAlign w:val="center"/>
          </w:tcPr>
          <w:p w14:paraId="7F960B5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预存</w:t>
            </w:r>
          </w:p>
        </w:tc>
        <w:tc>
          <w:tcPr>
            <w:tcW w:w="1587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v0.2.x 近期优先</w:t>
            </w:r>
          </w:p>
        </w:tc>
      </w:tr>
      <w:tr w14:paraId="55529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39B912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收费账务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08B495C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银行代扣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7500A10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Enterprise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CBF185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20F3C10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v0.4+</w:t>
            </w:r>
          </w:p>
        </w:tc>
      </w:tr>
      <w:tr w14:paraId="511DC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09A64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报表运营</w:t>
            </w:r>
          </w:p>
        </w:tc>
        <w:tc>
          <w:tcPr>
            <w:tcW w:w="2835" w:type="dxa"/>
            <w:vAlign w:val="center"/>
          </w:tcPr>
          <w:p w14:paraId="14FCD31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应收/实收/回收率</w:t>
            </w:r>
          </w:p>
        </w:tc>
        <w:tc>
          <w:tcPr>
            <w:tcW w:w="1587" w:type="dxa"/>
            <w:vAlign w:val="center"/>
          </w:tcPr>
          <w:p w14:paraId="7C9E008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 w14:paraId="7291132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已完成</w:t>
            </w:r>
          </w:p>
        </w:tc>
        <w:tc>
          <w:tcPr>
            <w:tcW w:w="1814" w:type="dxa"/>
            <w:vAlign w:val="center"/>
          </w:tcPr>
          <w:p w14:paraId="7765A71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持续</w:t>
            </w:r>
          </w:p>
        </w:tc>
      </w:tr>
      <w:tr w14:paraId="6E807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690772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报表运营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707756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欠费表/售水量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4846563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426F84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shd w:val="clear" w:color="auto" w:fill="F7F9FC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v0.2.x</w:t>
            </w:r>
          </w:p>
        </w:tc>
      </w:tr>
      <w:tr w14:paraId="26581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0903D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报表运营</w:t>
            </w:r>
          </w:p>
        </w:tc>
        <w:tc>
          <w:tcPr>
            <w:tcW w:w="2835" w:type="dxa"/>
            <w:vAlign w:val="center"/>
          </w:tcPr>
          <w:p w14:paraId="6487DD6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抄表完成率/连续未抄/异常水量</w:t>
            </w:r>
          </w:p>
        </w:tc>
        <w:tc>
          <w:tcPr>
            <w:tcW w:w="1587" w:type="dxa"/>
            <w:vAlign w:val="center"/>
          </w:tcPr>
          <w:p w14:paraId="17463C8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Core</w:t>
            </w:r>
          </w:p>
        </w:tc>
        <w:tc>
          <w:tcPr>
            <w:tcW w:w="1701" w:type="dxa"/>
            <w:vAlign w:val="center"/>
          </w:tcPr>
          <w:p w14:paraId="1EB07F3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vAlign w:val="center"/>
          </w:tcPr>
          <w:p>
            <w:pPr/>
            <w:r/>
            <w:r>
              <w:rPr>
                <w:rFonts w:ascii="Noto Sans CJK SC" w:hAnsi="Noto Sans CJK SC"/>
                <w:color w:val="243447"/>
                <w:sz w:val="17"/>
              </w:rPr>
              <w:t>v0.2.x</w:t>
            </w:r>
          </w:p>
        </w:tc>
      </w:tr>
      <w:tr w14:paraId="63F44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9E4826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报表运营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2F1A0C4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运营工作台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567FBDC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Operational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E89F19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基础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001ECC0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v0.3</w:t>
            </w:r>
          </w:p>
        </w:tc>
      </w:tr>
      <w:tr w14:paraId="4945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86D3F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报表运营</w:t>
            </w:r>
          </w:p>
        </w:tc>
        <w:tc>
          <w:tcPr>
            <w:tcW w:w="2835" w:type="dxa"/>
            <w:vAlign w:val="center"/>
          </w:tcPr>
          <w:p w14:paraId="06F01651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报表设计器</w:t>
            </w:r>
          </w:p>
        </w:tc>
        <w:tc>
          <w:tcPr>
            <w:tcW w:w="1587" w:type="dxa"/>
            <w:vAlign w:val="center"/>
          </w:tcPr>
          <w:p w14:paraId="252644C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Enterprise</w:t>
            </w:r>
          </w:p>
        </w:tc>
        <w:tc>
          <w:tcPr>
            <w:tcW w:w="1701" w:type="dxa"/>
            <w:vAlign w:val="center"/>
          </w:tcPr>
          <w:p w14:paraId="7DAD677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不做</w:t>
            </w:r>
          </w:p>
        </w:tc>
        <w:tc>
          <w:tcPr>
            <w:tcW w:w="1814" w:type="dxa"/>
            <w:vAlign w:val="center"/>
          </w:tcPr>
          <w:p w14:paraId="20FDB86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客户驱动</w:t>
            </w:r>
          </w:p>
        </w:tc>
      </w:tr>
      <w:tr w14:paraId="2B7A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65E8AC0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企业扩展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70078E0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电子发票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0F51C5D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Enterprise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D754D6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78C4929E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v0.4+</w:t>
            </w:r>
          </w:p>
        </w:tc>
      </w:tr>
      <w:tr w14:paraId="175E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8CBC42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企业扩展</w:t>
            </w:r>
          </w:p>
        </w:tc>
        <w:tc>
          <w:tcPr>
            <w:tcW w:w="2835" w:type="dxa"/>
            <w:vAlign w:val="center"/>
          </w:tcPr>
          <w:p w14:paraId="43559C45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合同</w:t>
            </w:r>
          </w:p>
        </w:tc>
        <w:tc>
          <w:tcPr>
            <w:tcW w:w="1587" w:type="dxa"/>
            <w:vAlign w:val="center"/>
          </w:tcPr>
          <w:p w14:paraId="1F6A2A8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Enterprise</w:t>
            </w:r>
          </w:p>
        </w:tc>
        <w:tc>
          <w:tcPr>
            <w:tcW w:w="1701" w:type="dxa"/>
            <w:vAlign w:val="center"/>
          </w:tcPr>
          <w:p w14:paraId="3C2886D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vAlign w:val="center"/>
          </w:tcPr>
          <w:p w14:paraId="08F519FD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v0.4+</w:t>
            </w:r>
          </w:p>
        </w:tc>
      </w:tr>
      <w:tr w14:paraId="5D9D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5792FA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企业扩展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1D19F4AB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催缴/停复水/工单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47049430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Enterprise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F7F925F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21C4E174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v0.4+</w:t>
            </w:r>
          </w:p>
        </w:tc>
      </w:tr>
      <w:tr w14:paraId="29497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4043C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专业扩展</w:t>
            </w:r>
          </w:p>
        </w:tc>
        <w:tc>
          <w:tcPr>
            <w:tcW w:w="2835" w:type="dxa"/>
            <w:vAlign w:val="center"/>
          </w:tcPr>
          <w:p w14:paraId="630C68DA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GIS/DMA/重点贸易表</w:t>
            </w:r>
          </w:p>
        </w:tc>
        <w:tc>
          <w:tcPr>
            <w:tcW w:w="1587" w:type="dxa"/>
            <w:vAlign w:val="center"/>
          </w:tcPr>
          <w:p w14:paraId="334AD16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Specialized</w:t>
            </w:r>
          </w:p>
        </w:tc>
        <w:tc>
          <w:tcPr>
            <w:tcW w:w="1701" w:type="dxa"/>
            <w:vAlign w:val="center"/>
          </w:tcPr>
          <w:p w14:paraId="1128497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vAlign w:val="center"/>
          </w:tcPr>
          <w:p w14:paraId="29BC4523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客户驱动</w:t>
            </w:r>
          </w:p>
        </w:tc>
      </w:tr>
      <w:tr w14:paraId="07DD0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86DCB5C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渠道</w:t>
            </w:r>
          </w:p>
        </w:tc>
        <w:tc>
          <w:tcPr>
            <w:tcW w:w="2835" w:type="dxa"/>
            <w:shd w:val="clear" w:color="auto" w:fill="F7F9FC"/>
            <w:vAlign w:val="center"/>
          </w:tcPr>
          <w:p w14:paraId="514EF6F7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APP/微信营业厅</w:t>
            </w:r>
          </w:p>
        </w:tc>
        <w:tc>
          <w:tcPr>
            <w:tcW w:w="1587" w:type="dxa"/>
            <w:shd w:val="clear" w:color="auto" w:fill="F7F9FC"/>
            <w:vAlign w:val="center"/>
          </w:tcPr>
          <w:p w14:paraId="527AD738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Specialized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98C3C86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缺失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4A6B56D9">
            <w:pPr>
              <w:spacing w:before="20" w:after="20" w:line="264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客户驱动</w:t>
            </w:r>
          </w:p>
        </w:tc>
      </w:tr>
    </w:tbl>
    <w:p w14:paraId="1AF30DBD">
      <w:pPr>
        <w:spacing w:after="0"/>
      </w:pPr>
    </w:p>
    <w:p w14:paraId="38858356">
      <w:pPr>
        <w:pStyle w:val="3"/>
        <w:spacing w:before="160" w:after="80" w:line="240" w:lineRule="auto"/>
      </w:pPr>
      <w:r>
        <w:rPr>
          <w:rFonts w:ascii="Noto Sans CJK SC" w:hAnsi="Noto Sans CJK SC" w:eastAsia="Noto Sans CJK SC"/>
          <w:b/>
          <w:color w:val="17365D"/>
          <w:sz w:val="34"/>
        </w:rPr>
        <w:t>附录 B：Epic 产品定义模板</w:t>
      </w:r>
    </w:p>
    <w:p w14:paraId="518FCCF6">
      <w:pPr>
        <w:spacing w:before="0" w:after="120" w:line="300" w:lineRule="auto"/>
      </w:pPr>
      <w:r>
        <w:rPr>
          <w:rFonts w:ascii="Noto Sans CJK SC" w:hAnsi="Noto Sans CJK SC" w:eastAsia="Noto Sans CJK SC"/>
          <w:color w:val="243447"/>
          <w:sz w:val="21"/>
        </w:rPr>
        <w:t>以后交给 Codex/Devin 开发前，先用下面模板冻结产品范围。</w:t>
      </w:r>
    </w:p>
    <w:p w14:paraId="72C31FE3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Epic：</w:t>
      </w:r>
      <w:r>
        <w:rPr>
          <w:rFonts w:ascii="Noto Sans CJK SC" w:hAnsi="Noto Sans CJK SC" w:eastAsia="Noto Sans CJK SC"/>
          <w:color w:val="243447"/>
          <w:sz w:val="21"/>
        </w:rPr>
        <w:t>居民人数阶梯</w:t>
      </w:r>
    </w:p>
    <w:p w14:paraId="58C6A129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User：</w:t>
      </w:r>
      <w:r>
        <w:rPr>
          <w:rFonts w:ascii="Noto Sans CJK SC" w:hAnsi="Noto Sans CJK SC" w:eastAsia="Noto Sans CJK SC"/>
          <w:color w:val="243447"/>
          <w:sz w:val="21"/>
        </w:rPr>
        <w:t>营业员 / 计费员 / 管理员</w:t>
      </w:r>
    </w:p>
    <w:p w14:paraId="37DFD911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Problem：</w:t>
      </w:r>
      <w:r>
        <w:rPr>
          <w:rFonts w:ascii="Noto Sans CJK SC" w:hAnsi="Noto Sans CJK SC" w:eastAsia="Noto Sans CJK SC"/>
          <w:color w:val="243447"/>
          <w:sz w:val="21"/>
        </w:rPr>
        <w:t>居民人口变化会改变年度阶梯额度，历史账务需要使用当期有效人口而非当前值。</w:t>
      </w:r>
    </w:p>
    <w:p w14:paraId="056855CC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Core Scenarios：</w:t>
      </w:r>
      <w:r>
        <w:rPr>
          <w:rFonts w:ascii="Noto Sans CJK SC" w:hAnsi="Noto Sans CJK SC" w:eastAsia="Noto Sans CJK SC"/>
          <w:color w:val="243447"/>
          <w:sz w:val="21"/>
        </w:rPr>
        <w:t>新开户；人数变更；历史查询；正常开账；历史补差/重算。</w:t>
      </w:r>
    </w:p>
    <w:p w14:paraId="2466E2EF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Business Rules：</w:t>
      </w:r>
      <w:r>
        <w:rPr>
          <w:rFonts w:ascii="Noto Sans CJK SC" w:hAnsi="Noto Sans CJK SC" w:eastAsia="Noto Sans CJK SC"/>
          <w:color w:val="243447"/>
          <w:sz w:val="21"/>
        </w:rPr>
        <w:t>有效期、快照、边界缩放、YTD、资费版本。</w:t>
      </w:r>
    </w:p>
    <w:p w14:paraId="71AFB213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UI Entry：</w:t>
      </w:r>
      <w:r>
        <w:rPr>
          <w:rFonts w:ascii="Noto Sans CJK SC" w:hAnsi="Noto Sans CJK SC" w:eastAsia="Noto Sans CJK SC"/>
          <w:color w:val="243447"/>
          <w:sz w:val="21"/>
        </w:rPr>
        <w:t>WaterAccount 360° / 资费详情 / 账单解释。</w:t>
      </w:r>
    </w:p>
    <w:p w14:paraId="61DC0B74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Audit：</w:t>
      </w:r>
      <w:r>
        <w:rPr>
          <w:rFonts w:ascii="Noto Sans CJK SC" w:hAnsi="Noto Sans CJK SC" w:eastAsia="Noto Sans CJK SC"/>
          <w:color w:val="243447"/>
          <w:sz w:val="21"/>
        </w:rPr>
        <w:t>记录变更人、生效期、旧值/新值、Settlement snapshot。</w:t>
      </w:r>
    </w:p>
    <w:p w14:paraId="59504228">
      <w:pPr>
        <w:spacing w:before="0" w:after="80" w:line="288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Not in Scope：</w:t>
      </w:r>
      <w:r>
        <w:rPr>
          <w:rFonts w:ascii="Noto Sans CJK SC" w:hAnsi="Noto Sans CJK SC" w:eastAsia="Noto Sans CJK SC"/>
          <w:color w:val="243447"/>
          <w:sz w:val="21"/>
        </w:rPr>
        <w:t>公安人口接口、证件审核、批量申报。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74F2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top w:val="nil"/>
              <w:left w:val="single" w:color="17365D" w:sz="18" w:space="0"/>
              <w:bottom w:val="nil"/>
              <w:right w:val="nil"/>
            </w:tcBorders>
            <w:shd w:val="clear" w:color="auto" w:fill="17365D"/>
          </w:tcPr>
          <w:p>
            <w:r/>
            <w:r>
              <w:rPr>
                <w:rFonts w:ascii="Noto Sans CJK SC" w:hAnsi="Noto Sans CJK SC"/>
                <w:b/>
                <w:color w:val="FFFFFF"/>
                <w:sz w:val="22"/>
              </w:rPr>
              <w:t xml:space="preserve">最终原则  </w:t>
            </w:r>
            <w:r>
              <w:rPr>
                <w:rFonts w:ascii="Noto Sans CJK SC" w:hAnsi="Noto Sans CJK SC"/>
                <w:color w:val="FFFFFF"/>
                <w:sz w:val="21"/>
              </w:rPr>
              <w:t>成熟系统提供“问题清单”，Water SaaS 提供“更好的组织方式”。v1.1 进一步明确：产品层级必须服从首要 ICP 的营业关键性。对郊县水司，远传数据接入与预存水费属于近期 Core，但仍坚持轻量接入、追加事实、账务可追溯和明确的企业化边界。</w:t>
            </w:r>
          </w:p>
        </w:tc>
      </w:tr>
    </w:tbl>
    <w:p w14:paraId="732BE157">
      <w:pPr>
        <w:spacing w:after="0"/>
      </w:pPr>
    </w:p>
    <w:sectPr>
      <w:headerReference r:id="rId9" w:type="default"/>
      <w:footerReference r:id="rId10" w:type="default"/>
      <w:pgSz w:w="12240" w:h="15840"/>
      <w:pgMar w:top="1020" w:right="1134" w:bottom="96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8B288">
    <w:pPr>
      <w:pStyle w:val="24"/>
      <w:jc w:val="right"/>
    </w:pPr>
    <w:r>
      <w:rPr>
        <w:rFonts w:ascii="Noto Sans CJK SC" w:hAnsi="Noto Sans CJK SC" w:eastAsia="Noto Sans CJK SC"/>
        <w:color w:val="5F6B7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ans CJK SC" w:hAnsi="Noto Sans CJK SC" w:eastAsia="Noto Sans CJK SC"/>
        <w:color w:val="5F6B76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69FFB">
    <w:pPr>
      <w:pStyle w:val="24"/>
      <w:jc w:val="right"/>
    </w:pPr>
    <w:r>
      <w:rPr>
        <w:rFonts w:ascii="Noto Sans CJK SC" w:hAnsi="Noto Sans CJK SC" w:eastAsia="Noto Sans CJK SC"/>
        <w:color w:val="5F6B7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ans CJK SC" w:hAnsi="Noto Sans CJK SC" w:eastAsia="Noto Sans CJK SC"/>
        <w:color w:val="5F6B76"/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D578D">
    <w:pPr>
      <w:pStyle w:val="24"/>
      <w:jc w:val="right"/>
    </w:pPr>
    <w:r>
      <w:rPr>
        <w:rFonts w:ascii="Noto Sans CJK SC" w:hAnsi="Noto Sans CJK SC" w:eastAsia="Noto Sans CJK SC"/>
        <w:color w:val="5F6B7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ans CJK SC" w:hAnsi="Noto Sans CJK SC" w:eastAsia="Noto Sans CJK SC"/>
        <w:color w:val="5F6B7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DFA30">
    <w:pPr>
      <w:pStyle w:val="25"/>
      <w:jc w:val="right"/>
    </w:pPr>
    <w:r>
      <w:rPr>
        <w:rFonts w:ascii="Noto Sans CJK SC" w:hAnsi="Noto Sans CJK SC" w:eastAsia="Noto Sans CJK SC"/>
        <w:color w:val="5F6B76"/>
        <w:sz w:val="17"/>
      </w:rPr>
      <w:t>Water SaaS · 产品地图与架构规划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B15E8">
    <w:pPr>
      <w:pStyle w:val="25"/>
      <w:jc w:val="right"/>
    </w:pPr>
    <w:r>
      <w:rPr>
        <w:rFonts w:ascii="Noto Sans CJK SC" w:hAnsi="Noto Sans CJK SC" w:eastAsia="Noto Sans CJK SC"/>
        <w:color w:val="5F6B76"/>
        <w:sz w:val="17"/>
      </w:rPr>
      <w:t>Water SaaS · 产品地图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18753">
    <w:pPr>
      <w:pStyle w:val="25"/>
      <w:jc w:val="right"/>
    </w:pPr>
    <w:r>
      <w:rPr>
        <w:rFonts w:ascii="Noto Sans CJK SC" w:hAnsi="Noto Sans CJK SC" w:eastAsia="Noto Sans CJK SC"/>
        <w:color w:val="5F6B76"/>
        <w:sz w:val="17"/>
      </w:rPr>
      <w:t>Water SaaS · 产品地图与架构规划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B7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415</Words>
  <Characters>505</Characters>
  <Lines>0</Lines>
  <Paragraphs>0</Paragraphs>
  <TotalTime>137</TotalTime>
  <ScaleCrop>false</ScaleCrop>
  <LinksUpToDate>false</LinksUpToDate>
  <CharactersWithSpaces>534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wo</cp:lastModifiedBy>
  <dcterms:modified xsi:type="dcterms:W3CDTF">2026-09-21T03:29:13Z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eyJoZGlkIjoiYzU0ZmY4ZTA2ZTk2NTA5YTIxNDczOWY3OTE5OWNiMTEiLCJ1c2VySWQiOiI1MjQ4MjI5ODkifQ==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7AF58555C1D14CD4B461596EDD719C89_13</vt:lpwstr>
  </property>
</Properties>
</file>