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pacing w:beforeLines="100" w:after="50" w:line="360" w:lineRule="auto"/>
        <w:ind w:left="0"/>
        <w:jc w:val="center"/>
        <w:rPr/>
      </w:pPr>
      <w:bookmarkStart w:id="1" w:name="u3dd824bb"/>
      <w:r>
        <w:rPr>
          <w:rFonts w:ascii="宋体" w:hAnsi="Times New Roman" w:eastAsia="宋体" w:cs="宋体"/>
          <w:b/>
          <w:i w:val="false"/>
          <w:color w:val="000000"/>
          <w:sz w:val="48"/>
          <w:szCs w:val="22"/>
          <w:lang w:val="en-US" w:eastAsia="en-US" w:bidi="ar-SA"/>
        </w:rPr>
        <w:t>箱唛管理</w:t>
      </w:r>
    </w:p>
    <w:p>
      <w:pPr>
        <w:spacing w:beforeLines="100" w:after="50" w:line="360" w:lineRule="auto"/>
        <w:ind w:left="0"/>
        <w:jc w:val="center"/>
        <w:rPr/>
      </w:pPr>
      <w:bookmarkStart w:id="2" w:name="u099cbf96"/>
      <w:r>
        <w:rPr>
          <w:rFonts w:ascii="宋体" w:hAnsi="Times New Roman" w:eastAsia="宋体" w:cs="宋体"/>
          <w:b/>
          <w:i w:val="false"/>
          <w:color w:val="000000"/>
          <w:sz w:val="48"/>
          <w:szCs w:val="22"/>
          <w:lang w:val="en-US" w:eastAsia="en-US" w:bidi="ar-SA"/>
        </w:rPr>
        <w:t>产品需求说明书</w:t>
      </w:r>
      <w:r>
        <w:rPr>
          <w:rFonts w:ascii="宋体" w:hAnsi="Times New Roman" w:eastAsia="宋体" w:cs="宋体"/>
          <w:b/>
          <w:i w:val="false"/>
          <w:color w:val="595959"/>
          <w:sz w:val="48"/>
          <w:szCs w:val="22"/>
          <w:lang w:val="en-US" w:eastAsia="en-US" w:bidi="ar-SA"/>
        </w:rPr>
        <w:t>（Blue</w:t>
      </w:r>
      <w:r>
        <w:rPr>
          <w:rFonts w:ascii="宋体" w:hAnsi="Times New Roman" w:eastAsia="宋体" w:cs="宋体"/>
          <w:b w:val="false"/>
          <w:i w:val="false"/>
          <w:color w:val="595959"/>
          <w:sz w:val="48"/>
          <w:szCs w:val="22"/>
          <w:lang w:val="en-US" w:eastAsia="en-US" w:bidi="ar-SA"/>
        </w:rPr>
        <w:t>-</w:t>
      </w:r>
      <w:r>
        <w:rPr>
          <w:rFonts w:ascii="宋体" w:hAnsi="Times New Roman" w:eastAsia="宋体" w:cs="宋体"/>
          <w:b/>
          <w:i w:val="false"/>
          <w:color w:val="595959"/>
          <w:sz w:val="48"/>
          <w:szCs w:val="22"/>
          <w:lang w:val="en-US" w:eastAsia="en-US" w:bidi="ar-SA"/>
        </w:rPr>
        <w:t>PRD）</w:t>
      </w:r>
      <w:bookmarkEnd w:id="1"/>
    </w:p>
    <w:p>
      <w:pPr>
        <w:spacing w:beforeLines="100" w:after="50" w:line="360" w:lineRule="auto"/>
        <w:ind w:left="0"/>
        <w:jc w:val="both"/>
        <w:rPr/>
      </w:pPr>
      <w:bookmarkStart w:id="3" w:name="u897af7b1"/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产品说明书分为三类：</w:t>
      </w:r>
      <w:bookmarkEnd w:id="2"/>
    </w:p>
    <w:p>
      <w:pPr>
        <w:spacing w:beforeLines="100" w:after="50" w:line="360" w:lineRule="auto"/>
        <w:ind w:left="0"/>
        <w:jc w:val="left"/>
        <w:rPr/>
      </w:pPr>
      <w:bookmarkStart w:id="4" w:name="u5e6a0094"/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1. 产品构建设想文档(Blue-PRD)</w:t>
      </w:r>
      <w:bookmarkEnd w:id="3"/>
    </w:p>
    <w:p>
      <w:pPr>
        <w:spacing w:beforeLines="100" w:after="50" w:line="360" w:lineRule="auto"/>
        <w:ind w:left="0"/>
        <w:jc w:val="left"/>
        <w:rPr/>
      </w:pPr>
      <w:bookmarkStart w:id="5" w:name="u0254e5da"/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描述：针对构建全新产品或产品需要新增模块的情况，这份文档旨在全面阐述产品的整体构想与规划。它不仅包括对市场环境、用户需求、竞品分析等宏观背景的研究，还详细描绘了产品的核心价值主张、功能架构、用户界面设计、技术实现路线、运营策略、迭代计划等关键要素。产品构建设想文档为整个产品开发周期提供了战略指导和蓝图参考，是产品团队、开发团队、设计团队、市场团队等跨部门协作的基础。</w:t>
      </w:r>
      <w:bookmarkEnd w:id="4"/>
    </w:p>
    <w:p>
      <w:pPr>
        <w:spacing w:beforeLines="100" w:after="50" w:line="360" w:lineRule="auto"/>
        <w:ind w:left="0"/>
        <w:jc w:val="left"/>
        <w:rPr/>
      </w:pPr>
      <w:bookmarkStart w:id="6" w:name="u899bad1a"/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2. 功能扩展产品需求说明书（E</w:t>
      </w: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shd w:val="clear" w:fill="FFFFFF"/>
          <w:lang w:val="en-US" w:eastAsia="en-US" w:bidi="ar-SA"/>
        </w:rPr>
        <w:t>xt</w:t>
      </w:r>
      <w:r>
        <w:rPr>
          <w:rFonts w:ascii="宋体" w:hAnsi="Times New Roman" w:eastAsia="宋体" w:cs="宋体"/>
          <w:b w:val="false"/>
          <w:i w:val="false"/>
          <w:color w:val="595959"/>
          <w:sz w:val="24"/>
          <w:szCs w:val="22"/>
          <w:shd w:val="clear" w:fill="FFFFFF"/>
          <w:lang w:val="en-US" w:eastAsia="en-US" w:bidi="ar-SA"/>
        </w:rPr>
        <w:t>-PRD</w:t>
      </w: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）</w:t>
      </w:r>
      <w:bookmarkEnd w:id="5"/>
    </w:p>
    <w:p>
      <w:pPr>
        <w:spacing w:beforeLines="100" w:after="50" w:line="360" w:lineRule="auto"/>
        <w:ind w:left="0"/>
        <w:jc w:val="both"/>
        <w:rPr/>
      </w:pPr>
      <w:bookmarkStart w:id="7" w:name="u68174206"/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描述：对于已有的产品追加功能或追加业务场景的情况，这份文档聚焦于详细描述新功能或新业务的需求规格、设计细节、实现要求及预期效果。它为开发团队提供了明确的开发指南，确保新功能与现有产品体系的无缝融合，并能满足用户期望。</w:t>
      </w:r>
      <w:bookmarkEnd w:id="6"/>
    </w:p>
    <w:p>
      <w:pPr>
        <w:spacing w:beforeLines="100" w:after="50" w:line="360" w:lineRule="auto"/>
        <w:ind w:left="0"/>
        <w:jc w:val="left"/>
        <w:rPr/>
      </w:pPr>
      <w:bookmarkStart w:id="8" w:name="uec14e724"/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3. 微需求变更说明书（Micro-PRD）</w:t>
      </w:r>
      <w:bookmarkEnd w:id="7"/>
    </w:p>
    <w:p>
      <w:pPr>
        <w:spacing w:beforeLines="100" w:after="50" w:line="360" w:lineRule="auto"/>
        <w:ind w:left="0"/>
        <w:jc w:val="both"/>
        <w:rPr/>
      </w:pPr>
      <w:bookmarkStart w:id="9" w:name="u82df25ef"/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描述：对于增加一个字段、追加一个导出功能等较小的改动场景，这份文档以简洁、明快的方式记录变更内容、理由、实现要求及预期影响。它旨在快速传达微需求变更信息，便于开发团队快速响应，确保变更高效、准确地落实。</w:t>
      </w:r>
      <w:bookmarkEnd w:id="8"/>
    </w:p>
    <w:p>
      <w:pPr>
        <w:spacing w:beforeLines="100" w:after="50" w:line="360" w:lineRule="auto"/>
        <w:ind w:left="0"/>
        <w:jc w:val="left"/>
        <w:rPr/>
      </w:pPr>
      <w:bookmarkStart w:id="10" w:name="u3da21282"/>
      <w:r>
        <w:rPr>
          <w:rFonts w:ascii="宋体" w:hAnsi="Times New Roman" w:eastAsia="宋体" w:cs="宋体"/>
          <w:b/>
          <w:i w:val="false"/>
          <w:color w:val="000000"/>
          <w:sz w:val="36"/>
          <w:szCs w:val="22"/>
          <w:lang w:val="en-US" w:eastAsia="en-US" w:bidi="ar-SA"/>
        </w:rPr>
        <w:t>文档记录</w:t>
      </w:r>
      <w:r>
        <w:rPr>
          <w:rFonts w:ascii="宋体" w:hAnsi="Times New Roman" w:eastAsia="宋体" w:cs="宋体"/>
          <w:b w:val="false"/>
          <w:i w:val="false"/>
          <w:color w:val="000000"/>
          <w:sz w:val="24"/>
          <w:szCs w:val="22"/>
          <w:lang w:val="en-US" w:eastAsia="en-US" w:bidi="ar-SA"/>
        </w:rPr>
        <w:t xml:space="preserve"> </w:t>
      </w:r>
      <w:bookmarkEnd w:id="9"/>
      <w:bookmarkEnd w:id="10"/>
    </w:p>
    <w:tbl>
      <w:tblPr>
        <w:tblStyle w:val="000019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2369"/>
        <w:gridCol w:w="2322"/>
        <w:gridCol w:w="2277"/>
      </w:tblGrid>
      <w:tr>
        <w:trPr>
          <w:trHeight w:val="925" w:hRule="atLeast"/>
          <w:tblCellSpacing w:w="0" w:type="dxa"/>
        </w:trPr>
        <w:tc>
          <w:tcPr>
            <w:tcW w:w="181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0ED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版本号</w:t>
            </w:r>
          </w:p>
        </w:tc>
        <w:tc>
          <w:tcPr>
            <w:tcW w:w="23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0ED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修订日期</w:t>
            </w:r>
          </w:p>
        </w:tc>
        <w:tc>
          <w:tcPr>
            <w:tcW w:w="23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0ED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编写/修订说明</w:t>
            </w:r>
          </w:p>
        </w:tc>
        <w:tc>
          <w:tcPr>
            <w:tcW w:w="22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0ED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作者</w:t>
            </w:r>
          </w:p>
        </w:tc>
      </w:tr>
      <w:tr>
        <w:trPr>
          <w:trHeight w:val="852" w:hRule="atLeast"/>
          <w:tblCellSpacing w:w="0" w:type="dxa"/>
        </w:trPr>
        <w:tc>
          <w:tcPr>
            <w:tcW w:w="181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23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center"/>
              <w:rPr/>
            </w:pPr>
            <w:r>
              <w:rPr>
                <w:rFonts w:hint="eastAsia"/>
              </w:rPr>
              <w:t>2026年8月12日</w:t>
            </w:r>
          </w:p>
        </w:tc>
        <w:tc>
          <w:tcPr>
            <w:tcW w:w="23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hint="eastAsia"/>
              </w:rPr>
              <w:t>新增</w:t>
            </w:r>
          </w:p>
        </w:tc>
        <w:tc>
          <w:tcPr>
            <w:tcW w:w="22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hint="eastAsia"/>
              </w:rPr>
              <w:t>周</w:t>
            </w:r>
            <w:r>
              <w:rPr>
                <w:rFonts w:hint="eastAsia"/>
              </w:rPr>
              <w:t>师</w:t>
            </w:r>
            <w:r>
              <w:rPr>
                <w:rFonts w:hint="eastAsia"/>
              </w:rPr>
              <w:t>翔</w:t>
            </w:r>
          </w:p>
        </w:tc>
      </w:tr>
      <w:tr>
        <w:trPr>
          <w:trHeight w:val="852" w:hRule="atLeast"/>
          <w:tblCellSpacing w:w="0" w:type="dxa"/>
        </w:trPr>
        <w:tc>
          <w:tcPr>
            <w:tcW w:w="181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</w:p>
        </w:tc>
        <w:tc>
          <w:tcPr>
            <w:tcW w:w="23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</w:p>
        </w:tc>
        <w:tc>
          <w:tcPr>
            <w:tcW w:w="23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</w:p>
        </w:tc>
        <w:tc>
          <w:tcPr>
            <w:tcW w:w="22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</w:p>
        </w:tc>
      </w:tr>
      <w:tr>
        <w:trPr>
          <w:trHeight w:val="862" w:hRule="atLeast"/>
          <w:tblCellSpacing w:w="0" w:type="dxa"/>
        </w:trPr>
        <w:tc>
          <w:tcPr>
            <w:tcW w:w="181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</w:p>
        </w:tc>
        <w:tc>
          <w:tcPr>
            <w:tcW w:w="236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</w:p>
        </w:tc>
        <w:tc>
          <w:tcPr>
            <w:tcW w:w="232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</w:p>
        </w:tc>
        <w:tc>
          <w:tcPr>
            <w:tcW w:w="22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</w:p>
        </w:tc>
      </w:tr>
    </w:tbl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42"/>
          <w:szCs w:val="28"/>
          <w:lang w:val="en-US" w:eastAsia="en-US" w:bidi="ar-SA"/>
        </w:rPr>
        <w:t>发版计划</w:t>
      </w:r>
    </w:p>
    <w:tbl>
      <w:tblPr>
        <w:tblStyle w:val="000019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90"/>
      </w:tblGrid>
      <w:tr>
        <w:trPr>
          <w:trHeight w:val="920" w:hRule="atLeast"/>
          <w:tblCellSpacing w:w="0" w:type="dxa"/>
        </w:trPr>
        <w:tc>
          <w:tcPr>
            <w:tcW w:w="189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0EDFD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需求截止时间</w:t>
            </w:r>
          </w:p>
        </w:tc>
        <w:tc>
          <w:tcPr>
            <w:tcW w:w="699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numPr/>
              <w:pBdr>
                <w:bottom/>
              </w:pBdr>
              <w:spacing w:beforeLines="100" w:after="50" w:line="360" w:lineRule="auto"/>
              <w:ind w:left="0"/>
              <w:jc w:val="center"/>
              <w:rPr/>
            </w:pPr>
            <w:r>
              <w:rPr>
                <w:rFonts w:hint="eastAsia"/>
              </w:rPr>
              <w:t>2026年8月12日</w:t>
            </w:r>
          </w:p>
        </w:tc>
      </w:tr>
      <w:tr>
        <w:trPr>
          <w:trHeight w:val="910" w:hRule="atLeast"/>
          <w:tblCellSpacing w:w="0" w:type="dxa"/>
        </w:trPr>
        <w:tc>
          <w:tcPr>
            <w:tcW w:w="189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PRD截止时间</w:t>
            </w:r>
          </w:p>
        </w:tc>
        <w:tc>
          <w:tcPr>
            <w:tcW w:w="699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日</w:t>
            </w:r>
          </w:p>
        </w:tc>
      </w:tr>
      <w:tr>
        <w:trPr>
          <w:trHeight w:val="910" w:hRule="atLeast"/>
          <w:tblCellSpacing w:w="0" w:type="dxa"/>
        </w:trPr>
        <w:tc>
          <w:tcPr>
            <w:tcW w:w="189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产品</w:t>
            </w:r>
          </w:p>
        </w:tc>
        <w:tc>
          <w:tcPr>
            <w:tcW w:w="699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hint="eastAsia"/>
              </w:rPr>
              <w:t>周</w:t>
            </w:r>
            <w:r>
              <w:rPr>
                <w:rFonts w:hint="eastAsia"/>
              </w:rPr>
              <w:t>师</w:t>
            </w:r>
            <w:r>
              <w:rPr>
                <w:rFonts w:hint="eastAsia"/>
              </w:rPr>
              <w:t>翔</w:t>
            </w:r>
          </w:p>
        </w:tc>
      </w:tr>
      <w:tr>
        <w:trPr>
          <w:trHeight w:val="910" w:hRule="atLeast"/>
          <w:tblCellSpacing w:w="0" w:type="dxa"/>
        </w:trPr>
        <w:tc>
          <w:tcPr>
            <w:tcW w:w="189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产品版本号</w:t>
            </w:r>
          </w:p>
        </w:tc>
        <w:tc>
          <w:tcPr>
            <w:tcW w:w="699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</w:tc>
      </w:tr>
      <w:tr>
        <w:trPr>
          <w:trHeight w:val="920" w:hRule="atLeast"/>
          <w:tblCellSpacing w:w="0" w:type="dxa"/>
        </w:trPr>
        <w:tc>
          <w:tcPr>
            <w:tcW w:w="189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发版时间</w:t>
            </w:r>
          </w:p>
        </w:tc>
        <w:tc>
          <w:tcPr>
            <w:tcW w:w="699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hint="eastAsia"/>
              </w:rPr>
              <w:t>待定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42"/>
          <w:szCs w:val="28"/>
          <w:lang w:val="en-US" w:eastAsia="en-US" w:bidi="ar-SA"/>
        </w:rPr>
        <w:t>1.  概述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38"/>
          <w:szCs w:val="26"/>
          <w:lang w:val="en-US" w:eastAsia="en-US" w:bidi="ar-SA"/>
        </w:rPr>
        <w:t>1.1.背景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shd w:val="clear" w:fill="FFFFFF"/>
          <w:lang w:val="en-US" w:eastAsia="en-US" w:bidi="ar-SA"/>
        </w:rPr>
        <w:t>作为采购专员，在下采购订单后，会将对应的箱唛进行生成，并发送给工厂。但是目前领星系统内自定义的模板，缺少关键的PO单号，只能人工手动输入。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shd w:val="clear" w:fill="FFFFFF"/>
          <w:lang w:val="en-US" w:eastAsia="en-US" w:bidi="ar-SA"/>
        </w:rPr>
        <w:t>用户希望可以支持按照现在的打印模板，进行箱唛的文件生成，并且里面带有PO单号、SKU、SKU的条形码信息、SKU的图片，以便减少人工输入。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shd w:val="clear" w:fill="FFFFFF"/>
          <w:lang w:val="en-US" w:eastAsia="en-US" w:bidi="ar-SA"/>
        </w:rPr>
        <w:t>为此，在赛恩集成平台-供应链系统中建设「箱唛管理」功能，实现箱唛单据的在线生成、处理、打印与下载。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38"/>
          <w:szCs w:val="26"/>
          <w:lang w:val="en-US" w:eastAsia="en-US" w:bidi="ar-SA"/>
        </w:rPr>
        <w:t>1.2.项目目的及目标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shd w:val="clear" w:fill="FFFFFF"/>
          <w:lang w:val="en-US" w:eastAsia="en-US" w:bidi="ar-SA"/>
        </w:rPr>
        <w:t>项目目的：将箱唛制作从线下 Excel 手工操作迁移至线上系统，采购员上传采购 Excel 即可一键生成标准箱唛，仓库获得版式统一、可扫码的箱唛。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shd w:val="clear" w:fill="FFFFFF"/>
          <w:lang w:val="en-US" w:eastAsia="en-US" w:bidi="ar-SA"/>
        </w:rPr>
        <w:t>项目目标：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shd w:val="clear" w:fill="FFFFFF"/>
          <w:lang w:val="en-US" w:eastAsia="en-US" w:bidi="ar-SA"/>
        </w:rPr>
        <w:t>• 效率目标：缩短箱唛制作时间；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shd w:val="clear" w:fill="FFFFFF"/>
          <w:lang w:val="en-US" w:eastAsia="en-US" w:bidi="ar-SA"/>
        </w:rPr>
        <w:t>• 规范目标：统一箱唛版式（固定字段、Code 128 条形码、产品图片）；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shd w:val="clear" w:fill="FFFFFF"/>
          <w:lang w:val="en-US" w:eastAsia="en-US" w:bidi="ar-SA"/>
        </w:rPr>
        <w:t>• 质量目标：箱唛信息与采购 Excel 严格一致，文件格式与字段列在解析阶段即完成校验，杜绝错版箱唛流入仓库。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38"/>
          <w:szCs w:val="26"/>
          <w:lang w:val="en-US" w:eastAsia="en-US" w:bidi="ar-SA"/>
        </w:rPr>
        <w:t>1.3 名词解释</w:t>
      </w:r>
    </w:p>
    <w:tbl>
      <w:tblPr>
        <w:tblStyle w:val="000019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1306"/>
        <w:gridCol w:w="1276"/>
        <w:gridCol w:w="4481"/>
      </w:tblGrid>
      <w:tr>
        <w:trPr>
          <w:trHeight w:val="1026" w:hRule="atLeast"/>
          <w:tblCellSpacing w:w="0" w:type="dxa"/>
        </w:trPr>
        <w:tc>
          <w:tcPr>
            <w:tcW w:w="14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名词</w:t>
            </w:r>
          </w:p>
        </w:tc>
        <w:tc>
          <w:tcPr>
            <w:tcW w:w="13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英文简称</w:t>
            </w:r>
          </w:p>
        </w:tc>
        <w:tc>
          <w:tcPr>
            <w:tcW w:w="12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英文全称</w:t>
            </w:r>
          </w:p>
        </w:tc>
        <w:tc>
          <w:tcPr>
            <w:tcW w:w="44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解释</w:t>
            </w:r>
          </w:p>
        </w:tc>
      </w:tr>
      <w:tr>
        <w:trPr>
          <w:trHeight w:val="2403" w:hRule="atLeast"/>
          <w:tblCellSpacing w:w="0" w:type="dxa"/>
        </w:trPr>
        <w:tc>
          <w:tcPr>
            <w:tcW w:w="14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color w:val="333333"/>
                <w:sz w:val="24"/>
                <w:szCs w:val="22"/>
                <w:lang w:val="en-US" w:eastAsia="en-US" w:bidi="ar-SA"/>
              </w:rPr>
              <w:t>箱唛</w:t>
            </w:r>
          </w:p>
        </w:tc>
        <w:tc>
          <w:tcPr>
            <w:tcW w:w="13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12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Shipping Mark / Carton Mark</w:t>
            </w:r>
          </w:p>
        </w:tc>
        <w:tc>
          <w:tcPr>
            <w:tcW w:w="44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粘贴在运输外箱上的标识，包含采购单号、SKU、箱号、装箱数量、条形码及产品图片等信息，用于仓储收货与核对。</w:t>
            </w:r>
          </w:p>
        </w:tc>
      </w:tr>
      <w:tr>
        <w:trPr>
          <w:trHeight w:val="1937" w:hRule="atLeast"/>
          <w:tblCellSpacing w:w="0" w:type="dxa"/>
        </w:trPr>
        <w:tc>
          <w:tcPr>
            <w:tcW w:w="14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color w:val="333333"/>
                <w:sz w:val="24"/>
                <w:szCs w:val="22"/>
                <w:lang w:val="en-US" w:eastAsia="en-US" w:bidi="ar-SA"/>
              </w:rPr>
              <w:t>SKU</w:t>
            </w:r>
          </w:p>
        </w:tc>
        <w:tc>
          <w:tcPr>
            <w:tcW w:w="13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SKU</w:t>
            </w:r>
          </w:p>
        </w:tc>
        <w:tc>
          <w:tcPr>
            <w:tcW w:w="12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Stock Keeping Unit</w:t>
            </w:r>
          </w:p>
        </w:tc>
        <w:tc>
          <w:tcPr>
            <w:tcW w:w="44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最小库存单位；本功能中作为箱唛条形码的编码内容，并与采购订单号组合作为明细唯一性判断依据。</w:t>
            </w:r>
          </w:p>
        </w:tc>
      </w:tr>
      <w:tr>
        <w:trPr>
          <w:trHeight w:val="1937" w:hRule="atLeast"/>
          <w:tblCellSpacing w:w="0" w:type="dxa"/>
        </w:trPr>
        <w:tc>
          <w:tcPr>
            <w:tcW w:w="14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color w:val="333333"/>
                <w:sz w:val="24"/>
                <w:szCs w:val="22"/>
                <w:lang w:val="en-US" w:eastAsia="en-US" w:bidi="ar-SA"/>
              </w:rPr>
              <w:t>采购订单号</w:t>
            </w:r>
          </w:p>
        </w:tc>
        <w:tc>
          <w:tcPr>
            <w:tcW w:w="13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PO</w:t>
            </w:r>
          </w:p>
        </w:tc>
        <w:tc>
          <w:tcPr>
            <w:tcW w:w="12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Purchase Order Number</w:t>
            </w:r>
          </w:p>
        </w:tc>
        <w:tc>
          <w:tcPr>
            <w:tcW w:w="44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采购业务单号，箱唛文件解析的必备字段列，缺失该列时提示「解析失败，请检查模板」、不生成单据。</w:t>
            </w:r>
          </w:p>
        </w:tc>
      </w:tr>
      <w:tr>
        <w:trPr>
          <w:trHeight w:val="1937" w:hRule="atLeast"/>
          <w:tblCellSpacing w:w="0" w:type="dxa"/>
        </w:trPr>
        <w:tc>
          <w:tcPr>
            <w:tcW w:w="14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color w:val="333333"/>
                <w:sz w:val="24"/>
                <w:szCs w:val="22"/>
                <w:lang w:val="en-US" w:eastAsia="en-US" w:bidi="ar-SA"/>
              </w:rPr>
              <w:t>单据编号</w:t>
            </w:r>
          </w:p>
        </w:tc>
        <w:tc>
          <w:tcPr>
            <w:tcW w:w="13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12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44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系统生成的箱唛单据唯一编号，规则为 XM+年月日+4 位随机数（如 XM202608111234），生成时自动查重。</w:t>
            </w:r>
          </w:p>
        </w:tc>
      </w:tr>
      <w:tr>
        <w:trPr>
          <w:trHeight w:val="1937" w:hRule="atLeast"/>
          <w:tblCellSpacing w:w="0" w:type="dxa"/>
        </w:trPr>
        <w:tc>
          <w:tcPr>
            <w:tcW w:w="14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color w:val="333333"/>
                <w:sz w:val="24"/>
                <w:szCs w:val="22"/>
                <w:lang w:val="en-US" w:eastAsia="en-US" w:bidi="ar-SA"/>
              </w:rPr>
              <w:t>Code 128</w:t>
            </w:r>
          </w:p>
        </w:tc>
        <w:tc>
          <w:tcPr>
            <w:tcW w:w="13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12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Code 128 Barcode</w:t>
            </w:r>
          </w:p>
        </w:tc>
        <w:tc>
          <w:tcPr>
            <w:tcW w:w="44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一维条形码编码规范，本功能用于将 SKU 编码为可扫描条形码；SKU 含无法编码字符时该明细置为「已失败」。</w:t>
            </w:r>
          </w:p>
        </w:tc>
      </w:tr>
      <w:tr>
        <w:trPr>
          <w:trHeight w:val="1472" w:hRule="atLeast"/>
          <w:tblCellSpacing w:w="0" w:type="dxa"/>
        </w:trPr>
        <w:tc>
          <w:tcPr>
            <w:tcW w:w="14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color w:val="333333"/>
                <w:sz w:val="24"/>
                <w:szCs w:val="22"/>
                <w:lang w:val="en-US" w:eastAsia="en-US" w:bidi="ar-SA"/>
              </w:rPr>
              <w:t>箱号</w:t>
            </w:r>
          </w:p>
        </w:tc>
        <w:tc>
          <w:tcPr>
            <w:tcW w:w="13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12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Carton No.</w:t>
            </w:r>
          </w:p>
        </w:tc>
        <w:tc>
          <w:tcPr>
            <w:tcW w:w="44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同一采购单内外箱的序号，为箱唛模板预留字段，由工厂线下手动填写。</w:t>
            </w:r>
          </w:p>
        </w:tc>
      </w:tr>
      <w:tr>
        <w:trPr>
          <w:trHeight w:val="2403" w:hRule="atLeast"/>
          <w:tblCellSpacing w:w="0" w:type="dxa"/>
        </w:trPr>
        <w:tc>
          <w:tcPr>
            <w:tcW w:w="14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color w:val="333333"/>
                <w:sz w:val="24"/>
                <w:szCs w:val="22"/>
                <w:lang w:val="en-US" w:eastAsia="en-US" w:bidi="ar-SA"/>
              </w:rPr>
              <w:t>明细状态</w:t>
            </w:r>
          </w:p>
        </w:tc>
        <w:tc>
          <w:tcPr>
            <w:tcW w:w="13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12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44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箱唛明细的处理状态，取值：生成中（单据创建后等待系统生成条形码）、已生成（条形码生成成功）、已失败（生成失败，展示失败原因）。</w:t>
            </w:r>
          </w:p>
        </w:tc>
      </w:tr>
      <w:tr>
        <w:trPr>
          <w:trHeight w:val="2423" w:hRule="atLeast"/>
          <w:tblCellSpacing w:w="0" w:type="dxa"/>
        </w:trPr>
        <w:tc>
          <w:tcPr>
            <w:tcW w:w="14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color w:val="333333"/>
                <w:sz w:val="24"/>
                <w:szCs w:val="22"/>
                <w:lang w:val="en-US" w:eastAsia="en-US" w:bidi="ar-SA"/>
              </w:rPr>
              <w:t>单据状态</w:t>
            </w:r>
          </w:p>
        </w:tc>
        <w:tc>
          <w:tcPr>
            <w:tcW w:w="13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12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—</w:t>
            </w:r>
          </w:p>
        </w:tc>
        <w:tc>
          <w:tcPr>
            <w:tcW w:w="448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rPr/>
            </w:pPr>
            <w:r>
              <w:rPr>
                <w:rFonts w:ascii="宋体" w:hAnsi="Times New Roman" w:eastAsia="宋体" w:cs="宋体"/>
                <w:b/>
                <w:sz w:val="24"/>
                <w:szCs w:val="22"/>
                <w:lang w:val="en-US" w:eastAsia="en-US" w:bidi="ar-SA"/>
              </w:rPr>
              <w:t>箱唛单据的整体状态，取值：处理中（单据已生成，系统后台逐条生成箱唛中）、已处理（全部明细处理完成，记录处理完成时间）。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42"/>
          <w:szCs w:val="28"/>
          <w:lang w:val="en-US" w:eastAsia="en-US" w:bidi="ar-SA"/>
        </w:rPr>
        <w:t>2. 产品定位及竞品分析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8"/>
          <w:szCs w:val="26"/>
          <w:lang w:val="en-US" w:eastAsia="en-US" w:bidi="ar-SA"/>
        </w:rPr>
        <w:t>2.1.产品定位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「箱唛管理」是赛恩集成平台-供应链系统下的内部业务功能，面向采购员，将采购 Excel 一键转换为版式统一、可扫码的箱唛，为仓库收货提供标准化的箱唛打印与下载能力。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目标用户：采购部采购员（制作箱唛）、仓库收货员（使用箱唛收货核对）；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核心价值：以「上传 → 解析 → 生成 → 打印/下载」的线上闭环替代线下 Excel 手工拼版；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产品形态：供应链系统内的 Web 页面（单据列表 + 单据详情），无独立客户端。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8"/>
          <w:szCs w:val="26"/>
          <w:lang w:val="en-US" w:eastAsia="en-US" w:bidi="ar-SA"/>
        </w:rPr>
        <w:t>2.2.竞品分析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箱唛管理为公司内部业务工具，无直接竞品。本功能以「贴合公司采购 Excel 格式、一键生成、版式统一」为设计出发点，不做横向竞品对标。</w: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42"/>
          <w:szCs w:val="28"/>
          <w:lang w:val="en-US" w:eastAsia="en-US" w:bidi="ar-SA"/>
        </w:rPr>
        <w:t>3. 产品架构或者产品构想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8"/>
          <w:szCs w:val="26"/>
          <w:lang w:val="en-US" w:eastAsia="en-US" w:bidi="ar-SA"/>
        </w:rPr>
        <w:t>3.1.产品架构/产品构想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功能在信息架构中的位置：赛恩集成平台 → 供应链系统 → 箱唛管理。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箱唛管理由 5 个功能模块构成：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SR01_F01 箱唛文件上传与解析：上传采购 Excel，系统解析并生成箱唛单据；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SR01_F02 箱唛单据列表：单据的查询、筛选与上传入口；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SR01_F03 单据处理与状态流转：提交处理后逐条生成 SKU 条形码，驱动单据与明细状态流转；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SR01_F04 箱唛明细管理：单据详情页展示明细行（采购单号、SKU、品名、图片、状态、失败原因）；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SR01_F05 箱唛预览、打印与下载：箱唛版式预览、打印与 Excel 下载。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8"/>
          <w:szCs w:val="26"/>
          <w:lang w:val="en-US" w:eastAsia="en-US" w:bidi="ar-SA"/>
        </w:rPr>
        <w:t>3.2.产品实现路径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V1.0（本期）：箱唛文件上传与解析、箱唛单据列表、提交处理与状态流转、箱唛明细管理、箱唛预览/打印/下载；</w: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42"/>
          <w:szCs w:val="28"/>
          <w:lang w:val="en-US" w:eastAsia="en-US" w:bidi="ar-SA"/>
        </w:rPr>
        <w:t>4. 产品功能列表</w:t>
      </w:r>
    </w:p>
    <w:tbl>
      <w:tblPr>
        <w:tblStyle w:val="000019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1396"/>
        <w:gridCol w:w="3657"/>
        <w:gridCol w:w="1750"/>
        <w:gridCol w:w="1277"/>
      </w:tblGrid>
      <w:tr>
        <w:trPr>
          <w:trHeight w:val="495" w:hRule="atLeast"/>
          <w:tblCellSpacing w:w="0" w:type="dxa"/>
        </w:trPr>
        <w:tc>
          <w:tcPr>
            <w:tcW w:w="94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139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系统功能名称</w:t>
            </w:r>
          </w:p>
        </w:tc>
        <w:tc>
          <w:tcPr>
            <w:tcW w:w="36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 xml:space="preserve">简述 </w:t>
            </w:r>
          </w:p>
        </w:tc>
        <w:tc>
          <w:tcPr>
            <w:tcW w:w="17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菜单路径</w:t>
            </w:r>
          </w:p>
        </w:tc>
        <w:tc>
          <w:tcPr>
            <w:tcW w:w="12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both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优先级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94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SR01_F01</w:t>
            </w:r>
          </w:p>
        </w:tc>
        <w:tc>
          <w:tcPr>
            <w:tcW w:w="139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箱唛文件上传与解析</w:t>
            </w:r>
          </w:p>
        </w:tc>
        <w:tc>
          <w:tcPr>
            <w:tcW w:w="36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采购员上传采购 Excel，系统定位表头并逐行解析（图片支持嵌入图片），按「采购订单号+SKU」去重，确认后生成箱唛单据。</w:t>
            </w:r>
          </w:p>
        </w:tc>
        <w:tc>
          <w:tcPr>
            <w:tcW w:w="17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赛恩集成平台→供应链系统→箱唛管理</w:t>
            </w:r>
          </w:p>
        </w:tc>
        <w:tc>
          <w:tcPr>
            <w:tcW w:w="12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高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94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SR01_F02</w:t>
            </w:r>
          </w:p>
        </w:tc>
        <w:tc>
          <w:tcPr>
            <w:tcW w:w="139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箱唛单据列表</w:t>
            </w:r>
          </w:p>
        </w:tc>
        <w:tc>
          <w:tcPr>
            <w:tcW w:w="36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按状态页签（全部、处理中、已处理）分页展示单据，支持按单据编号、单据名称、单据状态组合查询；提供上传文件入口与详情查看入口。</w:t>
            </w:r>
          </w:p>
        </w:tc>
        <w:tc>
          <w:tcPr>
            <w:tcW w:w="17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赛恩集成平台→供应链系统→箱唛管理</w:t>
            </w:r>
          </w:p>
        </w:tc>
        <w:tc>
          <w:tcPr>
            <w:tcW w:w="12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高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94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SR01_F03</w:t>
            </w:r>
          </w:p>
        </w:tc>
        <w:tc>
          <w:tcPr>
            <w:tcW w:w="139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单据处理与状态流转</w:t>
            </w:r>
          </w:p>
        </w:tc>
        <w:tc>
          <w:tcPr>
            <w:tcW w:w="36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提交处理后逐条将 SKU 编码为 Code 128 条形码：成功置「已生成」，失败置「已失败」并记录失败原因；全部明细处理完成后单据置「已处理」并记录处理完成时间。</w:t>
            </w:r>
          </w:p>
        </w:tc>
        <w:tc>
          <w:tcPr>
            <w:tcW w:w="17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赛恩集成平台→供应链系统→箱唛管理</w:t>
            </w:r>
          </w:p>
        </w:tc>
        <w:tc>
          <w:tcPr>
            <w:tcW w:w="12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高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94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SR01_F04</w:t>
            </w:r>
          </w:p>
        </w:tc>
        <w:tc>
          <w:tcPr>
            <w:tcW w:w="139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箱唛明细管理</w:t>
            </w:r>
          </w:p>
        </w:tc>
        <w:tc>
          <w:tcPr>
            <w:tcW w:w="36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单据详情页展示单据信息与明细行（采购单号、SKU、品名、图片、状态、失败原因），按单据与明细状态控制预览、打印、下载操作的可用性。</w:t>
            </w:r>
          </w:p>
        </w:tc>
        <w:tc>
          <w:tcPr>
            <w:tcW w:w="17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赛恩集成平台→供应链系统→箱唛管理</w:t>
            </w:r>
          </w:p>
        </w:tc>
        <w:tc>
          <w:tcPr>
            <w:tcW w:w="12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高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94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SR01_F05</w:t>
            </w:r>
          </w:p>
        </w:tc>
        <w:tc>
          <w:tcPr>
            <w:tcW w:w="139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箱唛预览、打印与下载</w:t>
            </w:r>
          </w:p>
        </w:tc>
        <w:tc>
          <w:tcPr>
            <w:tcW w:w="36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按统一版式渲染箱唛（采购单号、箱号、SKU、装箱数量、箱规、毛重、Code 128 条形码、产品图片），支持预览、打印与 Excel 下载；仅「已处理」单据中的「已生成」明细可用。</w:t>
            </w:r>
          </w:p>
        </w:tc>
        <w:tc>
          <w:tcPr>
            <w:tcW w:w="1750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赛恩集成平台→供应链系统→箱唛管理</w:t>
            </w:r>
          </w:p>
        </w:tc>
        <w:tc>
          <w:tcPr>
            <w:tcW w:w="127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sz w:val="24"/>
                <w:szCs w:val="22"/>
                <w:lang w:val="en-US" w:eastAsia="en-US" w:bidi="ar-SA"/>
              </w:rPr>
              <w:t>中</w:t>
            </w:r>
          </w:p>
        </w:tc>
      </w:tr>
    </w:tbl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8"/>
          <w:szCs w:val="26"/>
          <w:lang w:val="en-US" w:eastAsia="en-US" w:bidi="ar-SA"/>
        </w:rPr>
        <w:t>4.1.SR01_F01:箱唛文件上传与解析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l功能简述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采购员在箱唛管理列表页上传采购 Excel（.xlsx/.xls），系统自动定位表头并解析采购订单号、SKU、品名与产品图片，按「采购订单号+SKU」去重；采购员确认解析结果后一键生成箱唛单据（状态：处理中），系统随即后台逐条生成箱唛条形码，处理完成后单据自动流转为「已处理」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要点：① 图片解析支持嵌入图片（DISPIMG）；② 必填列为采购订单号、SKU，品名非必填；③ 重复行自动去重；④ 单据编号自动生成，规则为 XM+年月日+4 位随机数并查重。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l业务场景说明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1. 用户角色：采购员（制单）。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2. 具体场景：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 xml:space="preserve"> • 起始条件：采购员已与供应商确认采购明细，持有采购 Excel（含采购订单号、SKU、品名、产品图片四列）。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 xml:space="preserve"> • 触发事件：采购员需要为该采购单制作箱唛，供发货方打印张贴、仓库收货核对。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 xml:space="preserve"> • 用户行为：进入供应链系统-箱唛管理列表页，点击「上传文件」选择 Excel；系统解析后在弹窗内展示解析结果（含图片预览），采购员核对无误后点击「提交」。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 xml:space="preserve"> • 最终结果：生成一张状态为「处理中」的箱唛单据并显示在单据列表中，可进入详情查看明细。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 xml:space="preserve"> 3. 异常处理：文件非 .xlsx/.xls 格式时提示「仅支持 .xlsx / .xls 格式的 Excel 文件」；模板不一致时提示「解析失败，请检查模板」；上传时仅校验文件格式与字段列，不校验数据行内容是否缺失。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l业务/系统流程图</w:t>
      </w:r>
    </w:p>
    <w:p>
      <w:pPr>
        <w:spacing w:beforeLines="100" w:after="50" w:line="360" w:lineRule="auto"/>
        <w:ind w:left="0"/>
        <w:jc w:val="center"/>
        <w:rPr/>
      </w:pPr>
      <w:r>
        <w:rPr/>
        <w:drawing>
          <wp:inline distT="0" distB="0" distL="0" distR="0">
            <wp:extent cx="5715000" cy="3009900"/>
            <wp:effectExtent l="0" t="0" r="0" b="0"/>
            <wp:docPr id="2" name="Picture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Picture 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center"/>
        <w:rPr/>
      </w:pPr>
      <w:r>
        <w:rPr>
          <w:rFonts w:ascii="宋体" w:hAnsi="Times New Roman" w:eastAsia="宋体" w:cs="宋体"/>
          <w:i w:val="false"/>
          <w:color w:val="595959"/>
          <w:sz w:val="24"/>
          <w:szCs w:val="22"/>
          <w:lang w:val="en-US" w:eastAsia="en-US" w:bidi="ar-SA"/>
        </w:rPr>
        <w:t>图 4-1 箱唛单据处理流程（上传解析 → 提交处理 → 明细产出）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l页面交互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1. 上传入口：箱唛管理列表页右上角「上传文件」按钮，点击弹出上传弹窗，点击选择 .xlsx/.xls 文件。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2. 解析结果：选择文件后系统立即解析，弹窗内展示解析结果列表（列：图片、采购订单号、SKU、品名），按「采购订单号+SKU」去重；解析仅校验文件格式与字段列，不校验数据行内容。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3. 确认生成：点击「提交」，系统生成单据编号（XM+年月日+4 位随机数）、记录创建人与创建时间，弹窗关闭，列表刷新且新单据置顶，状态为「处理中」。</w:t>
      </w:r>
    </w:p>
    <w:p>
      <w:pPr>
        <w:spacing w:beforeLines="100" w:after="50" w:line="360" w:lineRule="auto"/>
        <w:ind w:left="0"/>
        <w:jc w:val="center"/>
        <w:rPr/>
      </w:pPr>
      <w:r>
        <w:rPr/>
        <w:drawing>
          <wp:inline distT="0" distB="0" distL="0" distR="0">
            <wp:extent cx="5715000" cy="6079490"/>
            <wp:effectExtent l="0" t="0" r="0" b="16510"/>
            <wp:docPr id="5" name="Picture 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Picture 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7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center"/>
        <w:rPr/>
      </w:pPr>
      <w:r>
        <w:rPr>
          <w:rFonts w:ascii="宋体" w:hAnsi="Times New Roman" w:eastAsia="宋体" w:cs="宋体"/>
          <w:i w:val="false"/>
          <w:color w:val="595959"/>
          <w:sz w:val="24"/>
          <w:szCs w:val="22"/>
          <w:lang w:val="en-US" w:eastAsia="en-US" w:bidi="ar-SA"/>
        </w:rPr>
        <w:t>图 4-2 上传箱唛文件弹窗与解析结果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l处理逻辑或规则</w:t>
      </w:r>
    </w:p>
    <w:tbl>
      <w:tblPr>
        <w:tblStyle w:val="000019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7"/>
        <w:gridCol w:w="768"/>
        <w:gridCol w:w="1894"/>
        <w:gridCol w:w="4026"/>
        <w:gridCol w:w="1482"/>
      </w:tblGrid>
      <w:tr>
        <w:trPr>
          <w:trHeight w:val="495" w:hRule="atLeast"/>
          <w:tblCellSpacing w:w="0" w:type="dxa"/>
        </w:trPr>
        <w:tc>
          <w:tcPr>
            <w:tcW w:w="9027" w:type="dxa"/>
            <w:gridSpan w:val="5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B3B3B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正常流程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8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步骤</w:t>
            </w:r>
          </w:p>
        </w:tc>
        <w:tc>
          <w:tcPr>
            <w:tcW w:w="7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333333"/>
                <w:sz w:val="24"/>
                <w:szCs w:val="22"/>
                <w:lang w:val="en-US" w:eastAsia="en-US" w:bidi="ar-SA"/>
              </w:rPr>
              <w:t>页面</w:t>
            </w:r>
          </w:p>
        </w:tc>
        <w:tc>
          <w:tcPr>
            <w:tcW w:w="18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333333"/>
                <w:sz w:val="24"/>
                <w:szCs w:val="22"/>
                <w:lang w:val="en-US" w:eastAsia="en-US" w:bidi="ar-SA"/>
              </w:rPr>
              <w:t>场景描述</w:t>
            </w:r>
          </w:p>
        </w:tc>
        <w:tc>
          <w:tcPr>
            <w:tcW w:w="40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333333"/>
                <w:sz w:val="24"/>
                <w:szCs w:val="22"/>
                <w:lang w:val="en-US" w:eastAsia="en-US" w:bidi="ar-SA"/>
              </w:rPr>
              <w:t>处理逻辑和规则</w:t>
            </w:r>
          </w:p>
        </w:tc>
        <w:tc>
          <w:tcPr>
            <w:tcW w:w="14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333333"/>
                <w:sz w:val="24"/>
                <w:szCs w:val="22"/>
                <w:lang w:val="en-US" w:eastAsia="en-US" w:bidi="ar-SA"/>
              </w:rPr>
              <w:t>备注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8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1</w:t>
            </w:r>
          </w:p>
        </w:tc>
        <w:tc>
          <w:tcPr>
            <w:tcW w:w="7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箱唛管理-列表页</w:t>
            </w:r>
          </w:p>
        </w:tc>
        <w:tc>
          <w:tcPr>
            <w:tcW w:w="18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采购员点击「上传文件」，在弹窗中选择本地采购 Excel。</w:t>
            </w:r>
          </w:p>
        </w:tc>
        <w:tc>
          <w:tcPr>
            <w:tcW w:w="40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仅接受 .xlsx/.xls 格式文件；其他格式提示「仅支持 .xlsx / .xls 格式的 Excel 文件」，不进入解析。</w:t>
            </w:r>
          </w:p>
        </w:tc>
        <w:tc>
          <w:tcPr>
            <w:tcW w:w="14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—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8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7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上传箱唛文件-弹窗</w:t>
            </w:r>
          </w:p>
        </w:tc>
        <w:tc>
          <w:tcPr>
            <w:tcW w:w="18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系统解析 Excel，弹窗内展示解析结果列表。</w:t>
            </w:r>
          </w:p>
        </w:tc>
        <w:tc>
          <w:tcPr>
            <w:tcW w:w="40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自动定位表头行，识别列：采购订单号、SKU、品名、图片；逐行读取明细；图片支持嵌入图片（DISPIMG）；按「采购订单号+SKU」去重；不校验数据行内容是否缺失。</w:t>
            </w:r>
          </w:p>
        </w:tc>
        <w:tc>
          <w:tcPr>
            <w:tcW w:w="14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品名非必填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8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3</w:t>
            </w:r>
          </w:p>
        </w:tc>
        <w:tc>
          <w:tcPr>
            <w:tcW w:w="7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上传箱唛文件-弹窗</w:t>
            </w:r>
          </w:p>
        </w:tc>
        <w:tc>
          <w:tcPr>
            <w:tcW w:w="18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采购员核对解析结果，点击「提交」。</w:t>
            </w:r>
          </w:p>
        </w:tc>
        <w:tc>
          <w:tcPr>
            <w:tcW w:w="40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生成单据编号（XM+年月日+4 位随机数，生成时查重）；记录创建人、创建时间；单据状态=处理中。</w:t>
            </w:r>
          </w:p>
        </w:tc>
        <w:tc>
          <w:tcPr>
            <w:tcW w:w="14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—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8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4</w:t>
            </w:r>
          </w:p>
        </w:tc>
        <w:tc>
          <w:tcPr>
            <w:tcW w:w="7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箱唛管理-列表页</w:t>
            </w:r>
          </w:p>
        </w:tc>
        <w:tc>
          <w:tcPr>
            <w:tcW w:w="18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弹窗关闭，列表刷新。</w:t>
            </w:r>
          </w:p>
        </w:tc>
        <w:tc>
          <w:tcPr>
            <w:tcW w:w="40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新单据置于列表首位，状态页签计数更新；可点击单据编号进入详情查看明细。</w:t>
            </w:r>
          </w:p>
        </w:tc>
        <w:tc>
          <w:tcPr>
            <w:tcW w:w="14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—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9027" w:type="dxa"/>
            <w:gridSpan w:val="5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B3B3B3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异常流程1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9027" w:type="dxa"/>
            <w:gridSpan w:val="5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异常产生前提条件：上传的文件格式不符、</w:t>
            </w:r>
            <w:r>
              <w:rPr>
                <w:rFonts w:hint="eastAsia"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zh-CN" w:bidi="ar-SA"/>
              </w:rPr>
              <w:t>模板不符</w:t>
            </w: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，或部分明细行缺少采购订单号/SKU。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8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步骤</w:t>
            </w:r>
          </w:p>
        </w:tc>
        <w:tc>
          <w:tcPr>
            <w:tcW w:w="7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333333"/>
                <w:sz w:val="24"/>
                <w:szCs w:val="22"/>
                <w:lang w:val="en-US" w:eastAsia="en-US" w:bidi="ar-SA"/>
              </w:rPr>
              <w:t>页面</w:t>
            </w:r>
          </w:p>
        </w:tc>
        <w:tc>
          <w:tcPr>
            <w:tcW w:w="18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333333"/>
                <w:sz w:val="24"/>
                <w:szCs w:val="22"/>
                <w:lang w:val="en-US" w:eastAsia="en-US" w:bidi="ar-SA"/>
              </w:rPr>
              <w:t>场景描述</w:t>
            </w:r>
          </w:p>
        </w:tc>
        <w:tc>
          <w:tcPr>
            <w:tcW w:w="40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333333"/>
                <w:sz w:val="24"/>
                <w:szCs w:val="22"/>
                <w:lang w:val="en-US" w:eastAsia="en-US" w:bidi="ar-SA"/>
              </w:rPr>
              <w:t>处理逻辑和规则</w:t>
            </w:r>
          </w:p>
        </w:tc>
        <w:tc>
          <w:tcPr>
            <w:tcW w:w="14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6E6E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333333"/>
                <w:sz w:val="24"/>
                <w:szCs w:val="22"/>
                <w:lang w:val="en-US" w:eastAsia="en-US" w:bidi="ar-SA"/>
              </w:rPr>
              <w:t>备注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8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1</w:t>
            </w:r>
          </w:p>
        </w:tc>
        <w:tc>
          <w:tcPr>
            <w:tcW w:w="7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上传箱唛文件-弹窗</w:t>
            </w:r>
          </w:p>
        </w:tc>
        <w:tc>
          <w:tcPr>
            <w:tcW w:w="18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采购员选择的文件格式不符，或文件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zh-CN" w:bidi="ar-SA"/>
              </w:rPr>
              <w:t>模板不符</w:t>
            </w:r>
            <w:bookmarkStart w:id="11" w:name="_GoBack"/>
            <w:bookmarkEnd w:id="11"/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。</w:t>
            </w:r>
          </w:p>
        </w:tc>
        <w:tc>
          <w:tcPr>
            <w:tcW w:w="40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格式不符：提示「仅支持 .xlsx / .xls 格式的 Excel 文件」；模板不一致时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（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缺少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采购订单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、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S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K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U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、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图片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列</w:t>
            </w:r>
            <w:r>
              <w:rPr>
                <w:rFonts w:hint="eastAsia"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）</w:t>
            </w: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：提示「解析失败，请检查模板」；均不生成单据。</w:t>
            </w:r>
          </w:p>
        </w:tc>
        <w:tc>
          <w:tcPr>
            <w:tcW w:w="14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—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85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76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上传箱唛文件-弹窗</w:t>
            </w:r>
          </w:p>
        </w:tc>
        <w:tc>
          <w:tcPr>
            <w:tcW w:w="189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部分明细行的采购订单号或 SKU 为空。</w:t>
            </w:r>
          </w:p>
        </w:tc>
        <w:tc>
          <w:tcPr>
            <w:tcW w:w="402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解析阶段不校验数据行内容，缺失行正常进入单据；处理阶段发现采购订单号为空时置为「已失败」，失败原因=「采购订单号为空」；SKU 为空时置为「已失败」，失败原因=「SKU为空」；SKU 非空但含不可编码字符导致生成失败时置为「已失败」，失败原因=「SKU条码未生成」；若多项同时异常，合并展示失败原因；失败明细不生成箱唛。</w:t>
            </w:r>
          </w:p>
        </w:tc>
        <w:tc>
          <w:tcPr>
            <w:tcW w:w="148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—</w:t>
            </w:r>
          </w:p>
        </w:tc>
      </w:tr>
    </w:tbl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8"/>
          <w:szCs w:val="22"/>
          <w:lang w:val="en-US" w:eastAsia="en-US" w:bidi="ar-SA"/>
        </w:rPr>
        <w:t>4.2.SR01_F02:箱唛单据列表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l功能简述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箱唛单据的集中管理入口。列表按状态页签（全部、处理中、已处理）展示单据，支持组合查询，每行展示单据编号、单据名称、单据状态、处理结果、创建人、创建时间，并提供「上传文件」「查看」入口。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l页面交互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状态页签：全部 / 处理中 / 已处理，页签上展示对应状态的单据数量。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组合查询：支持按单据编号、单据名称、单据状态（下拉选择）组合筛选；「单据状态」筛选项仅在「全部」页签下可用。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列表字段：单据编号、单据名称、单据状态、处理结果、创建人、创建时间。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字段定义与规则——单据编号：系统自动生成，规则为「XM+年月日+4 位随机数」，全局唯一，生成后不可修改；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单据名称：默认取上传的 Excel 文件名；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单据状态：取值「处理中」（单据已生成，系统后台逐条生成箱唛中）、「已处理」（全部明细处理完成，记录处理完成时间）；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处理结果：展示「已处理明细 X｜成功 Y｜失败 Z」，其中 X=已生成+已失败明细数，Y=已生成明细数，Z=已失败明细数，处理过程中实时统计；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创建人：取当前登录用户姓名；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创建时间：取单据生成时间，格式 YYYY-MM-DD HH:mm，精确到分钟。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操作：「上传文件」为页面右上角主按钮；点击单据编号或行内「查看」进入单据详情页。</w:t>
      </w:r>
    </w:p>
    <w:p>
      <w:pPr>
        <w:spacing w:beforeLines="100" w:after="50" w:line="360" w:lineRule="auto"/>
        <w:ind w:left="0"/>
        <w:jc w:val="center"/>
        <w:rPr/>
      </w:pPr>
      <w:r>
        <w:rPr/>
        <w:drawing>
          <wp:inline distT="0" distB="0" distL="0" distR="0">
            <wp:extent cx="5715000" cy="3143250"/>
            <wp:effectExtent l="0" t="0" r="0" b="0"/>
            <wp:docPr id="8" name="Picture 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Picture 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center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图 4-3 箱唛单据列表页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l处理逻辑或规则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默认按创建时间倒序排列，新生成的单据置顶。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分页：每页 10 条，可切换 10/20/50 条；查询条件变更即时刷新列表与页签计数。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8"/>
          <w:szCs w:val="22"/>
          <w:lang w:val="en-US" w:eastAsia="en-US" w:bidi="ar-SA"/>
        </w:rPr>
        <w:t>4.3.SR01_F03:单据处理与状态流转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l功能简述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箱唛单据确认生成后，弹窗关闭，单据状态为「处理中」，系统后台自动逐条将明细 SKU 编码为 Code 128 条形码，驱动明细状态与单据状态流转。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l页面交互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上传 Excel 并点击「提交」后弹窗关闭，列表刷新且新单据置顶、状态为「处理中」；系统后台自动处理，无需人工二次操作，处理完成后提示「处理完成」并刷新列表。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l处理逻辑或规则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逐条处理：仅采购订单号非空且 SKU 可编码为 Code 128 条形码时，明细置「已生成」；采购订单号为空 → 明细置「已失败」，失败原因=「采购订单号为空」；SKU 为空 → 明细置「已失败」，失败原因=「SKU为空」；SKU 非空但含不可编码字符导致生成失败 → 明细置「已失败」，失败原因=「SKU条码未生成」；多项同时异常时合并展示失败原因；失败明细不生成箱唛。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全部明细处理完成后：单据状态由「处理中」流转为「已处理」，并记录处理完成时间。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状态流转不可逆：单据 处理中 → 已处理；明细 生成中 → 已生成/已失败。</w:t>
      </w:r>
    </w:p>
    <w:p>
      <w:pPr>
        <w:spacing w:beforeLines="100" w:after="50" w:line="360" w:lineRule="auto"/>
        <w:ind w:left="0"/>
        <w:jc w:val="center"/>
        <w:rPr/>
      </w:pPr>
      <w:r>
        <w:rPr/>
        <w:drawing>
          <wp:inline distT="0" distB="0" distL="0" distR="0">
            <wp:extent cx="5715000" cy="2857500"/>
            <wp:effectExtent l="0" t="0" r="0" b="0"/>
            <wp:docPr id="11" name="Picture 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Picture 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center"/>
        <w:rPr/>
      </w:pPr>
      <w:r>
        <w:rPr>
          <w:rFonts w:ascii="宋体" w:hAnsi="Times New Roman" w:eastAsia="宋体" w:cs="宋体"/>
          <w:b/>
          <w:color w:val="1A1A1A"/>
          <w:sz w:val="38"/>
          <w:szCs w:val="22"/>
          <w:lang w:val="en-US" w:eastAsia="en-US" w:bidi="ar-SA"/>
        </w:rPr>
        <w:t>图 4-4 箱唛单据与明细状态机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48"/>
          <w:szCs w:val="22"/>
          <w:lang w:val="en-US" w:eastAsia="en-US" w:bidi="ar-SA"/>
        </w:rPr>
        <w:t>4.4.SR01_F04:箱唛明细管理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l功能简述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单据详情页展示单据信息与全部箱唛明细，明细行包含采购单号、SKU、品名、产品图片、状态与失败原因，并按状态提供预览、打印、下载入口。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l页面交互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详情入口：点击列表中的单据编号进入详情页，页面底部提供「返回列表」按钮。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步骤条：详情页顶部展示单据处理进度（创建 → 处理 → 完成），当前节点高亮显示；各节点仅展示节点名称，不展示创建人、处理方、时间等附加信息。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单据信息区：展示单据编号、单据名称、单据状态、创建人、创建时间、处理完成时间、箱唛总数与生成结果（已生成/已失败条数）。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明细查询：支持按 PO 单号搜索、按明细状态（全部/已生成/已失败）筛选；明细分页每页 10 条，可切换 10/20/50 条。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明细字段：采购单号、SKU、品名、图片（缩略图）、状态（生成中/已生成/已失败）、失败原因。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行内操作：预览、下载；仅「已处理」单据中的「已生成」明细可用，其余置灰；「打印」入口在预览弹窗内（「打印箱唛」按钮）。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图片悬浮预览：鼠标移入明细图片缩略图时悬浮展示大图，移出自动隐藏。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批量下载：勾选「已生成」明细后点击「批量下载」，系统将勾选的箱唛按同一箱唛标签模板生成 Excel 文件并自动打包为压缩包下载，压缩包文件名：箱唛-年月日.zip，包内 Excel 文件名：PO 单号_SKU.xlsx；仅「已处理」单据可勾选与批量下载。</w:t>
      </w:r>
    </w:p>
    <w:p>
      <w:pPr>
        <w:spacing w:beforeLines="100" w:after="50" w:line="360" w:lineRule="auto"/>
        <w:ind w:left="0"/>
        <w:jc w:val="center"/>
        <w:rPr/>
      </w:pPr>
      <w:r>
        <w:rPr/>
        <w:drawing>
          <wp:inline distT="0" distB="0" distL="0" distR="0">
            <wp:extent cx="5715000" cy="3238500"/>
            <wp:effectExtent l="0" t="0" r="0" b="0"/>
            <wp:docPr id="14" name="Picture 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Picture 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center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图 4-5 单据详情页与箱唛明细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l处理逻辑或规则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可用性判断：单据状态=已处理 且 明细状态=已生成 时，预览/打印/下载可用；「已失败」明细仅展示失败原因，不提供操作入口。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333333"/>
          <w:sz w:val="48"/>
          <w:szCs w:val="22"/>
          <w:lang w:val="en-US" w:eastAsia="en-US" w:bidi="ar-SA"/>
        </w:rPr>
        <w:t>4.5.SR01_F05:箱唛预览、打印与下载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l功能简述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按统一版式渲染箱唛，支持在线预览、打印与 Excel 文件下载。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l页面交互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预览：点击明细行「预览」，弹窗展示该箱唛的完整版式。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打印：在预览弹窗内点击「打印箱唛」，调起浏览器打印功能，按箱唛版式输出。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下载：点击「下载」按固定箱唛标签模板生成 Excel 文件保存到本地（模板版式：带边框标签表格，含采购单号、箱号、SKU、装箱数量、箱规、毛重、条形码（Code 128 条形码图片+SKU 文本）及产品图片嵌入，横版单页打印），文件名规则：PO 单号_SKU.xlsx。</w:t>
      </w:r>
    </w:p>
    <w:p>
      <w:pPr>
        <w:spacing w:beforeLines="100" w:after="50" w:line="360" w:lineRule="auto"/>
        <w:ind w:left="0"/>
        <w:jc w:val="center"/>
        <w:rPr/>
      </w:pPr>
      <w:r>
        <w:rPr/>
        <w:drawing>
          <wp:inline distT="0" distB="0" distL="0" distR="0">
            <wp:extent cx="5715000" cy="4857750"/>
            <wp:effectExtent l="0" t="0" r="0" b="0"/>
            <wp:docPr id="17" name="Picture 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8" name="Picture 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center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图 4-6 箱唛预览弹窗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l处理逻辑或规则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箱唛版式：左侧文字区（箱唛标题、采购单号、箱号、SKU、装箱数量、箱规、毛重）与 Code 128 条形码（编码内容=SKU），右侧为产品图片区。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箱号、装箱数量、箱规、毛重为箱唛模板预留字段，系统不生成其内容，由工厂线下手动填写。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8"/>
          <w:lang w:val="en-US" w:eastAsia="en-US" w:bidi="ar-SA"/>
        </w:rPr>
        <w:t>• 条形码编码失败的明细不进入本功能（见 SR01_F03 状态流转规则）。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8"/>
          <w:szCs w:val="26"/>
          <w:lang w:val="en-US" w:eastAsia="en-US" w:bidi="ar-SA"/>
        </w:rPr>
        <w:t>4.6.非功能需求</w:t>
      </w:r>
    </w:p>
    <w:tbl>
      <w:tblPr>
        <w:tblStyle w:val="000019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8"/>
        <w:gridCol w:w="2463"/>
        <w:gridCol w:w="1965"/>
        <w:gridCol w:w="2321"/>
      </w:tblGrid>
      <w:tr>
        <w:trPr>
          <w:trHeight w:val="495" w:hRule="atLeast"/>
          <w:tblCellSpacing w:w="0" w:type="dxa"/>
        </w:trPr>
        <w:tc>
          <w:tcPr>
            <w:tcW w:w="22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246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非功能需求名称</w:t>
            </w:r>
          </w:p>
        </w:tc>
        <w:tc>
          <w:tcPr>
            <w:tcW w:w="19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简述</w:t>
            </w:r>
          </w:p>
        </w:tc>
        <w:tc>
          <w:tcPr>
            <w:tcW w:w="232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优先级(高中低)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22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SR01_NF01_01</w:t>
            </w:r>
          </w:p>
        </w:tc>
        <w:tc>
          <w:tcPr>
            <w:tcW w:w="246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性能要求</w:t>
            </w:r>
          </w:p>
        </w:tc>
        <w:tc>
          <w:tcPr>
            <w:tcW w:w="19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上传 Excel（含图片，50 行以内）解析并展示结果不超过 5 秒；</w:t>
            </w:r>
            <w:r>
              <w:rPr>
                <w:rFonts w:ascii="宋体" w:hAnsi="Times New Roman" w:eastAsia="宋体" w:cs="宋体"/>
                <w:i/>
                <w:strike/>
                <w:color w:val="595959"/>
                <w:sz w:val="24"/>
                <w:szCs w:val="22"/>
                <w:lang w:val="en-US" w:eastAsia="en-US" w:bidi="ar-SA"/>
              </w:rPr>
              <w:t>单张单据（20 条明细以内）后台生成箱唛不超过 10 秒</w:t>
            </w: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；列表查询与页签切换响应不超过 2 秒。</w:t>
            </w:r>
          </w:p>
        </w:tc>
        <w:tc>
          <w:tcPr>
            <w:tcW w:w="232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高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22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SR01_NF01_02</w:t>
            </w:r>
          </w:p>
        </w:tc>
        <w:tc>
          <w:tcPr>
            <w:tcW w:w="246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000000"/>
                <w:sz w:val="24"/>
                <w:szCs w:val="22"/>
                <w:lang w:val="en-US" w:eastAsia="en-US" w:bidi="ar-SA"/>
              </w:rPr>
              <w:t>兼容性要求</w:t>
            </w:r>
          </w:p>
        </w:tc>
        <w:tc>
          <w:tcPr>
            <w:tcW w:w="19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解析</w:t>
            </w:r>
            <w:r>
              <w:rPr>
                <w:rFonts w:hint="eastAsia"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支持</w:t>
            </w: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嵌入图片（DISPIMG）；支持 .xlsx/.xls 文件；适配 Chrome 内核浏览器。</w:t>
            </w:r>
          </w:p>
        </w:tc>
        <w:tc>
          <w:tcPr>
            <w:tcW w:w="232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高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227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/>
                <w:color w:val="000000"/>
                <w:sz w:val="24"/>
                <w:szCs w:val="28"/>
                <w:lang w:val="en-US" w:eastAsia="en-US" w:bidi="ar-SA"/>
              </w:rPr>
              <w:t>SR01_NF01_03</w:t>
            </w:r>
          </w:p>
        </w:tc>
        <w:tc>
          <w:tcPr>
            <w:tcW w:w="2463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/>
                <w:color w:val="000000"/>
                <w:sz w:val="24"/>
                <w:szCs w:val="28"/>
                <w:lang w:val="en-US" w:eastAsia="en-US" w:bidi="ar-SA"/>
              </w:rPr>
              <w:t>数据一致性要求</w:t>
            </w:r>
          </w:p>
        </w:tc>
        <w:tc>
          <w:tcPr>
            <w:tcW w:w="19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箱唛内容与采购 Excel 严格一致；明细状态与单据状态流转一致（全部明细处理完成后单据方可置为「已处理」）。</w:t>
            </w:r>
          </w:p>
        </w:tc>
        <w:tc>
          <w:tcPr>
            <w:tcW w:w="232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E5E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中</w:t>
            </w:r>
          </w:p>
        </w:tc>
      </w:tr>
    </w:tbl>
    <w:p>
      <w:pPr>
        <w:pStyle w:val="00000a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4"/>
          <w:szCs w:val="26"/>
          <w:lang w:val="en-US" w:eastAsia="en-US" w:bidi="ar-SA"/>
        </w:rPr>
        <w:t>4.6.1.系统非功能需求描述-SR01_NF01_01: 性能与兼容性要求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1. 上传 Excel（含图片，50 行以内）解析并展示解析结果不超过 5 秒；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2. 上传 Excel 并确认生成后弹窗关闭，单据进入「处理中」状态，后台逐条生成箱唛，</w:t>
      </w:r>
      <w:r>
        <w:rPr>
          <w:rFonts w:ascii="宋体" w:hAnsi="Times New Roman" w:eastAsia="宋体" w:cs="宋体"/>
          <w:b w:val="false"/>
          <w:i/>
          <w:strike/>
          <w:color w:val="595959"/>
          <w:sz w:val="24"/>
          <w:szCs w:val="22"/>
          <w:lang w:val="en-US" w:eastAsia="en-US" w:bidi="ar-SA"/>
        </w:rPr>
        <w:t>单张单据（20 条明细以内）处理不超过 10 秒；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3. 列表页查询与页签切换响应不超过 2 秒，默认每页 10 条；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4. 解析需</w:t>
      </w:r>
      <w:r>
        <w:rPr>
          <w:rFonts w:hint="eastAsia"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支持</w:t>
      </w: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嵌入图片（DISPIMG）；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5. 未加说明按公司后台 UED 统一规范执行。</w:t>
      </w:r>
    </w:p>
    <w:p>
      <w:pPr>
        <w:pStyle w:val="00000a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4"/>
          <w:szCs w:val="26"/>
          <w:lang w:val="en-US" w:eastAsia="en-US" w:bidi="ar-SA"/>
        </w:rPr>
        <w:t>4.6.2.UI 规范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i/>
          <w:color w:val="595959"/>
          <w:sz w:val="24"/>
          <w:szCs w:val="22"/>
          <w:lang w:val="en-US" w:eastAsia="en-US" w:bidi="ar-SA"/>
        </w:rPr>
        <w:t>界面遵循 TDesign 设计规范：品牌主色 #0052D9；供应链系统页面正文、表格、按钮字号统一 12px，系统名称 13px 加粗，弹窗标题 14px；列表页筛选区、表格、分页置于统一卡片容器，表格行底部与分页上方均有分隔线。</w:t>
      </w:r>
    </w:p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8"/>
          <w:szCs w:val="26"/>
          <w:lang w:val="en-US" w:eastAsia="en-US" w:bidi="ar-SA"/>
        </w:rPr>
        <w:t>4.7.资损风险识别</w:t>
      </w:r>
    </w:p>
    <w:tbl>
      <w:tblPr>
        <w:tblStyle w:val="000019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071"/>
        <w:gridCol w:w="1192"/>
        <w:gridCol w:w="1541"/>
        <w:gridCol w:w="1527"/>
      </w:tblGrid>
      <w:tr>
        <w:trPr>
          <w:trHeight w:val="495" w:hRule="atLeast"/>
          <w:tblCellSpacing w:w="0" w:type="dxa"/>
        </w:trPr>
        <w:tc>
          <w:tcPr>
            <w:tcW w:w="18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可能产生资损的点</w:t>
            </w:r>
          </w:p>
        </w:tc>
        <w:tc>
          <w:tcPr>
            <w:tcW w:w="184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风险处理</w:t>
            </w:r>
          </w:p>
        </w:tc>
        <w:tc>
          <w:tcPr>
            <w:tcW w:w="107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类型</w:t>
            </w:r>
          </w:p>
        </w:tc>
        <w:tc>
          <w:tcPr>
            <w:tcW w:w="1192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用户资损</w:t>
            </w:r>
          </w:p>
        </w:tc>
        <w:tc>
          <w:tcPr>
            <w:tcW w:w="1541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公司资损</w:t>
            </w:r>
          </w:p>
        </w:tc>
        <w:tc>
          <w:tcPr>
            <w:tcW w:w="152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00000"/>
                <w:sz w:val="24"/>
                <w:szCs w:val="22"/>
                <w:lang w:val="en-US" w:eastAsia="en-US" w:bidi="ar-SA"/>
              </w:rPr>
              <w:t>供应商资损</w:t>
            </w:r>
          </w:p>
        </w:tc>
      </w:tr>
    </w:tbl>
    <w:p>
      <w:pPr>
        <w:pStyle w:val="000008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1A1A1A"/>
          <w:sz w:val="38"/>
          <w:szCs w:val="26"/>
          <w:lang w:val="en-US" w:eastAsia="en-US" w:bidi="ar-SA"/>
        </w:rPr>
        <w:t>4.8.验收标准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功能设计及实现符合本 PRD 第 4 章全部功能与规则描述（SR01_F01→SR01_F05）。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前端页面：UI 符合 TDesign 设计规范，列表、详情、弹窗交互与原型一致。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 w:val="false"/>
          <w:i/>
          <w:color w:val="595959"/>
          <w:sz w:val="24"/>
          <w:szCs w:val="22"/>
          <w:lang w:val="en-US" w:eastAsia="en-US" w:bidi="ar-SA"/>
        </w:rPr>
        <w:t>异常路径验收：非 .xlsx/.xls 上传拦截、缺失表头提示「解析失败，请检查模板」、采购订单号为空、SKU 为空（失败原因=「SKU为空」）或条码生成失败（失败原因=「SKU条码未生成」）置「已失败」且不可生成、预览、打印或下载箱唛，均按本 PRD 规则执行；性能满足 4.6.1 要求。</w: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42"/>
          <w:szCs w:val="28"/>
          <w:lang w:val="en-US" w:eastAsia="en-US" w:bidi="ar-SA"/>
        </w:rPr>
        <w:t>5. 依赖的系统</w:t>
      </w:r>
    </w:p>
    <w:tbl>
      <w:tblPr>
        <w:tblStyle w:val="000019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1806"/>
        <w:gridCol w:w="1806"/>
        <w:gridCol w:w="1806"/>
        <w:gridCol w:w="1804"/>
      </w:tblGrid>
      <w:tr>
        <w:trPr>
          <w:trHeight w:val="495" w:hRule="atLeast"/>
          <w:tblCellSpacing w:w="0" w:type="dxa"/>
        </w:trPr>
        <w:tc>
          <w:tcPr>
            <w:tcW w:w="18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18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依赖的产品线</w:t>
            </w:r>
          </w:p>
        </w:tc>
        <w:tc>
          <w:tcPr>
            <w:tcW w:w="18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依赖的产品域</w:t>
            </w:r>
          </w:p>
        </w:tc>
        <w:tc>
          <w:tcPr>
            <w:tcW w:w="18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依赖内容</w:t>
            </w:r>
          </w:p>
        </w:tc>
        <w:tc>
          <w:tcPr>
            <w:tcW w:w="18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 w:val="false"/>
                <w:color w:val="0C306E"/>
                <w:sz w:val="24"/>
                <w:szCs w:val="22"/>
                <w:lang w:val="en-US" w:eastAsia="en-US" w:bidi="ar-SA"/>
              </w:rPr>
              <w:t>负责产品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18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</w:p>
        </w:tc>
        <w:tc>
          <w:tcPr>
            <w:tcW w:w="18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</w:p>
        </w:tc>
        <w:tc>
          <w:tcPr>
            <w:tcW w:w="18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</w:p>
        </w:tc>
        <w:tc>
          <w:tcPr>
            <w:tcW w:w="18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</w:p>
        </w:tc>
        <w:tc>
          <w:tcPr>
            <w:tcW w:w="18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</w:p>
        </w:tc>
      </w:tr>
      <w:tr>
        <w:trPr>
          <w:trHeight w:val="495" w:hRule="atLeast"/>
          <w:tblCellSpacing w:w="0" w:type="dxa"/>
        </w:trPr>
        <w:tc>
          <w:tcPr>
            <w:tcW w:w="180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</w:p>
        </w:tc>
        <w:tc>
          <w:tcPr>
            <w:tcW w:w="18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</w:p>
        </w:tc>
        <w:tc>
          <w:tcPr>
            <w:tcW w:w="18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</w:p>
        </w:tc>
        <w:tc>
          <w:tcPr>
            <w:tcW w:w="180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</w:p>
        </w:tc>
        <w:tc>
          <w:tcPr>
            <w:tcW w:w="180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</w:p>
        </w:tc>
      </w:tr>
    </w:tbl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42"/>
          <w:szCs w:val="28"/>
          <w:lang w:val="en-US" w:eastAsia="en-US" w:bidi="ar-SA"/>
        </w:rPr>
        <w:t>6. 风险管理</w:t>
      </w:r>
    </w:p>
    <w:tbl>
      <w:tblPr>
        <w:tblStyle w:val="000019"/>
        <w:tblW w:w="0" w:type="auto"/>
        <w:tblCellSpacing w:w="0" w:type="dxa"/>
        <w:tblInd w:w="11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1118"/>
        <w:gridCol w:w="2676"/>
        <w:gridCol w:w="1424"/>
        <w:gridCol w:w="1038"/>
        <w:gridCol w:w="1065"/>
        <w:gridCol w:w="1067"/>
      </w:tblGrid>
      <w:tr>
        <w:trPr>
          <w:trHeight w:val="495" w:hRule="atLeast"/>
          <w:tblCellSpacing w:w="0" w:type="dxa"/>
        </w:trPr>
        <w:tc>
          <w:tcPr>
            <w:tcW w:w="6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/>
                <w:color w:val="595959"/>
                <w:sz w:val="24"/>
                <w:szCs w:val="28"/>
                <w:lang w:val="en-US" w:eastAsia="en-US" w:bidi="ar-SA"/>
              </w:rPr>
              <w:t>序号</w:t>
            </w:r>
          </w:p>
        </w:tc>
        <w:tc>
          <w:tcPr>
            <w:tcW w:w="11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/>
                <w:color w:val="595959"/>
                <w:sz w:val="24"/>
                <w:szCs w:val="28"/>
                <w:lang w:val="en-US" w:eastAsia="en-US" w:bidi="ar-SA"/>
              </w:rPr>
              <w:t>风险来源</w:t>
            </w:r>
          </w:p>
        </w:tc>
        <w:tc>
          <w:tcPr>
            <w:tcW w:w="26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/>
                <w:color w:val="595959"/>
                <w:sz w:val="24"/>
                <w:szCs w:val="28"/>
                <w:lang w:val="en-US" w:eastAsia="en-US" w:bidi="ar-SA"/>
              </w:rPr>
              <w:t>风险描述</w:t>
            </w:r>
          </w:p>
        </w:tc>
        <w:tc>
          <w:tcPr>
            <w:tcW w:w="14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/>
                <w:color w:val="595959"/>
                <w:sz w:val="24"/>
                <w:szCs w:val="28"/>
                <w:lang w:val="en-US" w:eastAsia="en-US" w:bidi="ar-SA"/>
              </w:rPr>
              <w:t>影响</w:t>
            </w:r>
          </w:p>
        </w:tc>
        <w:tc>
          <w:tcPr>
            <w:tcW w:w="10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/>
                <w:color w:val="595959"/>
                <w:sz w:val="24"/>
                <w:szCs w:val="28"/>
                <w:lang w:val="en-US" w:eastAsia="en-US" w:bidi="ar-SA"/>
              </w:rPr>
              <w:t>风险策略</w:t>
            </w:r>
          </w:p>
        </w:tc>
        <w:tc>
          <w:tcPr>
            <w:tcW w:w="10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/>
                <w:color w:val="595959"/>
                <w:sz w:val="24"/>
                <w:szCs w:val="28"/>
                <w:lang w:val="en-US" w:eastAsia="en-US" w:bidi="ar-SA"/>
              </w:rPr>
              <w:t>发生概率</w:t>
            </w:r>
          </w:p>
        </w:tc>
        <w:tc>
          <w:tcPr>
            <w:tcW w:w="10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C7DC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center"/>
              <w:rPr/>
            </w:pPr>
            <w:r>
              <w:rPr>
                <w:rFonts w:ascii="宋体" w:hAnsi="Times New Roman" w:eastAsia="宋体" w:cs="宋体"/>
                <w:b/>
                <w:i/>
                <w:color w:val="595959"/>
                <w:sz w:val="24"/>
                <w:szCs w:val="28"/>
                <w:lang w:val="en-US" w:eastAsia="en-US" w:bidi="ar-SA"/>
              </w:rPr>
              <w:t>负责人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6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b w:val="false"/>
                <w:i w:val="false"/>
                <w:color w:val="333333"/>
                <w:sz w:val="24"/>
                <w:szCs w:val="22"/>
                <w:shd w:val="clear" w:fill="FFFFFF"/>
                <w:lang w:val="en-US" w:eastAsia="en-US" w:bidi="ar-SA"/>
              </w:rPr>
              <w:t>1</w:t>
            </w:r>
          </w:p>
        </w:tc>
        <w:tc>
          <w:tcPr>
            <w:tcW w:w="11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数据风险</w:t>
            </w:r>
          </w:p>
        </w:tc>
        <w:tc>
          <w:tcPr>
            <w:tcW w:w="26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WPS 嵌入图片（DISPIMG）解析失败导致箱唛图片缺失。</w:t>
            </w:r>
          </w:p>
        </w:tc>
        <w:tc>
          <w:tcPr>
            <w:tcW w:w="14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箱唛缺图，仓库目检核对困难。</w:t>
            </w:r>
          </w:p>
        </w:tc>
        <w:tc>
          <w:tcPr>
            <w:tcW w:w="10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解析引擎同时兼容 Excel 浮动图片与 WPS 嵌入图片；测试覆盖两类文件。</w:t>
            </w:r>
          </w:p>
        </w:tc>
        <w:tc>
          <w:tcPr>
            <w:tcW w:w="10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中</w:t>
            </w:r>
          </w:p>
        </w:tc>
        <w:tc>
          <w:tcPr>
            <w:tcW w:w="10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前端开发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6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2</w:t>
            </w:r>
          </w:p>
        </w:tc>
        <w:tc>
          <w:tcPr>
            <w:tcW w:w="11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兼容性风险</w:t>
            </w:r>
          </w:p>
        </w:tc>
        <w:tc>
          <w:tcPr>
            <w:tcW w:w="26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不同浏览器条形码渲染与打印效果存在差异。</w:t>
            </w:r>
          </w:p>
        </w:tc>
        <w:tc>
          <w:tcPr>
            <w:tcW w:w="14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个别浏览器打印版式偏差。</w:t>
            </w:r>
          </w:p>
        </w:tc>
        <w:tc>
          <w:tcPr>
            <w:tcW w:w="10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限定 Chrome 内核浏览器使用；验收覆盖预览与打印场景。</w:t>
            </w:r>
          </w:p>
        </w:tc>
        <w:tc>
          <w:tcPr>
            <w:tcW w:w="10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低</w:t>
            </w:r>
          </w:p>
        </w:tc>
        <w:tc>
          <w:tcPr>
            <w:tcW w:w="10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测试工程师</w:t>
            </w:r>
          </w:p>
        </w:tc>
      </w:tr>
      <w:tr>
        <w:trPr>
          <w:trHeight w:val="495" w:hRule="atLeast"/>
          <w:tblCellSpacing w:w="0" w:type="dxa"/>
        </w:trPr>
        <w:tc>
          <w:tcPr>
            <w:tcW w:w="639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3</w:t>
            </w:r>
          </w:p>
        </w:tc>
        <w:tc>
          <w:tcPr>
            <w:tcW w:w="111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使用风险</w:t>
            </w:r>
          </w:p>
        </w:tc>
        <w:tc>
          <w:tcPr>
            <w:tcW w:w="2676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采购员延续线下 Excel 制作习惯，功能使用率不及预期。</w:t>
            </w:r>
          </w:p>
        </w:tc>
        <w:tc>
          <w:tcPr>
            <w:tcW w:w="1424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功能价值无法兑现。</w:t>
            </w:r>
          </w:p>
        </w:tc>
        <w:tc>
          <w:tcPr>
            <w:tcW w:w="1038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上线前组织培训与操作指引；上线后跟踪使用数据并回访。</w:t>
            </w:r>
          </w:p>
        </w:tc>
        <w:tc>
          <w:tcPr>
            <w:tcW w:w="1065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低</w:t>
            </w:r>
          </w:p>
        </w:tc>
        <w:tc>
          <w:tcPr>
            <w:tcW w:w="1067" w:type="dxa"/>
            <w:tcBorders>
              <w:top w:val="single" w:color="EEEEEE" w:sz="8" w:space="0"/>
              <w:left w:val="single" w:color="EEEEEE" w:sz="8" w:space="0"/>
              <w:bottom w:val="single" w:color="EEEEEE" w:sz="8" w:space="0"/>
              <w:right w:val="single" w:color="EEEEEE" w:sz="8" w:space="0"/>
            </w:tcBorders>
            <w:shd w:val="clear" w:color="auto" w:fill="F3F5F7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beforeLines="100" w:after="50" w:line="360" w:lineRule="auto"/>
              <w:ind w:left="0"/>
              <w:jc w:val="left"/>
              <w:rPr/>
            </w:pPr>
            <w:r>
              <w:rPr>
                <w:rFonts w:ascii="宋体" w:hAnsi="Times New Roman" w:eastAsia="宋体" w:cs="宋体"/>
                <w:i/>
                <w:color w:val="595959"/>
                <w:sz w:val="24"/>
                <w:szCs w:val="22"/>
                <w:lang w:val="en-US" w:eastAsia="en-US" w:bidi="ar-SA"/>
              </w:rPr>
              <w:t>产品经理</w:t>
            </w:r>
          </w:p>
        </w:tc>
      </w:tr>
    </w:tbl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42"/>
          <w:szCs w:val="28"/>
          <w:lang w:val="en-US" w:eastAsia="en-US" w:bidi="ar-SA"/>
        </w:rPr>
        <w:t>7. 评审纪要</w:t>
      </w:r>
    </w:p>
    <w:p>
      <w:pPr>
        <w:pStyle w:val="000006"/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color w:val="000000"/>
          <w:sz w:val="42"/>
          <w:szCs w:val="28"/>
          <w:lang w:val="en-US" w:eastAsia="en-US" w:bidi="ar-SA"/>
        </w:rPr>
        <w:t>8. 参考资料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1. 箱唛管理交互原型（单文件 HTML 原型，覆盖列表、上传解析、提交处理、详情、预览打印全流程）；</w:t>
      </w:r>
    </w:p>
    <w:p>
      <w:pPr>
        <w:spacing w:beforeLines="100" w:after="50" w:line="360" w:lineRule="auto"/>
        <w:ind w:left="0"/>
        <w:jc w:val="left"/>
        <w:rPr/>
      </w:pPr>
      <w:r>
        <w:rPr>
          <w:rFonts w:ascii="宋体" w:hAnsi="Times New Roman" w:eastAsia="宋体" w:cs="宋体"/>
          <w:b/>
          <w:i/>
          <w:color w:val="333333"/>
          <w:sz w:val="24"/>
          <w:szCs w:val="22"/>
          <w:lang w:val="en-US" w:eastAsia="en-US" w:bidi="ar-SA"/>
        </w:rPr>
        <w:t>2. 采购 Excel 模板（列：采购订单号、SKU、品名、图片）。</w:t>
      </w:r>
    </w:p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spacing w:line="240" w:lineRule="auto"/>
        <w:rPr/>
      </w:pPr>
      <w:r>
        <w:rPr/>
        <w:continuationSeparator/>
      </w:r>
    </w:p>
  </w:endnote>
  <w:endnote w:type="separator" w:id="0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 w:characterSet="ISO-8859-1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76" w:lineRule="auto"/>
        <w:rPr/>
      </w:pPr>
      <w:r>
        <w:rPr/>
        <w:continuationSeparator/>
      </w:r>
    </w:p>
  </w:footnote>
  <w:footnote w:type="separator" w:id="1">
    <w:p>
      <w:pPr>
        <w:spacing w:before="0" w:after="0" w:line="276" w:lineRule="auto"/>
        <w:rPr/>
      </w:pPr>
      <w:r>
        <w:rPr/>
        <w:separator/>
      </w:r>
    </w:p>
  </w:footnote>
</w:footnotes>
</file>

<file path=word/settings.xml><?xml version="1.0" encoding="utf-8"?>
<w:settings xmlns:w="http://schemas.openxmlformats.org/wordprocessingml/2006/main">
  <w:zoom w:percent="110"/>
  <w:documentProtection w:enforcement="false"/>
  <w:footnotePr>
    <w:footnote w:id="0"/>
    <w:footnote w:id="1"/>
  </w:footnotePr>
  <w:endnotePr>
    <w:endnote w:id="0"/>
    <w:endnote w:id="1"/>
  </w:endnotePr>
  <w:compat>
    <w:useFELayout/>
    <w:compatSetting w:name="overrideTableStyleFontSizeAndJustification" w:uri="http://schemas.microsoft.com/office/word" w:val="1"/>
    <w:compatSetting w:name="compatibilityMode" w:uri="http://schemas.microsoft.com/office/word" w:val="12"/>
  </w:compat>
  <w:rsids>
    <w:rsidRoot w:val="00000000"/>
    <w:rsid w:val="011B6997"/>
    <w:rsid w:val="01F42D45"/>
    <w:rsid w:val="04E6106A"/>
    <w:rsid w:val="070954E4"/>
    <w:rsid w:val="0B8654C7"/>
    <w:rsid w:val="0DD26630"/>
    <w:rsid w:val="0FB3423F"/>
    <w:rsid w:val="13A10F7E"/>
    <w:rsid w:val="1B122762"/>
    <w:rsid w:val="1BC05D1A"/>
    <w:rsid w:val="1C0025BA"/>
    <w:rsid w:val="1E3649B9"/>
    <w:rsid w:val="27532138"/>
    <w:rsid w:val="2A353D77"/>
    <w:rsid w:val="2A5341FD"/>
    <w:rsid w:val="2AF7102C"/>
    <w:rsid w:val="2BFF63EA"/>
    <w:rsid w:val="2E861045"/>
    <w:rsid w:val="339E0BDF"/>
    <w:rsid w:val="347E631A"/>
    <w:rsid w:val="3D85696B"/>
    <w:rsid w:val="3E9B4698"/>
    <w:rsid w:val="3F161F71"/>
    <w:rsid w:val="404E1296"/>
    <w:rsid w:val="457F1EF2"/>
    <w:rsid w:val="47CD33E9"/>
    <w:rsid w:val="48B60321"/>
    <w:rsid w:val="493F20C4"/>
    <w:rsid w:val="4B425E9C"/>
    <w:rsid w:val="4B8F7333"/>
    <w:rsid w:val="4CB30DFF"/>
    <w:rsid w:val="5099655E"/>
    <w:rsid w:val="55FD758F"/>
    <w:rsid w:val="59637709"/>
    <w:rsid w:val="5ED66BCF"/>
    <w:rsid w:val="5F84662B"/>
    <w:rsid w:val="60D86C2E"/>
    <w:rsid w:val="63805F71"/>
    <w:rsid w:val="64202DC6"/>
    <w:rsid w:val="69E228CC"/>
    <w:rsid w:val="6A9242F2"/>
    <w:rsid w:val="6ACA583A"/>
    <w:rsid w:val="6F4D1649"/>
    <w:rsid w:val="71724535"/>
    <w:rsid w:val="74E7523A"/>
    <w:rsid w:val="7782283F"/>
    <w:rsid w:val="7D44147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false" w:defUIPriority="99" w:defSemiHidden="true" w:defUnhideWhenUsed="true" w:defQFormat="false" w:count="260">
    <w:lsdException w:name="Light List Accent 2" w:uiPriority="61" w:semiHidden="false" w:unhideWhenUsed="false"/>
    <w:lsdException w:name="Medium Grid 3 Accent 6" w:uiPriority="69" w:semiHidden="false" w:unhideWhenUsed="false"/>
    <w:lsdException w:name="Table 3D effects 2" w:uiPriority="99"/>
    <w:lsdException w:name="toc 8" w:uiPriority="99"/>
    <w:lsdException w:name="Table List 5" w:uiPriority="99"/>
    <w:lsdException w:name="Body Text" w:uiPriority="99"/>
    <w:lsdException w:name="Medium Grid 3 Accent 2" w:uiPriority="69" w:semiHidden="false" w:unhideWhenUsed="false"/>
    <w:lsdException w:name="Hyperlink" w:uiPriority="99" w:semiHidden="false" w:qFormat="true"/>
    <w:lsdException w:name="Table Classic 2" w:uiPriority="99"/>
    <w:lsdException w:name="Medium Grid 3 Accent 4" w:uiPriority="69" w:semiHidden="false" w:unhideWhenUsed="false"/>
    <w:lsdException w:name="Light Shading Accent 5" w:uiPriority="60" w:semiHidden="false" w:unhideWhenUsed="false"/>
    <w:lsdException w:name="Medium Grid 1 Accent 6" w:uiPriority="67" w:semiHidden="false" w:unhideWhenUsed="false"/>
    <w:lsdException w:name="Colorful List Accent 5" w:uiPriority="72" w:semiHidden="false" w:unhideWhenUsed="false"/>
    <w:lsdException w:name="endnote reference" w:uiPriority="99"/>
    <w:lsdException w:name="Light List Accent 5" w:uiPriority="61" w:semiHidden="false" w:unhideWhenUsed="false"/>
    <w:lsdException w:name="Medium Grid 3 Accent 3" w:uiPriority="69" w:semiHidden="false" w:unhideWhenUsed="false"/>
    <w:lsdException w:name="Dark List Accent 5" w:uiPriority="70" w:semiHidden="false" w:unhideWhenUsed="false"/>
    <w:lsdException w:name="Medium Grid 3 Accent 1" w:uiPriority="69" w:semiHidden="false" w:unhideWhenUsed="false"/>
    <w:lsdException w:name="Medium Grid 1 Accent 1" w:uiPriority="67" w:semiHidden="false" w:unhideWhenUsed="false"/>
    <w:lsdException w:name="Table Colorful 2" w:uiPriority="99"/>
    <w:lsdException w:name="HTML Acronym" w:uiPriority="99"/>
    <w:lsdException w:name="HTML Address" w:uiPriority="99"/>
    <w:lsdException w:name="Table List 8" w:uiPriority="99"/>
    <w:lsdException w:name="Medium Grid 2 Accent 2" w:uiPriority="68" w:semiHidden="false" w:unhideWhenUsed="false"/>
    <w:lsdException w:name="Colorful List Accent 3" w:uiPriority="72" w:semiHidden="false" w:unhideWhenUsed="false"/>
    <w:lsdException w:name="Normal (Web)" w:uiPriority="99"/>
    <w:lsdException w:name="Colorful Shading Accent 3" w:uiPriority="71" w:semiHidden="false" w:unhideWhenUsed="false"/>
    <w:lsdException w:name="Table Columns 4" w:uiPriority="99"/>
    <w:lsdException w:name="Colorful Grid Accent 3" w:uiPriority="73" w:semiHidden="false" w:unhideWhenUsed="false"/>
    <w:lsdException w:name="Medium Grid 2 Accent 1" w:uiPriority="68" w:semiHidden="false" w:unhideWhenUsed="false"/>
    <w:lsdException w:name="Medium Grid 1 Accent 5" w:uiPriority="67" w:semiHidden="false" w:unhideWhenUsed="false"/>
    <w:lsdException w:name="Table Grid 4" w:uiPriority="99"/>
    <w:lsdException w:name="Light Shading Accent 2" w:uiPriority="60" w:semiHidden="false" w:unhideWhenUsed="false"/>
    <w:lsdException w:name="index 7" w:uiPriority="99"/>
    <w:lsdException w:name="HTML Typewriter" w:uiPriority="99"/>
    <w:lsdException w:name="index 9" w:uiPriority="99"/>
    <w:lsdException w:name="annotation text" w:uiPriority="99"/>
    <w:lsdException w:name="heading 1" w:uiPriority="9" w:semiHidden="false" w:unhideWhenUsed="false" w:qFormat="true"/>
    <w:lsdException w:name="toc 4" w:uiPriority="99"/>
    <w:lsdException w:name="Table List 3" w:uiPriority="99"/>
    <w:lsdException w:name="Medium List 1 Accent 4" w:uiPriority="65" w:semiHidden="false" w:unhideWhenUsed="false"/>
    <w:lsdException w:name="Default Paragraph Font" w:uiPriority="1"/>
    <w:lsdException w:name="Table Classic 1" w:uiPriority="99"/>
    <w:lsdException w:name="Table Theme" w:uiPriority="99"/>
    <w:lsdException w:name="header" w:uiPriority="99" w:semiHidden="false" w:qFormat="true"/>
    <w:lsdException w:name="toc 6" w:uiPriority="99"/>
    <w:lsdException w:name="page number" w:uiPriority="99"/>
    <w:lsdException w:name="Body Text Indent" w:uiPriority="99"/>
    <w:lsdException w:name="List Bullet 3" w:uiPriority="99"/>
    <w:lsdException w:name="macro" w:uiPriority="99"/>
    <w:lsdException w:name="Medium Shading 2 Accent 3" w:uiPriority="64" w:semiHidden="false" w:unhideWhenUsed="false"/>
    <w:lsdException w:name="Medium Shading 1 Accent 2" w:uiPriority="63" w:semiHidden="false" w:unhideWhenUsed="false"/>
    <w:lsdException w:name="Table List 4" w:uiPriority="99"/>
    <w:lsdException w:name="toc 5" w:uiPriority="99"/>
    <w:lsdException w:name="Colorful Shading Accent 6" w:uiPriority="71" w:semiHidden="false" w:unhideWhenUsed="false"/>
    <w:lsdException w:name="toc 3" w:uiPriority="99"/>
    <w:lsdException w:name="Medium Grid 2 Accent 4" w:uiPriority="68" w:semiHidden="false" w:unhideWhenUsed="false"/>
    <w:lsdException w:name="Dark List Accent 6" w:uiPriority="70" w:semiHidden="false" w:unhideWhenUsed="false"/>
    <w:lsdException w:name="Medium Shading 1 Accent 3" w:uiPriority="63" w:semiHidden="false" w:unhideWhenUsed="false"/>
    <w:lsdException w:name="Light Shading Accent 6" w:uiPriority="60" w:semiHidden="false" w:unhideWhenUsed="false"/>
    <w:lsdException w:name="Light Shading Accent 1" w:uiPriority="60" w:semiHidden="false" w:unhideWhenUsed="false"/>
    <w:lsdException w:name="Medium List 1 Accent 3" w:uiPriority="65" w:semiHidden="false" w:unhideWhenUsed="false"/>
    <w:lsdException w:name="Table Grid 3" w:uiPriority="99"/>
    <w:lsdException w:name="Table Simple 2" w:uiPriority="99"/>
    <w:lsdException w:name="Colorful Shading Accent 2" w:uiPriority="71" w:semiHidden="false" w:unhideWhenUsed="false"/>
    <w:lsdException w:name="Medium Grid 1 Accent 3" w:uiPriority="67" w:semiHidden="false" w:unhideWhenUsed="false"/>
    <w:lsdException w:name="Light List Accent 4" w:uiPriority="61" w:semiHidden="false" w:unhideWhenUsed="false"/>
    <w:lsdException w:name="List 3" w:uiPriority="99"/>
    <w:lsdException w:name="List 5" w:uiPriority="99"/>
    <w:lsdException w:name="heading 3" w:uiPriority="9" w:semiHidden="false" w:qFormat="true"/>
    <w:lsdException w:name="Medium Grid 2 Accent 3" w:uiPriority="68" w:semiHidden="false" w:unhideWhenUsed="false"/>
    <w:lsdException w:name="Medium Shading 2 Accent 4" w:uiPriority="64" w:semiHidden="false" w:unhideWhenUsed="false"/>
    <w:lsdException w:name="List 2" w:uiPriority="99"/>
    <w:lsdException w:name="annotation reference" w:uiPriority="99"/>
    <w:lsdException w:name="Dark List" w:uiPriority="70" w:semiHidden="false" w:unhideWhenUsed="false"/>
    <w:lsdException w:name="footer" w:uiPriority="99"/>
    <w:lsdException w:name="Light List Accent 6" w:uiPriority="61" w:semiHidden="false" w:unhideWhenUsed="false"/>
    <w:lsdException w:name="List Number" w:uiPriority="99"/>
    <w:lsdException w:name="List Continue 3" w:uiPriority="99"/>
    <w:lsdException w:name="toa heading" w:uiPriority="99"/>
    <w:lsdException w:name="Table Grid 6" w:uiPriority="99"/>
    <w:lsdException w:name="Dark List Accent 1" w:uiPriority="70" w:semiHidden="false" w:unhideWhenUsed="false"/>
    <w:lsdException w:name="Table List 1" w:uiPriority="99"/>
    <w:lsdException w:name="Normal Indent" w:uiPriority="99" w:semiHidden="false"/>
    <w:lsdException w:name="List Bullet 2" w:uiPriority="99"/>
    <w:lsdException w:name="index 3" w:uiPriority="99"/>
    <w:lsdException w:name="Light Grid Accent 4" w:uiPriority="62" w:semiHidden="false" w:unhideWhenUsed="false"/>
    <w:lsdException w:name="HTML Preformatted" w:uiPriority="99"/>
    <w:lsdException w:name="Table List 6" w:uiPriority="99"/>
    <w:lsdException w:name="Colorful Shading Accent 5" w:uiPriority="71" w:semiHidden="false" w:unhideWhenUsed="false"/>
    <w:lsdException w:name="Colorful Grid Accent 6" w:uiPriority="73" w:semiHidden="false" w:unhideWhenUsed="false"/>
    <w:lsdException w:name="Medium List 1 Accent 2" w:uiPriority="65" w:semiHidden="false" w:unhideWhenUsed="false"/>
    <w:lsdException w:name="line number" w:uiPriority="99"/>
    <w:lsdException w:name="Medium Grid 3 Accent 5" w:uiPriority="69" w:semiHidden="false" w:unhideWhenUsed="false"/>
    <w:lsdException w:name="Table Colorful 3" w:uiPriority="99"/>
    <w:lsdException w:name="Light Grid Accent 5" w:uiPriority="62" w:semiHidden="false" w:unhideWhenUsed="false"/>
    <w:lsdException w:name="Medium List 2 Accent 6" w:uiPriority="66" w:semiHidden="false" w:unhideWhenUsed="false"/>
    <w:lsdException w:name="HTML Keyboard" w:uiPriority="99"/>
    <w:lsdException w:name="Medium Grid 1 Accent 4" w:uiPriority="67" w:semiHidden="false" w:unhideWhenUsed="false"/>
    <w:lsdException w:name="E-mail Signature" w:uiPriority="99"/>
    <w:lsdException w:name="Colorful Grid Accent 5" w:uiPriority="73" w:semiHidden="false" w:unhideWhenUsed="false"/>
    <w:lsdException w:name="Colorful Shading Accent 1" w:uiPriority="71" w:semiHidden="false" w:unhideWhenUsed="false"/>
    <w:lsdException w:name="Medium List 2 Accent 3" w:uiPriority="66" w:semiHidden="false" w:unhideWhenUsed="false"/>
    <w:lsdException w:name="Closing" w:uiPriority="99"/>
    <w:lsdException w:name="table of figures" w:uiPriority="99"/>
    <w:lsdException w:name="Table List 2" w:uiPriority="99"/>
    <w:lsdException w:name="Light Grid Accent 3" w:uiPriority="62" w:semiHidden="false" w:unhideWhenUsed="false"/>
    <w:lsdException w:name="Medium Grid 2 Accent 5" w:uiPriority="68" w:semiHidden="false" w:unhideWhenUsed="false"/>
    <w:lsdException w:name="Table Simple 1" w:uiPriority="99"/>
    <w:lsdException w:name="Light List Accent 1" w:uiPriority="61" w:semiHidden="false" w:unhideWhenUsed="false"/>
    <w:lsdException w:name="Table Subtle 2" w:uiPriority="99"/>
    <w:lsdException w:name="List Continue" w:uiPriority="99"/>
    <w:lsdException w:name="HTML Code" w:uiPriority="99"/>
    <w:lsdException w:name="heading 2" w:uiPriority="9" w:semiHidden="false" w:qFormat="true"/>
    <w:lsdException w:name="Colorful List Accent 4" w:uiPriority="72" w:semiHidden="false" w:unhideWhenUsed="false"/>
    <w:lsdException w:name="index 5" w:uiPriority="99"/>
    <w:lsdException w:name="envelope return" w:uiPriority="99"/>
    <w:lsdException w:name="Colorful Grid" w:uiPriority="73" w:semiHidden="false" w:unhideWhenUsed="false"/>
    <w:lsdException w:name="Table Colorful 1" w:uiPriority="99"/>
    <w:lsdException w:name="Medium List 2 Accent 5" w:uiPriority="66" w:semiHidden="false" w:unhideWhenUsed="false"/>
    <w:lsdException w:name="Medium List 1 Accent 5" w:uiPriority="65" w:semiHidden="false" w:unhideWhenUsed="false"/>
    <w:lsdException w:name="Body Text Indent 3" w:uiPriority="99"/>
    <w:lsdException w:name="Strong" w:uiPriority="99"/>
    <w:lsdException w:name="Medium Grid 3" w:uiPriority="69" w:semiHidden="false" w:unhideWhenUsed="false"/>
    <w:lsdException w:name="Table Professional" w:uiPriority="99"/>
    <w:lsdException w:name="HTML Cite" w:uiPriority="99"/>
    <w:lsdException w:name="heading 4" w:uiPriority="9" w:semiHidden="false" w:qFormat="true"/>
    <w:lsdException w:name="Table Web 1" w:uiPriority="99"/>
    <w:lsdException w:name="List Bullet 4" w:uiPriority="99"/>
    <w:lsdException w:name="Emphasis" w:uiPriority="20" w:semiHidden="false" w:unhideWhenUsed="false" w:qFormat="true"/>
    <w:lsdException w:name="List Continue 2" w:uiPriority="99"/>
    <w:lsdException w:name="FollowedHyperlink" w:uiPriority="99"/>
    <w:lsdException w:name="Medium Shading 1 Accent 6" w:uiPriority="63" w:semiHidden="false" w:unhideWhenUsed="false"/>
    <w:lsdException w:name="Medium Grid 1" w:uiPriority="67" w:semiHidden="false" w:unhideWhenUsed="false"/>
    <w:lsdException w:name="Light Grid" w:uiPriority="62" w:semiHidden="false" w:unhideWhenUsed="false"/>
    <w:lsdException w:name="Light List" w:uiPriority="61" w:semiHidden="false" w:unhideWhenUsed="false"/>
    <w:lsdException w:name="Medium List 2" w:uiPriority="66" w:semiHidden="false" w:unhideWhenUsed="false"/>
    <w:lsdException w:name="endnote text" w:uiPriority="99"/>
    <w:lsdException w:name="Table Columns 5" w:uiPriority="99"/>
    <w:lsdException w:name="Table Grid 5" w:uiPriority="99"/>
    <w:lsdException w:name="Light Shading Accent 4" w:uiPriority="60" w:semiHidden="false" w:unhideWhenUsed="false"/>
    <w:lsdException w:name="index 2" w:uiPriority="99"/>
    <w:lsdException w:name="List Number 4" w:uiPriority="99"/>
    <w:lsdException w:name="toc 2" w:uiPriority="99"/>
    <w:lsdException w:name="Table Simple 3" w:uiPriority="99"/>
    <w:lsdException w:name="Table Classic 4" w:uiPriority="99"/>
    <w:lsdException w:name="index 8" w:uiPriority="99"/>
    <w:lsdException w:name="Medium Shading 2 Accent 2" w:uiPriority="64" w:semiHidden="false" w:unhideWhenUsed="false"/>
    <w:lsdException w:name="heading 6" w:uiPriority="99"/>
    <w:lsdException w:name="Body Text 3" w:uiPriority="99"/>
    <w:lsdException w:name="Colorful Grid Accent 4" w:uiPriority="73" w:semiHidden="false" w:unhideWhenUsed="false"/>
    <w:lsdException w:name="List Bullet 5" w:uiPriority="99"/>
    <w:lsdException w:name="Table 3D effects 3" w:uiPriority="99"/>
    <w:lsdException w:name="Salutation" w:uiPriority="99"/>
    <w:lsdException w:name="Document Map" w:uiPriority="99"/>
    <w:lsdException w:name="List Bullet" w:uiPriority="99"/>
    <w:lsdException w:name="Table Grid 1" w:uiPriority="99"/>
    <w:lsdException w:name="heading 8" w:uiPriority="99"/>
    <w:lsdException w:name="Medium Shading 1" w:uiPriority="63" w:semiHidden="false" w:unhideWhenUsed="false"/>
    <w:lsdException w:name="toc 7" w:uiPriority="99"/>
    <w:lsdException w:name="Light Grid Accent 2" w:uiPriority="62" w:semiHidden="false" w:unhideWhenUsed="false"/>
    <w:lsdException w:name="Table Grid 2" w:uiPriority="99"/>
    <w:lsdException w:name="Block Text" w:uiPriority="99"/>
    <w:lsdException w:name="Title" w:uiPriority="10" w:semiHidden="false" w:unhideWhenUsed="false" w:qFormat="true"/>
    <w:lsdException w:name="footnote reference" w:uiPriority="99"/>
    <w:lsdException w:name="List Number 2" w:uiPriority="99"/>
    <w:lsdException w:name="Medium Shading 2 Accent 6" w:uiPriority="64" w:semiHidden="false" w:unhideWhenUsed="false"/>
    <w:lsdException w:name="List" w:uiPriority="99"/>
    <w:lsdException w:name="Plain Text" w:uiPriority="99"/>
    <w:lsdException w:name="Table Elegant" w:uiPriority="99"/>
    <w:lsdException w:name="Colorful Grid Accent 1" w:uiPriority="73" w:semiHidden="false" w:unhideWhenUsed="false"/>
    <w:lsdException w:name="Table Web 2" w:uiPriority="99"/>
    <w:lsdException w:name="Note Heading" w:uiPriority="99"/>
    <w:lsdException w:name="Medium List 2 Accent 2" w:uiPriority="66" w:semiHidden="false" w:unhideWhenUsed="false"/>
    <w:lsdException w:name="footnote text" w:uiPriority="99"/>
    <w:lsdException w:name="Medium List 1" w:uiPriority="65" w:semiHidden="false" w:unhideWhenUsed="false"/>
    <w:lsdException w:name="index 6" w:uiPriority="99"/>
    <w:lsdException w:name="Medium Shading 2 Accent 5" w:uiPriority="64" w:semiHidden="false" w:unhideWhenUsed="false"/>
    <w:lsdException w:name="Colorful Shading Accent 4" w:uiPriority="71" w:semiHidden="false" w:unhideWhenUsed="false"/>
    <w:lsdException w:name="Medium Shading 1 Accent 5" w:uiPriority="63" w:semiHidden="false" w:unhideWhenUsed="false"/>
    <w:lsdException w:name="Colorful List Accent 1" w:uiPriority="72" w:semiHidden="false" w:unhideWhenUsed="false"/>
    <w:lsdException w:name="index 1" w:uiPriority="99"/>
    <w:lsdException w:name="Medium Shading 2 Accent 1" w:uiPriority="64" w:semiHidden="false" w:unhideWhenUsed="false"/>
    <w:lsdException w:name="Light Shading Accent 3" w:uiPriority="60" w:semiHidden="false" w:unhideWhenUsed="false"/>
    <w:lsdException w:name="table of authorities" w:uiPriority="99"/>
    <w:lsdException w:name="HTML Definition" w:uiPriority="99"/>
    <w:lsdException w:name="annotation subject" w:uiPriority="99"/>
    <w:lsdException w:name="Light Grid Accent 6" w:uiPriority="62" w:semiHidden="false" w:unhideWhenUsed="false"/>
    <w:lsdException w:name="Table Contemporary" w:uiPriority="99"/>
    <w:lsdException w:name="Medium Shading 1 Accent 1" w:uiPriority="63" w:semiHidden="false" w:unhideWhenUsed="false"/>
    <w:lsdException w:name="Body Text First Indent" w:uiPriority="99"/>
    <w:lsdException w:name="Medium Grid 1 Accent 2" w:uiPriority="67" w:semiHidden="false" w:unhideWhenUsed="false"/>
    <w:lsdException w:name="Light List Accent 3" w:uiPriority="61" w:semiHidden="false" w:unhideWhenUsed="false"/>
    <w:lsdException w:name="Table 3D effects 1" w:uiPriority="99"/>
    <w:lsdException w:name="Table Grid 7" w:uiPriority="99"/>
    <w:lsdException w:name="List Number 3" w:uiPriority="99"/>
    <w:lsdException w:name="List Number 5" w:uiPriority="99"/>
    <w:lsdException w:name="index 4" w:uiPriority="99"/>
    <w:lsdException w:name="Table List 7" w:uiPriority="99"/>
    <w:lsdException w:name="Table Columns 3" w:uiPriority="99"/>
    <w:lsdException w:name="Normal" w:uiPriority="0" w:semiHidden="false" w:unhideWhenUsed="false" w:qFormat="true"/>
    <w:lsdException w:name="Table Columns 2" w:uiPriority="99"/>
    <w:lsdException w:name="Table Grid 8" w:uiPriority="99"/>
    <w:lsdException w:name="Colorful Shading" w:uiPriority="71" w:semiHidden="false" w:unhideWhenUsed="false"/>
    <w:lsdException w:name="Balloon Text" w:uiPriority="99"/>
    <w:lsdException w:name="toc 1" w:uiPriority="99"/>
    <w:lsdException w:name="Subtitle" w:uiPriority="11" w:semiHidden="false" w:unhideWhenUsed="false" w:qFormat="true"/>
    <w:lsdException w:name="HTML Variable" w:uiPriority="99"/>
    <w:lsdException w:name="heading 7" w:uiPriority="99"/>
    <w:lsdException w:name="Normal Table" w:uiPriority="99" w:qFormat="true"/>
    <w:lsdException w:name="Dark List Accent 4" w:uiPriority="70" w:semiHidden="false" w:unhideWhenUsed="false"/>
    <w:lsdException w:name="Light Shading" w:uiPriority="60" w:semiHidden="false" w:unhideWhenUsed="false"/>
    <w:lsdException w:name="Message Header" w:uiPriority="99"/>
    <w:lsdException w:name="List Continue 5" w:uiPriority="99"/>
    <w:lsdException w:name="Date" w:uiPriority="99"/>
    <w:lsdException w:name="Body Text Indent 2" w:uiPriority="99"/>
    <w:lsdException w:name="Medium Grid 2 Accent 6" w:uiPriority="68" w:semiHidden="false" w:unhideWhenUsed="false"/>
    <w:lsdException w:name="Table Web 3" w:uiPriority="99"/>
    <w:lsdException w:name="Medium List 1 Accent 1" w:uiPriority="65" w:semiHidden="false" w:unhideWhenUsed="false"/>
    <w:lsdException w:name="List Continue 4" w:uiPriority="99"/>
    <w:lsdException w:name="Medium Shading 1 Accent 4" w:uiPriority="63" w:semiHidden="false" w:unhideWhenUsed="false"/>
    <w:lsdException w:name="Medium Shading 2" w:uiPriority="64" w:semiHidden="false" w:unhideWhenUsed="false"/>
    <w:lsdException w:name="envelope address" w:uiPriority="99"/>
    <w:lsdException w:name="Medium List 2 Accent 4" w:uiPriority="66" w:semiHidden="false" w:unhideWhenUsed="false"/>
    <w:lsdException w:name="Table Subtle 1" w:uiPriority="99"/>
    <w:lsdException w:name="Light Grid Accent 1" w:uiPriority="62" w:semiHidden="false" w:unhideWhenUsed="false"/>
    <w:lsdException w:name="Colorful List Accent 6" w:uiPriority="72" w:semiHidden="false" w:unhideWhenUsed="false"/>
    <w:lsdException w:name="Colorful List Accent 2" w:uiPriority="72" w:semiHidden="false" w:unhideWhenUsed="false"/>
    <w:lsdException w:name="heading 5" w:uiPriority="9" w:semiHidden="false" w:qFormat="true"/>
    <w:lsdException w:name="Dark List Accent 2" w:uiPriority="70" w:semiHidden="false" w:unhideWhenUsed="false"/>
    <w:lsdException w:name="Body Text First Indent 2" w:uiPriority="99"/>
    <w:lsdException w:name="Medium List 2 Accent 1" w:uiPriority="66" w:semiHidden="false" w:unhideWhenUsed="false"/>
    <w:lsdException w:name="Medium List 1 Accent 6" w:uiPriority="65" w:semiHidden="false" w:unhideWhenUsed="false"/>
    <w:lsdException w:name="List 4" w:uiPriority="99"/>
    <w:lsdException w:name="Colorful List" w:uiPriority="72" w:semiHidden="false" w:unhideWhenUsed="false"/>
    <w:lsdException w:name="Colorful Grid Accent 2" w:uiPriority="73" w:semiHidden="false" w:unhideWhenUsed="false"/>
    <w:lsdException w:name="Table Grid" w:uiPriority="59" w:semiHidden="false" w:unhideWhenUsed="false" w:qFormat="true"/>
    <w:lsdException w:name="Signature" w:uiPriority="99"/>
    <w:lsdException w:name="HTML Sample" w:uiPriority="99"/>
    <w:lsdException w:name="Dark List Accent 3" w:uiPriority="70" w:semiHidden="false" w:unhideWhenUsed="false"/>
    <w:lsdException w:name="Table Classic 3" w:uiPriority="99"/>
    <w:lsdException w:name="heading 9" w:uiPriority="99"/>
    <w:lsdException w:name="Body Text 2" w:uiPriority="99"/>
    <w:lsdException w:name="Medium Grid 2" w:uiPriority="68" w:semiHidden="false" w:unhideWhenUsed="false"/>
    <w:lsdException w:name="toc 9" w:uiPriority="99"/>
    <w:lsdException w:name="Table Columns 1" w:uiPriority="99"/>
    <w:lsdException w:name="index heading" w:uiPriority="99"/>
    <w:lsdException w:name="caption" w:uiPriority="35" w:qFormat="true"/>
  </w:latentStyles>
  <w:style w:type="table" w:styleId="000019">
    <w:name w:val="Table Grid"/>
    <w:basedOn w:val="000010"/>
    <w:uiPriority w:val="59"/>
    <w:qFormat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3">
    <w:name w:val="header"/>
    <w:basedOn w:val="000005"/>
    <w:link w:val="000014"/>
    <w:uiPriority w:val="99"/>
    <w:unhideWhenUsed/>
    <w:qFormat/>
    <w:pPr>
      <w:tabs>
        <w:tab w:val="center" w:pos="4680"/>
        <w:tab w:val="right" w:pos="9360"/>
      </w:tabs>
    </w:pPr>
  </w:style>
  <w:style w:type="character" w:styleId="00000b" w:customStyle="true">
    <w:name w:val="Heading 3 Char"/>
    <w:basedOn w:val="00000f"/>
    <w:link w:val="00000a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00a">
    <w:name w:val="heading 3"/>
    <w:basedOn w:val="000005"/>
    <w:next w:val="000005"/>
    <w:link w:val="00000b"/>
    <w:uiPriority w:val="9"/>
    <w:unhideWhenUsed/>
    <w:qFormat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character" w:styleId="000018" w:customStyle="true">
    <w:name w:val="Title Char"/>
    <w:basedOn w:val="00000f"/>
    <w:link w:val="000017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8">
    <w:name w:val="heading 2"/>
    <w:basedOn w:val="000005"/>
    <w:next w:val="000005"/>
    <w:link w:val="000009"/>
    <w:uiPriority w:val="9"/>
    <w:unhideWhenUsed/>
    <w:qFormat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000005" w:default="true">
    <w:name w:val="Normal"/>
    <w:uiPriority w:val="0"/>
    <w:qFormat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00001c" w:customStyle="true">
    <w:name w:val="_Style 7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000017">
    <w:name w:val="Title"/>
    <w:basedOn w:val="000005"/>
    <w:next w:val="000005"/>
    <w:link w:val="000018"/>
    <w:uiPriority w:val="10"/>
    <w:qFormat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12">
    <w:name w:val="caption"/>
    <w:basedOn w:val="000005"/>
    <w:next w:val="000005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000009" w:customStyle="true">
    <w:name w:val="Heading 2 Char"/>
    <w:basedOn w:val="00000f"/>
    <w:link w:val="000008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00001a">
    <w:name w:val="Emphasis"/>
    <w:basedOn w:val="00000f"/>
    <w:uiPriority w:val="20"/>
    <w:qFormat/>
    <w:rPr>
      <w:i/>
      <w:iCs/>
    </w:rPr>
  </w:style>
  <w:style w:type="paragraph" w:styleId="000006">
    <w:name w:val="heading 1"/>
    <w:basedOn w:val="000005"/>
    <w:next w:val="000005"/>
    <w:link w:val="000007"/>
    <w:uiPriority w:val="9"/>
    <w:qFormat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character" w:styleId="000016" w:customStyle="true">
    <w:name w:val="Subtitle Char"/>
    <w:basedOn w:val="00000f"/>
    <w:link w:val="00001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000011">
    <w:name w:val="Normal Indent"/>
    <w:basedOn w:val="000005"/>
    <w:uiPriority w:val="99"/>
    <w:unhideWhenUsed/>
    <w:pPr>
      <w:ind w:left="720"/>
    </w:pPr>
  </w:style>
  <w:style w:type="paragraph" w:styleId="000015">
    <w:name w:val="Subtitle"/>
    <w:basedOn w:val="000005"/>
    <w:next w:val="000005"/>
    <w:link w:val="000016"/>
    <w:uiPriority w:val="11"/>
    <w:qFormat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10" w:default="true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d" w:customStyle="true">
    <w:name w:val="Heading 4 Char"/>
    <w:basedOn w:val="00000f"/>
    <w:link w:val="00000c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00000c">
    <w:name w:val="heading 4"/>
    <w:basedOn w:val="000005"/>
    <w:next w:val="000005"/>
    <w:link w:val="00000d"/>
    <w:uiPriority w:val="9"/>
    <w:unhideWhenUsed/>
    <w:qFormat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000014" w:customStyle="true">
    <w:name w:val="Header Char"/>
    <w:basedOn w:val="00000f"/>
    <w:link w:val="000013"/>
    <w:uiPriority w:val="99"/>
    <w:qFormat/>
  </w:style>
  <w:style w:type="character" w:styleId="00000f" w:default="true">
    <w:name w:val="Default Paragraph Font"/>
    <w:uiPriority w:val="1"/>
    <w:semiHidden/>
    <w:unhideWhenUsed/>
  </w:style>
  <w:style w:type="character" w:styleId="000007" w:customStyle="true">
    <w:name w:val="Heading 1 Char"/>
    <w:basedOn w:val="00000f"/>
    <w:link w:val="000006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00000e">
    <w:name w:val="heading 5"/>
    <w:basedOn w:val="000005"/>
    <w:next w:val="000005"/>
    <w:uiPriority w:val="9"/>
    <w:unhideWhenUsed/>
    <w:qFormat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styleId="00001b">
    <w:name w:val="Hyperlink"/>
    <w:basedOn w:val="00000f"/>
    <w:uiPriority w:val="99"/>
    <w:unhideWhenUsed/>
    <w:qFormat/>
    <w:rPr>
      <w:color w:val="0000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4.png" /><Relationship Id="rId7" Type="http://schemas.openxmlformats.org/officeDocument/2006/relationships/image" Target="media/image2.png" /><Relationship Id="rId6" Type="http://schemas.openxmlformats.org/officeDocument/2006/relationships/image" Target="media/image1.png" /><Relationship Id="rId5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4" Type="http://schemas.openxmlformats.org/officeDocument/2006/relationships/fontTable" Target="fontTable.xml" /><Relationship Id="rId10" Type="http://schemas.openxmlformats.org/officeDocument/2006/relationships/image" Target="media/image5.png" /><Relationship Id="rId8" Type="http://schemas.openxmlformats.org/officeDocument/2006/relationships/image" Target="media/image3.png" /><Relationship Id="rId11" Type="http://schemas.openxmlformats.org/officeDocument/2006/relationships/image" Target="media/image6.png" /><Relationship Id="rId2" Type="http://schemas.openxmlformats.org/officeDocument/2006/relationships/footnotes" Target="footnotes.xml" /><Relationship Id="rId3" Type="http://schemas.openxmlformats.org/officeDocument/2006/relationships/endnotes" Target="endnot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2026-08-19T18:14:51Z</dcterms:created>
  <dcterms:modified xsi:type="dcterms:W3CDTF">2026-08-19T18:14:51Z</dcterms:modified>
</cp:coreProperties>
</file>