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Microsoft YaHei"/>
          <w:b/>
          <w:color w:val="263238"/>
          <w:sz w:val="56"/>
        </w:rPr>
        <w:t>统一地图美术规范</w:t>
      </w:r>
    </w:p>
    <w:p>
      <w:pPr>
        <w:jc w:val="center"/>
      </w:pPr>
      <w:r>
        <w:rPr>
          <w:rFonts w:ascii="Arial" w:hAnsi="Arial" w:eastAsia="Microsoft YaHei"/>
          <w:color w:val="8A5A2B"/>
          <w:sz w:val="28"/>
        </w:rPr>
        <w:t>Unified World Map Art Specification</w:t>
      </w:r>
    </w:p>
    <w:p/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860"/>
      </w:tblGrid>
      <w:tr>
        <w:trPr>
          <w:tblHeader w:val="true"/>
        </w:trPr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项目</w:t>
            </w:r>
          </w:p>
        </w:tc>
        <w:tc>
          <w:tcPr>
            <w:tcW w:type="dxa" w:w="686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内容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版本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V0.1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适用阶段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东汉天下母版与中山连续地图样板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文件编号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MAP-ART-SPEC-001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对应数据模板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02_地图坐标与对象锚点表.xlsx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状态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第一版／待项目确认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生成日期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2026-08-07</w:t>
            </w:r>
          </w:p>
        </w:tc>
      </w:tr>
    </w:tbl>
    <w:p>
      <w:pPr>
        <w:spacing w:after="0"/>
      </w:pPr>
    </w:p>
    <w:p>
      <w:pPr>
        <w:pStyle w:val="引用"/>
        <w:spacing w:before="440"/>
        <w:jc w:val="center"/>
      </w:pPr>
      <w:r>
        <w:t>同一世界，不同比例尺；地理不重置，细节逐级展开。</w:t>
      </w:r>
    </w:p>
    <w:p>
      <w:pPr>
        <w:pStyle w:val="警告"/>
        <w:shd w:fill="FFF2CC"/>
        <w:pBdr>
          <w:bottom w:val="single" w:sz="6" w:space="2" w:color="B7AA92"/>
        </w:pBdr>
      </w:pPr>
      <w:r>
        <w:t>历史与地理警示：未经确认的历史坐标、城市位置与行政关系均为待考证信息，不得写入最终项目事实。</w:t>
      </w:r>
    </w:p>
    <w:p>
      <w:pPr>
        <w:sectPr>
          <w:pgSz w:w="11906" w:h="16838"/>
          <w:pgMar w:top="1361" w:right="1389" w:bottom="1247" w:left="1389" w:header="680" w:footer="680" w:gutter="0"/>
          <w:cols w:space="720"/>
          <w:titlePg/>
          <w:docGrid w:linePitch="360"/>
        </w:sectPr>
      </w:pPr>
    </w:p>
    <w:p>
      <w:pPr>
        <w:pStyle w:val="标题1"/>
      </w:pPr>
      <w:r>
        <w:t>文档控制</w:t>
      </w:r>
    </w:p>
    <w:p>
      <w:pPr>
        <w:pStyle w:val="标题2"/>
      </w:pPr>
      <w:r>
        <w:t>文档信息</w:t>
      </w:r>
    </w:p>
    <w:p>
      <w:pPr>
        <w:pStyle w:val="表题"/>
        <w:keepNext/>
      </w:pPr>
      <w:r>
        <w:t>表1 文档信息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860"/>
      </w:tblGrid>
      <w:tr>
        <w:trPr>
          <w:tblHeader w:val="true"/>
        </w:trPr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项目</w:t>
            </w:r>
          </w:p>
        </w:tc>
        <w:tc>
          <w:tcPr>
            <w:tcW w:type="dxa" w:w="686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内容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文档名称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统一地图美术规范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英文名称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Unified World Map Art Specification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文档编号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MAP-ART-SPEC-001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当前版本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V0.1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所属系统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统一世界地图系统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适用范围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天下战略图至建筑院落图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数据源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02_地图坐标与对象锚点表.xlsx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文档状态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待项目确认</w:t>
            </w:r>
          </w:p>
        </w:tc>
      </w:tr>
    </w:tbl>
    <w:p>
      <w:pPr>
        <w:spacing w:after="0"/>
      </w:pPr>
    </w:p>
    <w:p>
      <w:pPr>
        <w:pStyle w:val="标题2"/>
      </w:pPr>
      <w:r>
        <w:t>版本记录</w:t>
      </w:r>
    </w:p>
    <w:p>
      <w:pPr>
        <w:pStyle w:val="表题"/>
        <w:keepNext/>
      </w:pPr>
      <w:r>
        <w:t>表2 版本记录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191"/>
        <w:gridCol w:w="1134"/>
        <w:gridCol w:w="1247"/>
        <w:gridCol w:w="2098"/>
        <w:gridCol w:w="1134"/>
        <w:gridCol w:w="1474"/>
      </w:tblGrid>
      <w:tr>
        <w:trPr>
          <w:tblHeader w:val="true"/>
        </w:trPr>
        <w:tc>
          <w:tcPr>
            <w:tcW w:type="dxa" w:w="85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版本</w:t>
            </w:r>
          </w:p>
        </w:tc>
        <w:tc>
          <w:tcPr>
            <w:tcW w:type="dxa" w:w="119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日期</w:t>
            </w:r>
          </w:p>
        </w:tc>
        <w:tc>
          <w:tcPr>
            <w:tcW w:type="dxa" w:w="1134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修改人</w:t>
            </w:r>
          </w:p>
        </w:tc>
        <w:tc>
          <w:tcPr>
            <w:tcW w:type="dxa" w:w="1247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修改章节</w:t>
            </w:r>
          </w:p>
        </w:tc>
        <w:tc>
          <w:tcPr>
            <w:tcW w:type="dxa" w:w="209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修改说明</w:t>
            </w:r>
          </w:p>
        </w:tc>
        <w:tc>
          <w:tcPr>
            <w:tcW w:type="dxa" w:w="1134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审核人</w:t>
            </w:r>
          </w:p>
        </w:tc>
        <w:tc>
          <w:tcPr>
            <w:tcW w:type="dxa" w:w="1474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状态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V0.1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2026-08-07</w:t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全部</w:t>
            </w:r>
          </w:p>
        </w:tc>
        <w:tc>
          <w:tcPr>
            <w:tcW w:type="dxa" w:w="20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第一版生成</w:t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待确认</w:t>
            </w:r>
          </w:p>
        </w:tc>
      </w:tr>
      <w:tr>
        <w:tc>
          <w:tcPr>
            <w:tcW w:type="dxa" w:w="85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9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24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209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47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</w:tbl>
    <w:p>
      <w:pPr>
        <w:spacing w:after="0"/>
      </w:pPr>
    </w:p>
    <w:p>
      <w:pPr>
        <w:pStyle w:val="标题2"/>
      </w:pPr>
      <w:r>
        <w:t>审核签署</w:t>
      </w:r>
    </w:p>
    <w:p>
      <w:pPr>
        <w:pStyle w:val="表题"/>
        <w:keepNext/>
      </w:pPr>
      <w:r>
        <w:t>表3 审核签署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2268"/>
        <w:gridCol w:w="1757"/>
        <w:gridCol w:w="2721"/>
      </w:tblGrid>
      <w:tr>
        <w:trPr>
          <w:tblHeader w:val="true"/>
        </w:trPr>
        <w:tc>
          <w:tcPr>
            <w:tcW w:type="dxa" w:w="238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角色</w:t>
            </w:r>
          </w:p>
        </w:tc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姓名／签字</w:t>
            </w:r>
          </w:p>
        </w:tc>
        <w:tc>
          <w:tcPr>
            <w:tcW w:type="dxa" w:w="1757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日期</w:t>
            </w:r>
          </w:p>
        </w:tc>
        <w:tc>
          <w:tcPr>
            <w:tcW w:type="dxa" w:w="272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意见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策划负责人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238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历史资料负责人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5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272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地图负责人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238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美术负责人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5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272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技术美术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238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客户端负责人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5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272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项目负责人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标题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打开 Word 后更新目录域</w:t>
        <w:fldChar w:fldCharType="end"/>
      </w:r>
    </w:p>
    <w:p>
      <w:pPr>
        <w:pStyle w:val="规则"/>
        <w:shd w:fill="EEF1EE"/>
        <w:pBdr>
          <w:bottom w:val="single" w:sz="6" w:space="2" w:color="B7AA92"/>
        </w:pBdr>
      </w:pPr>
      <w:r>
        <w:t>目录为自动域。首次打开文档后，请右键目录并选择“更新域 → 更新整个目录”。</w:t>
      </w:r>
    </w:p>
    <w:p>
      <w:pPr>
        <w:pStyle w:val="标题1"/>
      </w:pPr>
      <w:r>
        <w:t>1. 文档目的与适用范围</w:t>
      </w:r>
    </w:p>
    <w:p>
      <w:r>
        <w:t>本规范不是单张插画规范，而是地图概念设计、多尺度空间设计、场景模块设计、游戏对象资产规范、LOD表现规范与跨层级连续性规范的综合标准。它面向策划、史料、地图、美术、UI、技术美术、程序、数据工具和测试岗位。</w:t>
      </w:r>
    </w:p>
    <w:p>
      <w:pPr>
        <w:pStyle w:val="ListBullet"/>
      </w:pPr>
      <w:r>
        <w:t>天下战略图、州郡区域图与县域乡野图</w:t>
      </w:r>
    </w:p>
    <w:p>
      <w:pPr>
        <w:pStyle w:val="ListBullet"/>
      </w:pPr>
      <w:r>
        <w:t>城镇空间图、村庄／庄园／坞堡图</w:t>
      </w:r>
    </w:p>
    <w:p>
      <w:pPr>
        <w:pStyle w:val="ListBullet"/>
      </w:pPr>
      <w:r>
        <w:t>建筑院落与室内图、战场地图、专题数据覆盖图</w:t>
      </w:r>
    </w:p>
    <w:p>
      <w:pPr>
        <w:pStyle w:val="规则"/>
        <w:shd w:fill="EEF1EE"/>
        <w:pBdr>
          <w:bottom w:val="single" w:sz="6" w:space="2" w:color="B7AA92"/>
        </w:pBdr>
      </w:pPr>
      <w:r>
        <w:t>状态声明：连续比例尺与完整专题视图属于已定方案；现有地图实现仍为原型或最小底座。本规范定义目标合同，不代表全部功能已经实现。</w:t>
      </w:r>
    </w:p>
    <w:p>
      <w:pPr>
        <w:pStyle w:val="标题1"/>
      </w:pPr>
      <w:r>
        <w:t>2. 项目核心原则</w:t>
      </w:r>
    </w:p>
    <w:p>
      <w:pPr>
        <w:pStyle w:val="ListNumber"/>
      </w:pPr>
      <w:r>
        <w:t>所有层级引用同一世界坐标；所有对象拥有唯一稳定对象ID。</w:t>
      </w:r>
    </w:p>
    <w:p>
      <w:pPr>
        <w:pStyle w:val="ListNumber"/>
      </w:pPr>
      <w:r>
        <w:t>放大只增加细节，不改变基础位置；河流、道路、城市、城门和建筑跨层连续。</w:t>
      </w:r>
    </w:p>
    <w:p>
      <w:pPr>
        <w:pStyle w:val="ListNumber"/>
      </w:pPr>
      <w:r>
        <w:t>不得为各层级建立互不关联的地图；战场继承原县域、村庄或城镇地形。</w:t>
      </w:r>
    </w:p>
    <w:p>
      <w:pPr>
        <w:pStyle w:val="ListNumber"/>
      </w:pPr>
      <w:r>
        <w:t>战斗造成的桥梁、建筑、道路损毁必须反馈到原世界，并持续到修复。</w:t>
      </w:r>
    </w:p>
    <w:p>
      <w:pPr>
        <w:pStyle w:val="ListNumber"/>
      </w:pPr>
      <w:r>
        <w:t>情报显示不等于世界真实数据；专题模式只增加受权限约束的数据覆盖。</w:t>
      </w:r>
    </w:p>
    <w:p>
      <w:pPr>
        <w:pStyle w:val="ListNumber"/>
      </w:pPr>
      <w:r>
        <w:t>城市、旗帜、军队、人物、库存、所有权与损毁不得永久画死在底图。</w:t>
      </w:r>
    </w:p>
    <w:p>
      <w:pPr>
        <w:pStyle w:val="ListNumber"/>
      </w:pPr>
      <w:r>
        <w:t>动态对象必须可由程序独立加载、隐藏、替换；美术不得自行修改已确认坐标。</w:t>
      </w:r>
    </w:p>
    <w:p>
      <w:pPr>
        <w:pStyle w:val="标题1"/>
      </w:pPr>
      <w:r>
        <w:t>3. 世界地图层级体系</w:t>
      </w:r>
    </w:p>
    <w:p>
      <w:pPr>
        <w:pStyle w:val="表题"/>
        <w:keepNext/>
      </w:pPr>
      <w:r>
        <w:t>表4 世界地图层级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37"/>
        <w:gridCol w:w="1361"/>
        <w:gridCol w:w="1701"/>
        <w:gridCol w:w="3288"/>
        <w:gridCol w:w="2041"/>
      </w:tblGrid>
      <w:tr>
        <w:trPr>
          <w:tblHeader w:val="true"/>
        </w:trPr>
        <w:tc>
          <w:tcPr>
            <w:tcW w:type="dxa" w:w="737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编码</w:t>
            </w:r>
          </w:p>
        </w:tc>
        <w:tc>
          <w:tcPr>
            <w:tcW w:type="dxa" w:w="136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层级</w:t>
            </w:r>
          </w:p>
        </w:tc>
        <w:tc>
          <w:tcPr>
            <w:tcW w:type="dxa" w:w="170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玩家关注</w:t>
            </w:r>
          </w:p>
        </w:tc>
        <w:tc>
          <w:tcPr>
            <w:tcW w:type="dxa" w:w="328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必须显示</w:t>
            </w:r>
          </w:p>
        </w:tc>
        <w:tc>
          <w:tcPr>
            <w:tcW w:type="dxa" w:w="204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不应显示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L01</w:t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天下战略图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天下局势、长距离移动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山河、州域、重要城市、军团、战略道路</w:t>
            </w:r>
          </w:p>
        </w:tc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普通县村、农田、建筑</w:t>
            </w:r>
          </w:p>
        </w:tc>
      </w:tr>
      <w:tr>
        <w:tc>
          <w:tcPr>
            <w:tcW w:type="dxa" w:w="73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L02</w:t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州郡区域图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郡县与交通网络</w:t>
            </w:r>
          </w:p>
        </w:tc>
        <w:tc>
          <w:tcPr>
            <w:tcW w:type="dxa" w:w="328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郡治、县城、关隘、港口、官道</w:t>
            </w:r>
          </w:p>
        </w:tc>
        <w:tc>
          <w:tcPr>
            <w:tcW w:type="dxa" w:w="204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普通房屋和人物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L03</w:t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县域乡野图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地方经营与探索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村庄、庄园、农田、水利、资源设施</w:t>
            </w:r>
          </w:p>
        </w:tc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室内库存</w:t>
            </w:r>
          </w:p>
        </w:tc>
      </w:tr>
      <w:tr>
        <w:tc>
          <w:tcPr>
            <w:tcW w:type="dxa" w:w="73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L04</w:t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城镇空间图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城内移动与活动</w:t>
            </w:r>
          </w:p>
        </w:tc>
        <w:tc>
          <w:tcPr>
            <w:tcW w:type="dxa" w:w="328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城墙、街道、坊区、实体建筑、居民</w:t>
            </w:r>
          </w:p>
        </w:tc>
        <w:tc>
          <w:tcPr>
            <w:tcW w:type="dxa" w:w="204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天下战略信息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L05</w:t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村庄庄园图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家庭与基层生产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房屋、田地、牲畜、仓储、水井、作坊</w:t>
            </w:r>
          </w:p>
        </w:tc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远距离军团</w:t>
            </w:r>
          </w:p>
        </w:tc>
      </w:tr>
      <w:tr>
        <w:tc>
          <w:tcPr>
            <w:tcW w:type="dxa" w:w="73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L06</w:t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建筑院落图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建筑功能使用</w:t>
            </w:r>
          </w:p>
        </w:tc>
        <w:tc>
          <w:tcPr>
            <w:tcW w:type="dxa" w:w="328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院落、房间、人物、工作点、可见库存</w:t>
            </w:r>
          </w:p>
        </w:tc>
        <w:tc>
          <w:tcPr>
            <w:tcW w:type="dxa" w:w="204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州郡级信息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L07</w:t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战场地图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战术战斗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原有地形、部队、工事、火灾、损毁</w:t>
            </w:r>
          </w:p>
        </w:tc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无关经营数据</w:t>
            </w:r>
          </w:p>
        </w:tc>
      </w:tr>
    </w:tbl>
    <w:p>
      <w:pPr>
        <w:spacing w:after="0"/>
      </w:pPr>
    </w:p>
    <w:p>
      <w:r>
        <w:t>L01至L06按比例尺逐级展开：缩小时隐藏低层对象，放大时增加真实细节。L07不是陌生副本，而是L03、L04或L05在战术状态下的展开。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8"/>
      </w:tblGrid>
      <w:tr>
        <w:tc>
          <w:tcPr>
            <w:tcW w:type="dxa" w:w="9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6F0"/>
          </w:tcPr>
          <w:p>
            <w:pPr>
              <w:spacing w:before="560" w:after="560"/>
              <w:jc w:val="center"/>
            </w:pPr>
            <w:r>
              <w:rPr>
                <w:rFonts w:ascii="Arial" w:hAnsi="Arial" w:eastAsia="Microsoft YaHei"/>
                <w:b/>
                <w:color w:val="777777"/>
                <w:sz w:val="24"/>
              </w:rPr>
              <w:t>待项目确认图</w:t>
            </w:r>
          </w:p>
        </w:tc>
      </w:tr>
    </w:tbl>
    <w:p>
      <w:pPr>
        <w:pStyle w:val="图题"/>
        <w:jc w:val="center"/>
      </w:pPr>
      <w:r>
        <w:t>图1 统一地图层级关系示意</w:t>
      </w:r>
    </w:p>
    <w:p>
      <w:r>
        <w:br w:type="page"/>
      </w:r>
    </w:p>
    <w:p>
      <w:pPr>
        <w:pStyle w:val="标题1"/>
      </w:pPr>
      <w:r>
        <w:t>4. 统一世界坐标与对象ID</w:t>
      </w:r>
    </w:p>
    <w:p>
      <w:r>
        <w:t>世界逻辑坐标独立于画布分辨率。PSB画布调整不得修改对象世界坐标；局部地图必须登记世界范围。城市、建筑、道路、河流通过稳定ID关联，路径保存节点或矢量数据，禁止依靠画师目测重新布置。建筑同时登记世界坐标、城镇局部坐标与院落局部坐标。</w:t>
      </w:r>
    </w:p>
    <w:p>
      <w:pPr>
        <w:pStyle w:val="规则"/>
        <w:shd w:fill="EEF1EE"/>
        <w:pBdr>
          <w:bottom w:val="single" w:sz="6" w:space="2" w:color="B7AA92"/>
        </w:pBdr>
      </w:pPr>
      <w:r>
        <w:t>数据权威：对象ID、世界坐标、父子关系、锚点、LOD登记和状态编码以 02_地图坐标与对象锚点表.xlsx 为准；美术分层、视觉表现和资产输出以本规范为准。两者必须通过版本号关联。</w:t>
      </w:r>
    </w:p>
    <w:p>
      <w:pPr>
        <w:pStyle w:val="ListBullet"/>
      </w:pPr>
      <w:r>
        <w:t>01_世界设置：坐标系、边界和画布换算参数</w:t>
      </w:r>
    </w:p>
    <w:p>
      <w:pPr>
        <w:pStyle w:val="ListBullet"/>
      </w:pPr>
      <w:r>
        <w:t>02_固定地理、03_地点锚点、04_路径网络：世界事实与连接</w:t>
      </w:r>
    </w:p>
    <w:p>
      <w:pPr>
        <w:pStyle w:val="ListBullet"/>
      </w:pPr>
      <w:r>
        <w:t>05_层级表现LOD、06_建筑锚点、08_资产清单、09_连续性验收：表现与交付关联</w:t>
      </w:r>
    </w:p>
    <w:p>
      <w:r>
        <w:rPr>
          <w:rFonts w:ascii="Consolas" w:hAnsi="Consolas" w:eastAsia="Microsoft YaHei"/>
          <w:color w:val="8A5A2B"/>
          <w:sz w:val="20"/>
        </w:rPr>
        <w:t>像素X = 世界X ÷ 世界宽度 × 画布宽度</w:t>
        <w:br/>
        <w:t>像素Y = 世界Y ÷ 世界高度 × 画布高度</w:t>
      </w:r>
    </w:p>
    <w:p>
      <w:r>
        <w:t>公式仅用于显示换算，不改变世界坐标。局部裁切还需应用局部世界边界的原点偏移和尺度参数。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8"/>
      </w:tblGrid>
      <w:tr>
        <w:tc>
          <w:tcPr>
            <w:tcW w:type="dxa" w:w="9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6F0"/>
          </w:tcPr>
          <w:p>
            <w:pPr>
              <w:spacing w:before="560" w:after="560"/>
              <w:jc w:val="center"/>
            </w:pPr>
            <w:r>
              <w:rPr>
                <w:rFonts w:ascii="Arial" w:hAnsi="Arial" w:eastAsia="Microsoft YaHei"/>
                <w:b/>
                <w:color w:val="777777"/>
                <w:sz w:val="24"/>
              </w:rPr>
              <w:t>待项目确认图</w:t>
            </w:r>
          </w:p>
        </w:tc>
      </w:tr>
    </w:tbl>
    <w:p>
      <w:pPr>
        <w:pStyle w:val="图题"/>
        <w:jc w:val="center"/>
      </w:pPr>
      <w:r>
        <w:t>图5 世界坐标与局部坐标换算示意</w:t>
      </w:r>
    </w:p>
    <w:p>
      <w:pPr>
        <w:pStyle w:val="标题1"/>
      </w:pPr>
      <w:r>
        <w:t>5. 固定地理与动态对象分离</w:t>
      </w:r>
    </w:p>
    <w:p>
      <w:pPr>
        <w:pStyle w:val="标题2"/>
      </w:pPr>
      <w:r>
        <w:t>5.1 固定地理</w:t>
      </w:r>
    </w:p>
    <w:p>
      <w:pPr>
        <w:pStyle w:val="ListBullet"/>
      </w:pPr>
      <w:r>
        <w:t>海岸线、海域、主要山系、河流与湖泊</w:t>
      </w:r>
    </w:p>
    <w:p>
      <w:pPr>
        <w:pStyle w:val="ListBullet"/>
      </w:pPr>
      <w:r>
        <w:t>平原、盆地、丘陵、高原、河谷、峡谷和天然关口</w:t>
      </w:r>
    </w:p>
    <w:p>
      <w:pPr>
        <w:pStyle w:val="ListBullet"/>
      </w:pPr>
      <w:r>
        <w:t>基础土地与气候分区</w:t>
      </w:r>
    </w:p>
    <w:p>
      <w:pPr>
        <w:pStyle w:val="标题2"/>
      </w:pPr>
      <w:r>
        <w:t>5.2 动态对象</w:t>
      </w:r>
    </w:p>
    <w:p>
      <w:pPr>
        <w:pStyle w:val="ListBullet"/>
      </w:pPr>
      <w:r>
        <w:t>城市、建筑、城墙、城门、道路、桥梁、港口与渡口</w:t>
      </w:r>
    </w:p>
    <w:p>
      <w:pPr>
        <w:pStyle w:val="ListBullet"/>
      </w:pPr>
      <w:r>
        <w:t>农田、生产设施、人物、军队、商队、旗帜与所有权</w:t>
      </w:r>
    </w:p>
    <w:p>
      <w:pPr>
        <w:pStyle w:val="ListBullet"/>
      </w:pPr>
      <w:r>
        <w:t>施工、火灾、损毁、围城、封锁、前线、资源发现与情报标记</w:t>
      </w:r>
    </w:p>
    <w:p>
      <w:pPr>
        <w:pStyle w:val="警告"/>
        <w:shd w:fill="FFF2CC"/>
        <w:pBdr>
          <w:bottom w:val="single" w:sz="6" w:space="2" w:color="B7AA92"/>
        </w:pBdr>
      </w:pPr>
      <w:r>
        <w:t>即使城市具有历史固定位置，也不得与不可编辑底图合并：城市可能扩建、损坏、易主、改名或废弃。装饰全景不得成为设施数量、权限、价格或库存的世界事实。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8"/>
      </w:tblGrid>
      <w:tr>
        <w:tc>
          <w:tcPr>
            <w:tcW w:type="dxa" w:w="9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6F0"/>
          </w:tcPr>
          <w:p>
            <w:pPr>
              <w:spacing w:before="560" w:after="560"/>
              <w:jc w:val="center"/>
            </w:pPr>
            <w:r>
              <w:rPr>
                <w:rFonts w:ascii="Arial" w:hAnsi="Arial" w:eastAsia="Microsoft YaHei"/>
                <w:b/>
                <w:color w:val="777777"/>
                <w:sz w:val="24"/>
              </w:rPr>
              <w:t>待项目确认图</w:t>
            </w:r>
          </w:p>
        </w:tc>
      </w:tr>
    </w:tbl>
    <w:p>
      <w:pPr>
        <w:pStyle w:val="图题"/>
        <w:jc w:val="center"/>
      </w:pPr>
      <w:r>
        <w:t>图2 固定地理与动态对象分层示意</w:t>
      </w:r>
    </w:p>
    <w:p>
      <w:r>
        <w:br w:type="page"/>
      </w:r>
    </w:p>
    <w:p>
      <w:pPr>
        <w:pStyle w:val="标题1"/>
      </w:pPr>
      <w:r>
        <w:t>6. 天下战略图美术规范</w:t>
      </w:r>
    </w:p>
    <w:p>
      <w:r>
        <w:t>层级定位为天下局势、战略行军和长距离运输。美术方向采用原创的“东汉军府舆图＋绢本设色山水＋高可读性战略地图”，视角为高角度斜俯视。</w:t>
      </w:r>
    </w:p>
    <w:p>
      <w:pPr>
        <w:pStyle w:val="标题2"/>
      </w:pPr>
      <w:r>
        <w:t>6.1 显示与交互</w:t>
      </w:r>
    </w:p>
    <w:p>
      <w:pPr>
        <w:pStyle w:val="ListBullet"/>
      </w:pPr>
      <w:r>
        <w:t>必须显示海岸线、主要水系、太行山／秦岭／大别山／南岭等大型山系，以及平原、盆地、丘陵、荒地和大型河谷。</w:t>
      </w:r>
    </w:p>
    <w:p>
      <w:pPr>
        <w:pStyle w:val="ListBullet"/>
      </w:pPr>
      <w:r>
        <w:t>主要城市、关隘、港口、战略道路和大型军团按情报权限显示。</w:t>
      </w:r>
    </w:p>
    <w:p>
      <w:pPr>
        <w:pStyle w:val="ListBullet"/>
      </w:pPr>
      <w:r>
        <w:t>山脉限制行军、河流影响运输、关口控制道路、平原支持农业与军团活动。</w:t>
      </w:r>
    </w:p>
    <w:p>
      <w:pPr>
        <w:pStyle w:val="ListBullet"/>
      </w:pPr>
      <w:r>
        <w:t>点击战略对象进入区域层；进入点必须保持同一对象ID、位置与连接关系。</w:t>
      </w:r>
    </w:p>
    <w:p>
      <w:pPr>
        <w:pStyle w:val="标题2"/>
      </w:pPr>
      <w:r>
        <w:t>6.2 禁止项与验收</w:t>
      </w:r>
    </w:p>
    <w:p>
      <w:pPr>
        <w:pStyle w:val="ListBullet"/>
      </w:pPr>
      <w:r>
        <w:t>不得显示每个县、村庄、农田、矿脉、普通建筑、普通人物或精确库存价格。</w:t>
      </w:r>
    </w:p>
    <w:p>
      <w:pPr>
        <w:pStyle w:val="ListBullet"/>
      </w:pPr>
      <w:r>
        <w:t>不得复制商业游戏的地图画面、笔触、UI、图标、字体或资产。</w:t>
      </w:r>
    </w:p>
    <w:p>
      <w:pPr>
        <w:pStyle w:val="ListBullet"/>
      </w:pPr>
      <w:r>
        <w:t>验收以山河战略可读性、主要路径连续性、情报不泄露和缩放锚点一致为准。</w:t>
      </w:r>
    </w:p>
    <w:p>
      <w:pPr>
        <w:pStyle w:val="标题1"/>
      </w:pPr>
      <w:r>
        <w:t>7. 州郡区域图美术规范</w:t>
      </w:r>
    </w:p>
    <w:p>
      <w:pPr>
        <w:pStyle w:val="ListBullet"/>
      </w:pPr>
      <w:r>
        <w:t>显示州、郡国和县的空间关系，以及郡治、国治、县城、关隘、港口、渡口、驿站和大型坞堡。</w:t>
      </w:r>
    </w:p>
    <w:p>
      <w:pPr>
        <w:pStyle w:val="ListBullet"/>
      </w:pPr>
      <w:r>
        <w:t>显示官道、商路、山路、水运、支流、山岭、河谷，以及大型农耕／牧业／林业／矿业潜力区。</w:t>
      </w:r>
    </w:p>
    <w:p>
      <w:pPr>
        <w:pStyle w:val="ListBullet"/>
      </w:pPr>
      <w:r>
        <w:t>地方驻军、战略设施、战争前线和危险区受情报门控。</w:t>
      </w:r>
    </w:p>
    <w:p>
      <w:pPr>
        <w:pStyle w:val="ListBullet"/>
      </w:pPr>
      <w:r>
        <w:t>郡治视觉规模大于县城；关隘跨越真实道路或山口；港口与水面相连；道路粗细表达等级而非装饰。</w:t>
      </w:r>
    </w:p>
    <w:p>
      <w:pPr>
        <w:pStyle w:val="标题1"/>
      </w:pPr>
      <w:r>
        <w:t>8. 县域乡野图美术规范</w:t>
      </w:r>
    </w:p>
    <w:p>
      <w:pPr>
        <w:pStyle w:val="ListBullet"/>
      </w:pPr>
      <w:r>
        <w:t>显示县城城门方向、乡亭里村、庄园坞堡、农田类型、水利、资源与生产设施。</w:t>
      </w:r>
    </w:p>
    <w:p>
      <w:pPr>
        <w:pStyle w:val="ListBullet"/>
      </w:pPr>
      <w:r>
        <w:t>显示官道、村路、小径、桥梁、渡口、废墟和隐秘地点，以及施工和废弃状态。</w:t>
      </w:r>
    </w:p>
    <w:p>
      <w:pPr>
        <w:pStyle w:val="ListBullet"/>
      </w:pPr>
      <w:r>
        <w:t>人物、商队、军队、差役、流民按对象或聚合规则显示。</w:t>
      </w:r>
    </w:p>
    <w:p>
      <w:pPr>
        <w:pStyle w:val="ListBullet"/>
      </w:pPr>
      <w:r>
        <w:t>未知区域仅显示基础地貌；未发现资源不出现设施；过期信息褪色；疑似目标只显示范围。</w:t>
      </w:r>
    </w:p>
    <w:p>
      <w:r>
        <w:br w:type="page"/>
      </w:r>
    </w:p>
    <w:p>
      <w:pPr>
        <w:pStyle w:val="标题1"/>
      </w:pPr>
      <w:r>
        <w:t>9. 城镇空间图美术规范</w:t>
      </w:r>
    </w:p>
    <w:p>
      <w:pPr>
        <w:pStyle w:val="规则"/>
        <w:shd w:fill="EEF1EE"/>
        <w:pBdr>
          <w:bottom w:val="single" w:sz="6" w:space="2" w:color="B7AA92"/>
        </w:pBdr>
      </w:pPr>
      <w:r>
        <w:t>城镇不是建筑功能菜单的背景。可进入建筑必须真实存在于街区空间中，并读取持久设施事实。</w:t>
      </w:r>
    </w:p>
    <w:p>
      <w:pPr>
        <w:pStyle w:val="ListBullet"/>
      </w:pPr>
      <w:r>
        <w:t>城墙、城门、角楼、护城河、主干道、巷道、桥梁与排水沟渠。</w:t>
      </w:r>
    </w:p>
    <w:p>
      <w:pPr>
        <w:pStyle w:val="ListBullet"/>
      </w:pPr>
      <w:r>
        <w:t>官署、市场、居住、手工业、军营等街区，以及城外市集、寺观、墓地和农田。</w:t>
      </w:r>
    </w:p>
    <w:p>
      <w:pPr>
        <w:pStyle w:val="ListBullet"/>
      </w:pPr>
      <w:r>
        <w:t>城外道路、河流沟渠、城门方向与县域图一致；主要建筑街区位置固定。</w:t>
      </w:r>
    </w:p>
    <w:p>
      <w:pPr>
        <w:pStyle w:val="ListBullet"/>
      </w:pPr>
      <w:r>
        <w:t>点击建筑前可见真实门面和入口；开放、受限、停运和已进入等状态由世界数据决定。</w:t>
      </w:r>
    </w:p>
    <w:p>
      <w:pPr>
        <w:pStyle w:val="标题1"/>
      </w:pPr>
      <w:r>
        <w:t>10. 村庄、庄园与坞堡规范</w:t>
      </w:r>
    </w:p>
    <w:p>
      <w:pPr>
        <w:pStyle w:val="标题2"/>
      </w:pPr>
      <w:r>
        <w:t>10.1 村庄</w:t>
      </w:r>
    </w:p>
    <w:p>
      <w:pPr>
        <w:pStyle w:val="ListBullet"/>
      </w:pPr>
      <w:r>
        <w:t>家庭住宅、粮仓、柴房、牲畜棚、水井、池塘、磨坊、晒场。</w:t>
      </w:r>
    </w:p>
    <w:p>
      <w:pPr>
        <w:pStyle w:val="ListBullet"/>
      </w:pPr>
      <w:r>
        <w:t>田地、菜地、桑园、果园、村祠、亭舍、村路、田埂、沟渠。</w:t>
      </w:r>
    </w:p>
    <w:p>
      <w:pPr>
        <w:pStyle w:val="ListBullet"/>
      </w:pPr>
      <w:r>
        <w:t>居民、牲畜、农具以及荒田、空屋和灾害覆盖状态。</w:t>
      </w:r>
    </w:p>
    <w:p>
      <w:pPr>
        <w:pStyle w:val="标题2"/>
      </w:pPr>
      <w:r>
        <w:t>10.2 豪族庄园与坞堡</w:t>
      </w:r>
    </w:p>
    <w:p>
      <w:pPr>
        <w:pStyle w:val="ListBullet"/>
      </w:pPr>
      <w:r>
        <w:t>围墙、门楼、瞭望设施、主宅、客舍、仓库、账房。</w:t>
      </w:r>
    </w:p>
    <w:p>
      <w:pPr>
        <w:pStyle w:val="ListBullet"/>
      </w:pPr>
      <w:r>
        <w:t>佃户区、工匠区、私兵训练场、武器库、水利设施、祠堂、族学和墓地。</w:t>
      </w:r>
    </w:p>
    <w:p>
      <w:pPr>
        <w:pStyle w:val="ListBullet"/>
      </w:pPr>
      <w:r>
        <w:t>房屋、田地和仓库对应数据对象；家庭数量、人口和库存不得画死。</w:t>
      </w:r>
    </w:p>
    <w:p>
      <w:pPr>
        <w:pStyle w:val="标题1"/>
      </w:pPr>
      <w:r>
        <w:t>11. 建筑院落与室内规范</w:t>
      </w:r>
    </w:p>
    <w:p>
      <w:r>
        <w:t>通用空间至少包含建筑外观或院门、前后院、主要房间、在场人物、工作点、可见库存、关联设施入口和运营状态。</w:t>
      </w:r>
    </w:p>
    <w:p>
      <w:pPr>
        <w:pStyle w:val="标题2"/>
      </w:pPr>
      <w:r>
        <w:t>11.1 中山商号主堂</w:t>
      </w:r>
    </w:p>
    <w:p>
      <w:pPr>
        <w:pStyle w:val="ListBullet"/>
      </w:pPr>
      <w:r>
        <w:t>门面、独立招牌、会客区、掌柜与账房桌。</w:t>
      </w:r>
    </w:p>
    <w:p>
      <w:pPr>
        <w:pStyle w:val="ListBullet"/>
      </w:pPr>
      <w:r>
        <w:t>账簿、算盘、契约、地图、货样、任务或告示区。</w:t>
      </w:r>
    </w:p>
    <w:p>
      <w:pPr>
        <w:pStyle w:val="ListBullet"/>
      </w:pPr>
      <w:r>
        <w:t>仓库与车马场入口、商号成员与访客；入口朝向和相对位置继承街区锚点。</w:t>
      </w:r>
    </w:p>
    <w:p>
      <w:pPr>
        <w:pStyle w:val="标题2"/>
      </w:pPr>
      <w:r>
        <w:t>11.2 仓库</w:t>
      </w:r>
    </w:p>
    <w:p>
      <w:pPr>
        <w:pStyle w:val="ListBullet"/>
      </w:pPr>
      <w:r>
        <w:t>分区货架、装卸区、看守、搬运工、防火防潮设施和门禁。</w:t>
      </w:r>
    </w:p>
    <w:p>
      <w:pPr>
        <w:pStyle w:val="ListBullet"/>
      </w:pPr>
      <w:r>
        <w:t>粮食、布帛、盐铁和药材按类型表现；不足、堆满、损坏与失窃用状态覆盖，不绘制精确数量。</w:t>
      </w:r>
    </w:p>
    <w:p>
      <w:r>
        <w:br w:type="page"/>
      </w:r>
    </w:p>
    <w:p>
      <w:pPr>
        <w:pStyle w:val="标题1"/>
      </w:pPr>
      <w:r>
        <w:t>12. 战场地图继承规范</w:t>
      </w:r>
    </w:p>
    <w:p>
      <w:pPr>
        <w:pStyle w:val="ListBullet"/>
      </w:pPr>
      <w:r>
        <w:t>野外战场继承山坡、树林、河流、道路、村庄、农田、桥梁、渡口和高地。</w:t>
      </w:r>
    </w:p>
    <w:p>
      <w:pPr>
        <w:pStyle w:val="ListBullet"/>
      </w:pPr>
      <w:r>
        <w:t>城市攻防继承城墙、城门、护城河、城楼、城内道路、关键建筑、仓库和居民区。</w:t>
      </w:r>
    </w:p>
    <w:p>
      <w:pPr>
        <w:pStyle w:val="ListBullet"/>
      </w:pPr>
      <w:r>
        <w:t>部队、军旗、阵型、辎重、营寨、工事、攻城器械、火势、烟尘、尸体与损毁为战斗动态层。</w:t>
      </w:r>
    </w:p>
    <w:p>
      <w:pPr>
        <w:pStyle w:val="规则"/>
        <w:shd w:fill="EEF1EE"/>
        <w:pBdr>
          <w:bottom w:val="single" w:sz="6" w:space="2" w:color="B7AA92"/>
        </w:pBdr>
      </w:pPr>
      <w:r>
        <w:t>战场中的桥就是原世界中的桥。桥毁、建筑火灾和道路阻断必须回写同一世界账；战斗结束后不得自动消失。</w:t>
      </w:r>
    </w:p>
    <w:p>
      <w:pPr>
        <w:pStyle w:val="标题1"/>
      </w:pPr>
      <w:r>
        <w:t>13. 专题地图覆盖规范</w:t>
      </w:r>
    </w:p>
    <w:p>
      <w:pPr>
        <w:pStyle w:val="表题"/>
        <w:keepNext/>
      </w:pPr>
      <w:r>
        <w:t>表5 专题地图覆盖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91"/>
        <w:gridCol w:w="2835"/>
        <w:gridCol w:w="2835"/>
        <w:gridCol w:w="2268"/>
      </w:tblGrid>
      <w:tr>
        <w:trPr>
          <w:tblHeader w:val="true"/>
        </w:trPr>
        <w:tc>
          <w:tcPr>
            <w:tcW w:type="dxa" w:w="119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视图</w:t>
            </w:r>
          </w:p>
        </w:tc>
        <w:tc>
          <w:tcPr>
            <w:tcW w:type="dxa" w:w="283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覆盖信息</w:t>
            </w:r>
          </w:p>
        </w:tc>
        <w:tc>
          <w:tcPr>
            <w:tcW w:type="dxa" w:w="283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色彩／透明度</w:t>
            </w:r>
          </w:p>
        </w:tc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权限</w:t>
            </w:r>
          </w:p>
        </w:tc>
      </w:tr>
      <w:tr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行政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辖区、驻地、权属、权限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低饱和边界色，30%—45%透明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行政认知与授权</w:t>
            </w:r>
          </w:p>
        </w:tc>
      </w:tr>
      <w:tr>
        <w:tc>
          <w:tcPr>
            <w:tcW w:type="dxa" w:w="119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军事</w:t>
            </w:r>
          </w:p>
        </w:tc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军队、补给、威胁、工事</w:t>
            </w:r>
          </w:p>
        </w:tc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克制红褐／蓝灰，危险优先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带时间的观察快照</w:t>
            </w:r>
          </w:p>
        </w:tc>
      </w:tr>
      <w:tr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商业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市场、价格区间、商路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赭黄与青绿，避免显示精确未知值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个人或组织商业情报</w:t>
            </w:r>
          </w:p>
        </w:tc>
      </w:tr>
      <w:tr>
        <w:tc>
          <w:tcPr>
            <w:tcW w:type="dxa" w:w="119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资源生产</w:t>
            </w:r>
          </w:p>
        </w:tc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已知资源、设施、产能状态</w:t>
            </w:r>
          </w:p>
        </w:tc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图标＋半透明热区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勘探与生产记录</w:t>
            </w:r>
          </w:p>
        </w:tc>
      </w:tr>
      <w:tr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人口民生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人口压力、流民、灾情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连续色带，限制同屏标签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户籍、调查或传闻</w:t>
            </w:r>
          </w:p>
        </w:tc>
      </w:tr>
      <w:tr>
        <w:tc>
          <w:tcPr>
            <w:tcW w:type="dxa" w:w="119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建设</w:t>
            </w:r>
          </w:p>
        </w:tc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项目、选址、施工、阻塞</w:t>
            </w:r>
          </w:p>
        </w:tc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轮廓与进度覆盖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建设委任权限</w:t>
            </w:r>
          </w:p>
        </w:tc>
      </w:tr>
      <w:tr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情报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未知、疑似、过期、较新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雾、虚线、褪色、正常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来源、时间、可信度</w:t>
            </w:r>
          </w:p>
        </w:tc>
      </w:tr>
    </w:tbl>
    <w:p>
      <w:pPr>
        <w:spacing w:after="0"/>
      </w:pPr>
    </w:p>
    <w:p>
      <w:r>
        <w:t>专题视图必须复用同一底图和实体，只做筛选、聚合、标注与授权显示。标签采用优先级、避让、聚合和逐级展开；不得为专题模式重绘另一张地图。</w:t>
      </w:r>
    </w:p>
    <w:p>
      <w:pPr>
        <w:pStyle w:val="标题1"/>
      </w:pPr>
      <w:r>
        <w:t>14. 情报、探索与未知状态</w:t>
      </w:r>
    </w:p>
    <w:p>
      <w:pPr>
        <w:pStyle w:val="表题"/>
        <w:keepNext/>
      </w:pPr>
      <w:r>
        <w:t>表6 情报状态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3231"/>
        <w:gridCol w:w="3628"/>
      </w:tblGrid>
      <w:tr>
        <w:trPr>
          <w:tblHeader w:val="true"/>
        </w:trPr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状态</w:t>
            </w:r>
          </w:p>
        </w:tc>
        <w:tc>
          <w:tcPr>
            <w:tcW w:type="dxa" w:w="323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含义</w:t>
            </w:r>
          </w:p>
        </w:tc>
        <w:tc>
          <w:tcPr>
            <w:tcW w:type="dxa" w:w="362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视觉表现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真实存在但未知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主体尚未获得信息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薄雾、留白或绢纸纹理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疑似存在</w:t>
            </w:r>
          </w:p>
        </w:tc>
        <w:tc>
          <w:tcPr>
            <w:tcW w:type="dxa" w:w="32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仅有模糊线索</w:t>
            </w:r>
          </w:p>
        </w:tc>
        <w:tc>
          <w:tcPr>
            <w:tcW w:type="dxa" w:w="362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大致范围、不确定轮廓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已知但过期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曾掌握但可能变化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褪色、模糊、显示时间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已知且较新</w:t>
            </w:r>
          </w:p>
        </w:tc>
        <w:tc>
          <w:tcPr>
            <w:tcW w:type="dxa" w:w="32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当前可信度较高</w:t>
            </w:r>
          </w:p>
        </w:tc>
        <w:tc>
          <w:tcPr>
            <w:tcW w:type="dxa" w:w="362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清晰轮廓、正常饱和度</w:t>
            </w:r>
          </w:p>
        </w:tc>
      </w:tr>
    </w:tbl>
    <w:p>
      <w:pPr>
        <w:spacing w:after="0"/>
      </w:pPr>
    </w:p>
    <w:p>
      <w:pPr>
        <w:pStyle w:val="ListBullet"/>
      </w:pPr>
      <w:r>
        <w:t>未发现矿脉不显示矿洞；疑似匪患不显示精确寨门。</w:t>
      </w:r>
    </w:p>
    <w:p>
      <w:pPr>
        <w:pStyle w:val="ListBullet"/>
      </w:pPr>
      <w:r>
        <w:t>UI显示信息来源、观察时间与可信度；情报迷雾为独立图层。</w:t>
      </w:r>
    </w:p>
    <w:p>
      <w:pPr>
        <w:pStyle w:val="ListBullet"/>
      </w:pPr>
      <w:r>
        <w:t>信息显示不改变世界对象；视图不得绕过个人知识、组织授权与时效。</w:t>
      </w:r>
    </w:p>
    <w:p>
      <w:r>
        <w:br w:type="page"/>
      </w:r>
    </w:p>
    <w:p>
      <w:pPr>
        <w:pStyle w:val="标题1"/>
      </w:pPr>
      <w:r>
        <w:t>15. 地形、水系与道路标准</w:t>
      </w:r>
    </w:p>
    <w:p>
      <w:pPr>
        <w:pStyle w:val="标题2"/>
      </w:pPr>
      <w:r>
        <w:t>15.1 山地</w:t>
      </w:r>
    </w:p>
    <w:p>
      <w:r>
        <w:t>天下图显示山系走向，州郡图显示山岭河谷，县域图显示坡地树林与通行口，战场图显示高低差和遮挡。山体走向不得跨层级改变。</w:t>
      </w:r>
    </w:p>
    <w:p>
      <w:pPr>
        <w:pStyle w:val="标题2"/>
      </w:pPr>
      <w:r>
        <w:t>15.2 河流</w:t>
      </w:r>
    </w:p>
    <w:p>
      <w:r>
        <w:t>河流中心线跨层一致；放大时增加河岸、浅滩、支流、桥梁和渡口。主河道流向不得改变，港口必须临水；宽度可细化但拓扑不变。</w:t>
      </w:r>
    </w:p>
    <w:p>
      <w:pPr>
        <w:pStyle w:val="标题2"/>
      </w:pPr>
      <w:r>
        <w:t>15.3 道路</w:t>
      </w:r>
    </w:p>
    <w:p>
      <w:pPr>
        <w:pStyle w:val="ListBullet"/>
      </w:pPr>
      <w:r>
        <w:t>结构化字段：等级、宽度、容量、速度系数、季节与天气影响、控制权、施工和损坏状态。</w:t>
      </w:r>
    </w:p>
    <w:p>
      <w:pPr>
        <w:pStyle w:val="ListBullet"/>
      </w:pPr>
      <w:r>
        <w:t>美术通过路宽、颜色、车辙、桥梁等级与维护状态表达等级。</w:t>
      </w:r>
    </w:p>
    <w:p>
      <w:pPr>
        <w:pStyle w:val="ListBullet"/>
      </w:pPr>
      <w:r>
        <w:t>道路参考层与正式游戏道路资产分离，禁止以装饰线替代路径网络。</w:t>
      </w:r>
    </w:p>
    <w:p>
      <w:pPr>
        <w:pStyle w:val="标题1"/>
      </w:pPr>
      <w:r>
        <w:t>16. 城市、建筑和设施标准</w:t>
      </w:r>
    </w:p>
    <w:p>
      <w:pPr>
        <w:pStyle w:val="表题"/>
        <w:keepNext/>
      </w:pPr>
      <w:r>
        <w:t>表7 城市LOD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860"/>
      </w:tblGrid>
      <w:tr>
        <w:trPr>
          <w:tblHeader w:val="true"/>
        </w:trPr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层级</w:t>
            </w:r>
          </w:p>
        </w:tc>
        <w:tc>
          <w:tcPr>
            <w:tcW w:type="dxa" w:w="686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城市表现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天下图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抽象城市符号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州郡图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城池轮廓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县域图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城墙、城门和城外道路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城镇图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完整街区和实体建筑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建筑图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院落和房间</w:t>
            </w:r>
          </w:p>
        </w:tc>
      </w:tr>
    </w:tbl>
    <w:p>
      <w:pPr>
        <w:spacing w:after="0"/>
      </w:pPr>
    </w:p>
    <w:p>
      <w:pPr>
        <w:pStyle w:val="ListBullet"/>
      </w:pPr>
      <w:r>
        <w:t>建议图层：主体、屋顶、入口、招牌、旗帜、货物、人物、阴影、所有权、施工、损坏、火灾、废弃。</w:t>
      </w:r>
    </w:p>
    <w:p>
      <w:pPr>
        <w:pStyle w:val="ListBullet"/>
      </w:pPr>
      <w:r>
        <w:t>文字、势力旗帜、所有者颜色、商品数量、人物、火灾、损毁和围城不得永久画入主体。</w:t>
      </w:r>
    </w:p>
    <w:p>
      <w:pPr>
        <w:pStyle w:val="标题1"/>
      </w:pPr>
      <w:r>
        <w:t>17. 人物、军队、车辆和商队标准</w:t>
      </w:r>
    </w:p>
    <w:p>
      <w:pPr>
        <w:pStyle w:val="ListBullet"/>
      </w:pPr>
      <w:r>
        <w:t>对象含玩家、军团、斥候、商队、运输队、流民、舰队、差役、居民、牲畜和车辆。</w:t>
      </w:r>
    </w:p>
    <w:p>
      <w:pPr>
        <w:pStyle w:val="ListBullet"/>
      </w:pPr>
      <w:r>
        <w:t>天下图显示军团或大队；州郡显示军队、商队、舰队；县域显示队伍与主要人物；城镇／村庄显示具体人物车辆牲畜；院落显示角色与工作状态。</w:t>
      </w:r>
    </w:p>
    <w:p>
      <w:pPr>
        <w:pStyle w:val="ListBullet"/>
      </w:pPr>
      <w:r>
        <w:t>单位使用独立阴影和标准锚点；势力颜色不进入主体；聚合不改变实际单位坐标；位置必须符合道路、河流与地形。</w:t>
      </w:r>
    </w:p>
    <w:p>
      <w:pPr>
        <w:pStyle w:val="标题1"/>
      </w:pPr>
      <w:r>
        <w:t>18. 建设、损坏、火灾和废弃状态</w:t>
      </w:r>
    </w:p>
    <w:p>
      <w:pPr>
        <w:pStyle w:val="表题"/>
        <w:keepNext/>
      </w:pPr>
      <w:r>
        <w:t>表8 动态状态表现矩阵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61"/>
        <w:gridCol w:w="4195"/>
        <w:gridCol w:w="3572"/>
      </w:tblGrid>
      <w:tr>
        <w:trPr>
          <w:tblHeader w:val="true"/>
        </w:trPr>
        <w:tc>
          <w:tcPr>
            <w:tcW w:type="dxa" w:w="136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状态</w:t>
            </w:r>
          </w:p>
        </w:tc>
        <w:tc>
          <w:tcPr>
            <w:tcW w:type="dxa" w:w="419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主体／覆盖建议</w:t>
            </w:r>
          </w:p>
        </w:tc>
        <w:tc>
          <w:tcPr>
            <w:tcW w:type="dxa" w:w="3572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系统影响登记</w:t>
            </w:r>
          </w:p>
        </w:tc>
      </w:tr>
      <w:tr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正常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关闭</w:t>
            </w:r>
          </w:p>
        </w:tc>
        <w:tc>
          <w:tcPr>
            <w:tcW w:type="dxa" w:w="419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建设中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扩建</w:t>
            </w:r>
          </w:p>
        </w:tc>
        <w:tc>
          <w:tcPr>
            <w:tcW w:type="dxa" w:w="419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损坏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火灾</w:t>
            </w:r>
          </w:p>
        </w:tc>
        <w:tc>
          <w:tcPr>
            <w:tcW w:type="dxa" w:w="419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废弃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被占用</w:t>
            </w:r>
          </w:p>
        </w:tc>
        <w:tc>
          <w:tcPr>
            <w:tcW w:type="dxa" w:w="419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被围困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被淹</w:t>
            </w:r>
          </w:p>
        </w:tc>
        <w:tc>
          <w:tcPr>
            <w:tcW w:type="dxa" w:w="419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被劫掠</w:t>
            </w:r>
          </w:p>
        </w:tc>
        <w:tc>
          <w:tcPr>
            <w:tcW w:type="dxa" w:w="41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  <w:tr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未知</w:t>
            </w:r>
          </w:p>
        </w:tc>
        <w:tc>
          <w:tcPr>
            <w:tcW w:type="dxa" w:w="419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优先保留主体；脚手架、火焰、烟雾、焦土、碎石等使用独立覆盖</w:t>
            </w:r>
          </w:p>
        </w:tc>
        <w:tc>
          <w:tcPr>
            <w:tcW w:type="dxa" w:w="357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碰撞、通行、入口、功能、人口、库存、所有权按07_动态状态登记</w:t>
            </w:r>
          </w:p>
        </w:tc>
      </w:tr>
    </w:tbl>
    <w:p>
      <w:pPr>
        <w:spacing w:after="0"/>
      </w:pP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8"/>
      </w:tblGrid>
      <w:tr>
        <w:tc>
          <w:tcPr>
            <w:tcW w:type="dxa" w:w="9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6F0"/>
          </w:tcPr>
          <w:p>
            <w:pPr>
              <w:spacing w:before="560" w:after="560"/>
              <w:jc w:val="center"/>
            </w:pPr>
            <w:r>
              <w:rPr>
                <w:rFonts w:ascii="Arial" w:hAnsi="Arial" w:eastAsia="Microsoft YaHei"/>
                <w:b/>
                <w:color w:val="777777"/>
                <w:sz w:val="24"/>
              </w:rPr>
              <w:t>待项目确认图</w:t>
            </w:r>
          </w:p>
        </w:tc>
      </w:tr>
    </w:tbl>
    <w:p>
      <w:pPr>
        <w:pStyle w:val="图题"/>
        <w:jc w:val="center"/>
      </w:pPr>
      <w:r>
        <w:t>图6 建筑主体与状态覆盖层示意</w:t>
      </w:r>
    </w:p>
    <w:p>
      <w:r>
        <w:br w:type="page"/>
      </w:r>
    </w:p>
    <w:p>
      <w:pPr>
        <w:pStyle w:val="标题1"/>
      </w:pPr>
      <w:r>
        <w:t>19. PSB／PSD分层规范</w:t>
      </w:r>
    </w:p>
    <w:p>
      <w:pPr>
        <w:pStyle w:val="表题"/>
        <w:keepNext/>
      </w:pPr>
      <w:r>
        <w:t>表9 PSB／PSD标准图层树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24"/>
        <w:gridCol w:w="1701"/>
        <w:gridCol w:w="5102"/>
      </w:tblGrid>
      <w:tr>
        <w:trPr>
          <w:tblHeader w:val="true"/>
        </w:trPr>
        <w:tc>
          <w:tcPr>
            <w:tcW w:type="dxa" w:w="2324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组名</w:t>
            </w:r>
          </w:p>
        </w:tc>
        <w:tc>
          <w:tcPr>
            <w:tcW w:type="dxa" w:w="170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中文用途</w:t>
            </w:r>
          </w:p>
        </w:tc>
        <w:tc>
          <w:tcPr>
            <w:tcW w:type="dxa" w:w="5102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子层</w:t>
            </w:r>
          </w:p>
        </w:tc>
      </w:tr>
      <w:t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00_GUIDE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辅助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world_boundary, world_grid, zoom_regions, scale_reference</w:t>
            </w:r>
          </w:p>
        </w:tc>
      </w:tr>
      <w:tr>
        <w:tc>
          <w:tcPr>
            <w:tcW w:type="dxa" w:w="232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01_SKY_DISTANCE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远景</w:t>
            </w:r>
          </w:p>
        </w:tc>
        <w:tc>
          <w:tcPr>
            <w:tcW w:type="dxa" w:w="510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sky, distant_cloud, distant_mountain</w:t>
            </w:r>
          </w:p>
        </w:tc>
      </w:tr>
      <w:t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02_TERRAIN_BASE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地形底色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base_land, plateau, basin, wasteland</w:t>
            </w:r>
          </w:p>
        </w:tc>
      </w:tr>
      <w:tr>
        <w:tc>
          <w:tcPr>
            <w:tcW w:type="dxa" w:w="232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03_MOUNTAIN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山体</w:t>
            </w:r>
          </w:p>
        </w:tc>
        <w:tc>
          <w:tcPr>
            <w:tcW w:type="dxa" w:w="510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major_mountain, ridge, hill, mountain_shadow</w:t>
            </w:r>
          </w:p>
        </w:tc>
      </w:tr>
      <w:t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04_PLAIN_LAND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平原土地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plain, farmland_reference, grassland, wetland</w:t>
            </w:r>
          </w:p>
        </w:tc>
      </w:tr>
      <w:tr>
        <w:tc>
          <w:tcPr>
            <w:tcW w:type="dxa" w:w="232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05_WATER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水系</w:t>
            </w:r>
          </w:p>
        </w:tc>
        <w:tc>
          <w:tcPr>
            <w:tcW w:type="dxa" w:w="510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sea, lake, major_river, tributary, water_shadow</w:t>
            </w:r>
          </w:p>
        </w:tc>
      </w:tr>
      <w:t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06_VEGETATION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植被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north_forest, south_forest, grass, marsh</w:t>
            </w:r>
          </w:p>
        </w:tc>
      </w:tr>
      <w:tr>
        <w:tc>
          <w:tcPr>
            <w:tcW w:type="dxa" w:w="232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07_ROAD_FIXED_REFERENCE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道路参考</w:t>
            </w:r>
          </w:p>
        </w:tc>
        <w:tc>
          <w:tcPr>
            <w:tcW w:type="dxa" w:w="510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major_road_reference, secondary_road_reference, water_route_reference, bridge_reference</w:t>
            </w:r>
          </w:p>
        </w:tc>
      </w:tr>
      <w:t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08_FIXED_LANDMARK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固定地标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natural_pass, canyon, island, fixed_rock</w:t>
            </w:r>
          </w:p>
        </w:tc>
      </w:tr>
      <w:tr>
        <w:tc>
          <w:tcPr>
            <w:tcW w:type="dxa" w:w="232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09_DYNAMIC_BUILDING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动态建筑</w:t>
            </w:r>
          </w:p>
        </w:tc>
        <w:tc>
          <w:tcPr>
            <w:tcW w:type="dxa" w:w="510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city, pass, port, bridge, building</w:t>
            </w:r>
          </w:p>
        </w:tc>
      </w:tr>
      <w:t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10_PERSON_UNIT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人物单位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player, army, caravan, civilian, vehicle, ship</w:t>
            </w:r>
          </w:p>
        </w:tc>
      </w:tr>
      <w:tr>
        <w:tc>
          <w:tcPr>
            <w:tcW w:type="dxa" w:w="232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11_FLAG_OWNER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旗帜权属</w:t>
            </w:r>
          </w:p>
        </w:tc>
        <w:tc>
          <w:tcPr>
            <w:tcW w:type="dxa" w:w="510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flag, owner_color, territory_overlay</w:t>
            </w:r>
          </w:p>
        </w:tc>
      </w:tr>
      <w:t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12_WEATHER_SEASON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天气季节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rain, snow, fog, seasonal_tone</w:t>
            </w:r>
          </w:p>
        </w:tc>
      </w:tr>
      <w:tr>
        <w:tc>
          <w:tcPr>
            <w:tcW w:type="dxa" w:w="232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13_FIRE_DAMAGE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火灾损毁</w:t>
            </w:r>
          </w:p>
        </w:tc>
        <w:tc>
          <w:tcPr>
            <w:tcW w:type="dxa" w:w="510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fire, smoke, rubble, scorched_land, flood</w:t>
            </w:r>
          </w:p>
        </w:tc>
      </w:tr>
      <w:t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14_INTELLIGENCE_FOG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情报迷雾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unknown, suspected, expired, known</w:t>
            </w:r>
          </w:p>
        </w:tc>
      </w:tr>
      <w:tr>
        <w:tc>
          <w:tcPr>
            <w:tcW w:type="dxa" w:w="232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15_UI_REFERENCE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UI参考</w:t>
            </w:r>
          </w:p>
        </w:tc>
        <w:tc>
          <w:tcPr>
            <w:tcW w:type="dxa" w:w="5102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selection, highlight, zoom_frame, label_reference</w:t>
            </w:r>
          </w:p>
        </w:tc>
      </w:tr>
    </w:tbl>
    <w:p>
      <w:pPr>
        <w:spacing w:after="0"/>
      </w:pPr>
    </w:p>
    <w:p>
      <w:pPr>
        <w:pStyle w:val="ListBullet"/>
      </w:pPr>
      <w:r>
        <w:t>辅助层不导出；动态组可独立关闭；阴影尽量独立；文字不进入底图。</w:t>
      </w:r>
    </w:p>
    <w:p>
      <w:pPr>
        <w:pStyle w:val="ListBullet"/>
      </w:pPr>
      <w:r>
        <w:t>关键矢量路径不得随意栅格化；智能对象保留源文件；参考路径与正式道路资产明确区分。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8"/>
      </w:tblGrid>
      <w:tr>
        <w:tc>
          <w:tcPr>
            <w:tcW w:type="dxa" w:w="9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6F0"/>
          </w:tcPr>
          <w:p>
            <w:pPr>
              <w:spacing w:before="560" w:after="560"/>
              <w:jc w:val="center"/>
            </w:pPr>
            <w:r>
              <w:rPr>
                <w:rFonts w:ascii="Arial" w:hAnsi="Arial" w:eastAsia="Microsoft YaHei"/>
                <w:b/>
                <w:color w:val="777777"/>
                <w:sz w:val="24"/>
              </w:rPr>
              <w:t>待项目确认图</w:t>
            </w:r>
          </w:p>
        </w:tc>
      </w:tr>
    </w:tbl>
    <w:p>
      <w:pPr>
        <w:pStyle w:val="图题"/>
        <w:jc w:val="center"/>
      </w:pPr>
      <w:r>
        <w:t>图4 PSB标准图层树</w:t>
      </w:r>
    </w:p>
    <w:p>
      <w:pPr>
        <w:pStyle w:val="标题1"/>
      </w:pPr>
      <w:r>
        <w:t>20. 透明对象与资产输出规范</w:t>
      </w:r>
    </w:p>
    <w:p>
      <w:pPr>
        <w:pStyle w:val="表题"/>
        <w:keepNext/>
      </w:pPr>
      <w:r>
        <w:t>表10 资产输出标准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35"/>
        <w:gridCol w:w="6293"/>
      </w:tblGrid>
      <w:tr>
        <w:trPr>
          <w:tblHeader w:val="true"/>
        </w:trPr>
        <w:tc>
          <w:tcPr>
            <w:tcW w:type="dxa" w:w="283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项目</w:t>
            </w:r>
          </w:p>
        </w:tc>
        <w:tc>
          <w:tcPr>
            <w:tcW w:type="dxa" w:w="6293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标准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预览确认稿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3840×2160 PNG</w:t>
            </w:r>
          </w:p>
        </w:tc>
      </w:tr>
      <w:tr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天下母版</w:t>
            </w:r>
          </w:p>
        </w:tc>
        <w:tc>
          <w:tcPr>
            <w:tcW w:type="dxa" w:w="6293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PSB，建议15360×8640或更高；最终值待确认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动态对象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透明PNG</w:t>
            </w:r>
          </w:p>
        </w:tc>
      </w:tr>
      <w:tr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色彩空间</w:t>
            </w:r>
          </w:p>
        </w:tc>
        <w:tc>
          <w:tcPr>
            <w:tcW w:type="dxa" w:w="6293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sRGB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主体位深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16位</w:t>
            </w:r>
          </w:p>
        </w:tc>
      </w:tr>
      <w:tr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引擎导出位深</w:t>
            </w:r>
          </w:p>
        </w:tc>
        <w:tc>
          <w:tcPr>
            <w:tcW w:type="dxa" w:w="6293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按引擎要求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透明边缘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不得有白边或黑边</w:t>
            </w:r>
          </w:p>
        </w:tc>
      </w:tr>
      <w:tr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阴影</w:t>
            </w:r>
          </w:p>
        </w:tc>
        <w:tc>
          <w:tcPr>
            <w:tcW w:type="dxa" w:w="6293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优先独立输出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文字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独立UI层</w:t>
            </w:r>
          </w:p>
        </w:tc>
      </w:tr>
      <w:tr>
        <w:tc>
          <w:tcPr>
            <w:tcW w:type="dxa" w:w="283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锚点</w:t>
            </w:r>
          </w:p>
        </w:tc>
        <w:tc>
          <w:tcPr>
            <w:tcW w:type="dxa" w:w="6293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登记到Excel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版本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可追踪</w:t>
            </w:r>
          </w:p>
        </w:tc>
      </w:tr>
    </w:tbl>
    <w:p>
      <w:pPr>
        <w:spacing w:after="0"/>
      </w:pPr>
    </w:p>
    <w:p>
      <w:pPr>
        <w:pStyle w:val="ListBullet"/>
      </w:pPr>
      <w:r>
        <w:t>统一PNG裁切与锚点规则；不以不透明背景替代透明对象。</w:t>
      </w:r>
    </w:p>
    <w:p>
      <w:pPr>
        <w:pStyle w:val="ListBullet"/>
      </w:pPr>
      <w:r>
        <w:t>输出后检查透明边缘、尺寸、锚点与Excel资产清单的一致性。</w:t>
      </w:r>
    </w:p>
    <w:p>
      <w:pPr>
        <w:pStyle w:val="标题1"/>
      </w:pPr>
      <w:r>
        <w:t>21. 文件命名和版本管理</w:t>
      </w:r>
    </w:p>
    <w:p>
      <w:r>
        <w:rPr>
          <w:rFonts w:ascii="Consolas" w:hAnsi="Consolas" w:eastAsia="Microsoft YaHei"/>
          <w:color w:val="8A5A2B"/>
          <w:sz w:val="19"/>
        </w:rPr>
        <w:t>terrain_north_plain_base_v001.psb</w:t>
        <w:br/>
        <w:t>river_yellow_main_v001.png</w:t>
        <w:br/>
        <w:t>city_zhongshan_normal_l01_v001.png</w:t>
        <w:br/>
        <w:t>city_zhongshan_damaged_l02_v001.png</w:t>
        <w:br/>
        <w:t>building_shop_zhongshan_normal_l04_v001.png</w:t>
        <w:br/>
        <w:t>overlay_fire_medium_v001.png</w:t>
        <w:br/>
        <w:t>overlay_intelligence_expired_v001.png</w:t>
      </w:r>
    </w:p>
    <w:p>
      <w:pPr>
        <w:pStyle w:val="ListBullet"/>
      </w:pPr>
      <w:r>
        <w:t>小写英文、下划线、无空格；版本使用三位数字。</w:t>
      </w:r>
    </w:p>
    <w:p>
      <w:pPr>
        <w:pStyle w:val="ListBullet"/>
      </w:pPr>
      <w:r>
        <w:t>禁止“最终版”“最新版”“新建文件”等不可追踪名称。</w:t>
      </w:r>
    </w:p>
    <w:p>
      <w:pPr>
        <w:pStyle w:val="ListBullet"/>
      </w:pPr>
      <w:r>
        <w:t>废弃资产不直接删除，须在资产表登记；每项正式资产具有唯一资产ID，并可追溯对象ID、状态与LOD。</w:t>
      </w:r>
    </w:p>
    <w:p>
      <w:r>
        <w:br w:type="page"/>
      </w:r>
    </w:p>
    <w:p>
      <w:pPr>
        <w:pStyle w:val="标题1"/>
      </w:pPr>
      <w:r>
        <w:t>22. LOD与缩放切换规则</w:t>
      </w:r>
    </w:p>
    <w:p>
      <w:pPr>
        <w:pStyle w:val="ListBullet"/>
      </w:pPr>
      <w:r>
        <w:t>每个对象登记最低和最高显示层级；城市由图标切换为轮廓和实体城镇。</w:t>
      </w:r>
    </w:p>
    <w:p>
      <w:pPr>
        <w:pStyle w:val="ListBullet"/>
      </w:pPr>
      <w:r>
        <w:t>道路逐级增加材质与边缘细节；河流增加河岸、浅滩和支流；单位允许聚合。</w:t>
      </w:r>
    </w:p>
    <w:p>
      <w:pPr>
        <w:pStyle w:val="ListBullet"/>
      </w:pPr>
      <w:r>
        <w:t>标签采用优先级、避让和聚合；切换可淡入淡出。</w:t>
      </w:r>
    </w:p>
    <w:p>
      <w:pPr>
        <w:pStyle w:val="ListBullet"/>
      </w:pPr>
      <w:r>
        <w:t>LOD不得修改世界坐标、道路连接或对象父子关系。</w:t>
      </w:r>
    </w:p>
    <w:p>
      <w:pPr>
        <w:pStyle w:val="标题1"/>
      </w:pPr>
      <w:r>
        <w:t>23. 光照、色彩和视角标准</w:t>
      </w:r>
    </w:p>
    <w:p>
      <w:pPr>
        <w:pStyle w:val="表题"/>
        <w:keepNext/>
      </w:pPr>
      <w:r>
        <w:t>表11 视觉基线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38"/>
        <w:gridCol w:w="6690"/>
      </w:tblGrid>
      <w:tr>
        <w:trPr>
          <w:tblHeader w:val="true"/>
        </w:trPr>
        <w:tc>
          <w:tcPr>
            <w:tcW w:type="dxa" w:w="243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项目</w:t>
            </w:r>
          </w:p>
        </w:tc>
        <w:tc>
          <w:tcPr>
            <w:tcW w:type="dxa" w:w="669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第一版建议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视觉方向</w:t>
            </w:r>
          </w:p>
        </w:tc>
        <w:tc>
          <w:tcPr>
            <w:tcW w:type="dxa" w:w="66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古代绢本设色山水与战略地图结合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视角</w:t>
            </w:r>
          </w:p>
        </w:tc>
        <w:tc>
          <w:tcPr>
            <w:tcW w:type="dxa" w:w="669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高角度斜俯视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默认光照</w:t>
            </w:r>
          </w:p>
        </w:tc>
        <w:tc>
          <w:tcPr>
            <w:tcW w:type="dxa" w:w="66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左上至右下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整体色彩</w:t>
            </w:r>
          </w:p>
        </w:tc>
        <w:tc>
          <w:tcPr>
            <w:tcW w:type="dxa" w:w="669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土黄、黛青、灰绿、河水青灰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天下层级</w:t>
            </w:r>
          </w:p>
        </w:tc>
        <w:tc>
          <w:tcPr>
            <w:tcW w:type="dxa" w:w="66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低对比，突出山河走势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局部层级</w:t>
            </w:r>
          </w:p>
        </w:tc>
        <w:tc>
          <w:tcPr>
            <w:tcW w:type="dxa" w:w="669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逐步增加材质、阴影与生活细节</w:t>
            </w:r>
          </w:p>
        </w:tc>
      </w:tr>
    </w:tbl>
    <w:p>
      <w:pPr>
        <w:spacing w:after="0"/>
      </w:pPr>
    </w:p>
    <w:p>
      <w:pPr>
        <w:pStyle w:val="ListBullet"/>
      </w:pPr>
      <w:r>
        <w:t>各层级光照方向一致；屋顶、城墙、道路比例保持统一。</w:t>
      </w:r>
    </w:p>
    <w:p>
      <w:pPr>
        <w:pStyle w:val="ListBullet"/>
      </w:pPr>
      <w:r>
        <w:t>气候区可有受控色差，但各层不得像完全不同的游戏。</w:t>
      </w:r>
    </w:p>
    <w:p>
      <w:pPr>
        <w:pStyle w:val="ListBullet"/>
      </w:pPr>
      <w:r>
        <w:t>可以借鉴战略地图的信息组织逻辑，不直接复制现有游戏的具体资产或UI。</w:t>
      </w:r>
    </w:p>
    <w:p>
      <w:pPr>
        <w:pStyle w:val="标题1"/>
      </w:pPr>
      <w:r>
        <w:t>24. 美术与程序交接</w:t>
      </w:r>
    </w:p>
    <w:p>
      <w:pPr>
        <w:pStyle w:val="ListBullet"/>
      </w:pPr>
      <w:r>
        <w:t>源文件PSB／PSD、预览PNG、透明对象PNG</w:t>
      </w:r>
    </w:p>
    <w:p>
      <w:pPr>
        <w:pStyle w:val="ListBullet"/>
      </w:pPr>
      <w:r>
        <w:t>地图坐标与对象锚点表、资产清单、状态列表、LOD规则</w:t>
      </w:r>
    </w:p>
    <w:p>
      <w:pPr>
        <w:pStyle w:val="ListBullet"/>
      </w:pPr>
      <w:r>
        <w:t>版本记录、已知问题、交付检查表</w:t>
      </w:r>
    </w:p>
    <w:p>
      <w:pPr>
        <w:pStyle w:val="规则"/>
        <w:shd w:fill="EEF1EE"/>
        <w:pBdr>
          <w:bottom w:val="single" w:sz="6" w:space="2" w:color="B7AA92"/>
        </w:pBdr>
      </w:pPr>
      <w:r>
        <w:t>冲突处理：画师不得自行移动对象，程序不得猜测坐标。由策划、地图负责人和美术负责人共同确认，并同步更新Excel与Word版本。</w:t>
      </w:r>
    </w:p>
    <w:p>
      <w:r>
        <w:t>程序不得从图片颜色反向猜测势力、所有权、道路等级、通行状态、建筑状态、情报状态、商品数量或人口数量；这些事实必须来自结构化数据。</w:t>
      </w:r>
    </w:p>
    <w:p>
      <w:r>
        <w:br w:type="page"/>
      </w:r>
    </w:p>
    <w:p>
      <w:pPr>
        <w:pStyle w:val="标题1"/>
      </w:pPr>
      <w:r>
        <w:t>25. 中山连续地图样板要求</w:t>
      </w:r>
    </w:p>
    <w:p>
      <w:pPr>
        <w:pStyle w:val="ListNumber"/>
      </w:pPr>
      <w:r>
        <w:t>东汉天下图中的中山位置</w:t>
      </w:r>
    </w:p>
    <w:p>
      <w:pPr>
        <w:pStyle w:val="ListNumber"/>
      </w:pPr>
      <w:r>
        <w:t>冀州—中山区域图</w:t>
      </w:r>
    </w:p>
    <w:p>
      <w:pPr>
        <w:pStyle w:val="ListNumber"/>
      </w:pPr>
      <w:r>
        <w:t>中山县域乡野图</w:t>
      </w:r>
    </w:p>
    <w:p>
      <w:pPr>
        <w:pStyle w:val="ListNumber"/>
      </w:pPr>
      <w:r>
        <w:t>中山城镇空间图</w:t>
      </w:r>
    </w:p>
    <w:p>
      <w:pPr>
        <w:pStyle w:val="ListNumber"/>
      </w:pPr>
      <w:r>
        <w:t>中山商号主堂院落图</w:t>
      </w:r>
    </w:p>
    <w:p>
      <w:pPr>
        <w:pStyle w:val="标题2"/>
      </w:pPr>
      <w:r>
        <w:t>25.1 连续锚点</w:t>
      </w:r>
    </w:p>
    <w:p>
      <w:pPr>
        <w:pStyle w:val="ListBullet"/>
      </w:pPr>
      <w:r>
        <w:t>同一条主要河流与同一组山岭</w:t>
      </w:r>
    </w:p>
    <w:p>
      <w:pPr>
        <w:pStyle w:val="ListBullet"/>
      </w:pPr>
      <w:r>
        <w:t>同一条主要官道与中山城位置</w:t>
      </w:r>
    </w:p>
    <w:p>
      <w:pPr>
        <w:pStyle w:val="ListBullet"/>
      </w:pPr>
      <w:r>
        <w:t>城门方向与城外道路方向</w:t>
      </w:r>
    </w:p>
    <w:p>
      <w:pPr>
        <w:pStyle w:val="ListBullet"/>
      </w:pPr>
      <w:r>
        <w:t>商号所在街区与入口方向</w:t>
      </w:r>
    </w:p>
    <w:p>
      <w:pPr>
        <w:pStyle w:val="ListBullet"/>
      </w:pPr>
      <w:r>
        <w:t>仓库和车马场的相对位置</w:t>
      </w:r>
    </w:p>
    <w:p>
      <w:pPr>
        <w:pStyle w:val="标题2"/>
      </w:pPr>
      <w:r>
        <w:t>25.2 禁止项</w:t>
      </w:r>
    </w:p>
    <w:p>
      <w:pPr>
        <w:pStyle w:val="ListBullet"/>
      </w:pPr>
      <w:r>
        <w:t>不得独立生成五张无关图片，或为构图随意移动河流。</w:t>
      </w:r>
    </w:p>
    <w:p>
      <w:pPr>
        <w:pStyle w:val="ListBullet"/>
      </w:pPr>
      <w:r>
        <w:t>不得在下一层重做道路拓扑、改变城门方向或移动商号街区。</w:t>
      </w:r>
    </w:p>
    <w:p>
      <w:pPr>
        <w:pStyle w:val="ListBullet"/>
      </w:pPr>
      <w:r>
        <w:t>不得以功能卡片代替城镇空间，不得在建筑近景改变入口朝向。</w:t>
      </w:r>
    </w:p>
    <w:p>
      <w:pPr>
        <w:pStyle w:val="警告"/>
        <w:shd w:fill="FFF2CC"/>
        <w:pBdr>
          <w:bottom w:val="single" w:sz="6" w:space="2" w:color="B7AA92"/>
        </w:pBdr>
      </w:pPr>
      <w:r>
        <w:t>考证边界：当前“中山国节点”仍是区域级代理点。具体年代、城址、水系与行政口径未确认前，不得把示意坐标写成历史定论。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8"/>
      </w:tblGrid>
      <w:tr>
        <w:tc>
          <w:tcPr>
            <w:tcW w:type="dxa" w:w="9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6F0"/>
          </w:tcPr>
          <w:p>
            <w:pPr>
              <w:spacing w:before="560" w:after="560"/>
              <w:jc w:val="center"/>
            </w:pPr>
            <w:r>
              <w:rPr>
                <w:rFonts w:ascii="Arial" w:hAnsi="Arial" w:eastAsia="Microsoft YaHei"/>
                <w:b/>
                <w:color w:val="777777"/>
                <w:sz w:val="24"/>
              </w:rPr>
              <w:t>待项目确认图</w:t>
            </w:r>
          </w:p>
        </w:tc>
      </w:tr>
    </w:tbl>
    <w:p>
      <w:pPr>
        <w:pStyle w:val="图题"/>
        <w:jc w:val="center"/>
      </w:pPr>
      <w:r>
        <w:t>图3 天下图至中山院落连续放大示意</w:t>
      </w:r>
    </w:p>
    <w:p>
      <w:pPr>
        <w:pStyle w:val="标题1"/>
      </w:pPr>
      <w:r>
        <w:t>26. 质量检查与验收</w:t>
      </w:r>
    </w:p>
    <w:p>
      <w:pPr>
        <w:pStyle w:val="表题"/>
        <w:keepNext/>
      </w:pPr>
      <w:r>
        <w:t>表12 质量验收总表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860"/>
      </w:tblGrid>
      <w:tr>
        <w:trPr>
          <w:tblHeader w:val="true"/>
        </w:trPr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验收域</w:t>
            </w:r>
          </w:p>
        </w:tc>
        <w:tc>
          <w:tcPr>
            <w:tcW w:type="dxa" w:w="686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检查内容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地理连续性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河流流向、山脉走势、城市位置、道路连接、桥港临水、城门与入口方向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视觉统一性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光照、屋顶与城墙比例、道路等级、色彩、视角、阴影、材质语言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技术拆分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动态对象、旗帜、所有权、人物、货物、火灾、损毁、阴影可独立；文字未画死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数据关联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对象ID、资产ID、锚点、LOD、状态编码、版本与坐标均与Excel一致</w:t>
            </w:r>
          </w:p>
        </w:tc>
      </w:tr>
    </w:tbl>
    <w:p>
      <w:pPr>
        <w:spacing w:after="0"/>
      </w:pPr>
    </w:p>
    <w:p>
      <w:pPr>
        <w:pStyle w:val="标题1"/>
      </w:pPr>
      <w:r>
        <w:t>27. 待确认事项</w:t>
      </w:r>
    </w:p>
    <w:p>
      <w:pPr>
        <w:pStyle w:val="表题"/>
        <w:keepNext/>
      </w:pPr>
      <w:r>
        <w:t>表13 待确认事项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3855"/>
        <w:gridCol w:w="1531"/>
        <w:gridCol w:w="1361"/>
        <w:gridCol w:w="1701"/>
      </w:tblGrid>
      <w:tr>
        <w:trPr>
          <w:tblHeader w:val="true"/>
        </w:trPr>
        <w:tc>
          <w:tcPr>
            <w:tcW w:type="dxa" w:w="68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编号</w:t>
            </w:r>
          </w:p>
        </w:tc>
        <w:tc>
          <w:tcPr>
            <w:tcW w:type="dxa" w:w="385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待确认事项</w:t>
            </w:r>
          </w:p>
        </w:tc>
        <w:tc>
          <w:tcPr>
            <w:tcW w:type="dxa" w:w="153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决策人</w:t>
            </w:r>
          </w:p>
        </w:tc>
        <w:tc>
          <w:tcPr>
            <w:tcW w:type="dxa" w:w="136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截止日期</w:t>
            </w:r>
          </w:p>
        </w:tc>
        <w:tc>
          <w:tcPr>
            <w:tcW w:type="dxa" w:w="170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结论／依据</w:t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3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游戏正式起始年份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2</w:t>
            </w:r>
          </w:p>
        </w:tc>
        <w:tc>
          <w:tcPr>
            <w:tcW w:type="dxa" w:w="385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东汉行政区采用的资料版本</w:t>
            </w:r>
          </w:p>
        </w:tc>
        <w:tc>
          <w:tcPr>
            <w:tcW w:type="dxa" w:w="15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3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地图覆盖边界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385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历史准确度与游戏化比例</w:t>
            </w:r>
          </w:p>
        </w:tc>
        <w:tc>
          <w:tcPr>
            <w:tcW w:type="dxa" w:w="15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3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中山样板具体年代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6</w:t>
            </w:r>
          </w:p>
        </w:tc>
        <w:tc>
          <w:tcPr>
            <w:tcW w:type="dxa" w:w="385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中山城址采用口径</w:t>
            </w:r>
          </w:p>
        </w:tc>
        <w:tc>
          <w:tcPr>
            <w:tcW w:type="dxa" w:w="15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7</w:t>
            </w:r>
          </w:p>
        </w:tc>
        <w:tc>
          <w:tcPr>
            <w:tcW w:type="dxa" w:w="3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中山周边水系采用口径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8</w:t>
            </w:r>
          </w:p>
        </w:tc>
        <w:tc>
          <w:tcPr>
            <w:tcW w:type="dxa" w:w="385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天下母版最终分辨率</w:t>
            </w:r>
          </w:p>
        </w:tc>
        <w:tc>
          <w:tcPr>
            <w:tcW w:type="dxa" w:w="15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9</w:t>
            </w:r>
          </w:p>
        </w:tc>
        <w:tc>
          <w:tcPr>
            <w:tcW w:type="dxa" w:w="3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游戏引擎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10</w:t>
            </w:r>
          </w:p>
        </w:tc>
        <w:tc>
          <w:tcPr>
            <w:tcW w:type="dxa" w:w="385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2D或2.5D表现形式</w:t>
            </w:r>
          </w:p>
        </w:tc>
        <w:tc>
          <w:tcPr>
            <w:tcW w:type="dxa" w:w="15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11</w:t>
            </w:r>
          </w:p>
        </w:tc>
        <w:tc>
          <w:tcPr>
            <w:tcW w:type="dxa" w:w="3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单位移动粒度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12</w:t>
            </w:r>
          </w:p>
        </w:tc>
        <w:tc>
          <w:tcPr>
            <w:tcW w:type="dxa" w:w="385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战场展开方式</w:t>
            </w:r>
          </w:p>
        </w:tc>
        <w:tc>
          <w:tcPr>
            <w:tcW w:type="dxa" w:w="15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13</w:t>
            </w:r>
          </w:p>
        </w:tc>
        <w:tc>
          <w:tcPr>
            <w:tcW w:type="dxa" w:w="3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最终LOD切换阈值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14</w:t>
            </w:r>
          </w:p>
        </w:tc>
        <w:tc>
          <w:tcPr>
            <w:tcW w:type="dxa" w:w="385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是否采用真实经纬度投影</w:t>
            </w:r>
          </w:p>
        </w:tc>
        <w:tc>
          <w:tcPr>
            <w:tcW w:type="dxa" w:w="15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15</w:t>
            </w:r>
          </w:p>
        </w:tc>
        <w:tc>
          <w:tcPr>
            <w:tcW w:type="dxa" w:w="3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是否需要昼夜变化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16</w:t>
            </w:r>
          </w:p>
        </w:tc>
        <w:tc>
          <w:tcPr>
            <w:tcW w:type="dxa" w:w="385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是否需要四季状态</w:t>
            </w:r>
          </w:p>
        </w:tc>
        <w:tc>
          <w:tcPr>
            <w:tcW w:type="dxa" w:w="153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36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标题1"/>
      </w:pPr>
      <w:r>
        <w:t>附录A：标准图层树</w:t>
      </w:r>
    </w:p>
    <w:p>
      <w:pPr>
        <w:pStyle w:val="表题"/>
        <w:keepNext/>
      </w:pPr>
      <w:r>
        <w:t>表A-1 标准图层树（完整）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38"/>
        <w:gridCol w:w="1701"/>
        <w:gridCol w:w="4989"/>
      </w:tblGrid>
      <w:tr>
        <w:trPr>
          <w:tblHeader w:val="true"/>
        </w:trPr>
        <w:tc>
          <w:tcPr>
            <w:tcW w:type="dxa" w:w="243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英文组名</w:t>
            </w:r>
          </w:p>
        </w:tc>
        <w:tc>
          <w:tcPr>
            <w:tcW w:type="dxa" w:w="1701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中文组名</w:t>
            </w:r>
          </w:p>
        </w:tc>
        <w:tc>
          <w:tcPr>
            <w:tcW w:type="dxa" w:w="4989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用途／导出规则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00_GUIDE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辅助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world_boundary, world_grid, zoom_regions, scale_reference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01_SKY_DISTANCE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远景</w:t>
            </w:r>
          </w:p>
        </w:tc>
        <w:tc>
          <w:tcPr>
            <w:tcW w:type="dxa" w:w="498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sky, distant_cloud, distant_mountain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02_TERRAIN_BASE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地形底色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base_land, plateau, basin, wasteland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03_MOUNTAIN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山体</w:t>
            </w:r>
          </w:p>
        </w:tc>
        <w:tc>
          <w:tcPr>
            <w:tcW w:type="dxa" w:w="498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major_mountain, ridge, hill, mountain_shadow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04_PLAIN_LAND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平原土地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plain, farmland_reference, grassland, wetland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05_WATER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水系</w:t>
            </w:r>
          </w:p>
        </w:tc>
        <w:tc>
          <w:tcPr>
            <w:tcW w:type="dxa" w:w="498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sea, lake, major_river, tributary, water_shadow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06_VEGETATION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植被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north_forest, south_forest, grass, marsh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07_ROAD_FIXED_REFERENCE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道路参考</w:t>
            </w:r>
          </w:p>
        </w:tc>
        <w:tc>
          <w:tcPr>
            <w:tcW w:type="dxa" w:w="498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major_road_reference, secondary_road_reference, water_route_reference, bridge_reference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08_FIXED_LANDMARK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固定地标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natural_pass, canyon, island, fixed_rock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09_DYNAMIC_BUILDING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动态建筑</w:t>
            </w:r>
          </w:p>
        </w:tc>
        <w:tc>
          <w:tcPr>
            <w:tcW w:type="dxa" w:w="498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city, pass, port, bridge, building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10_PERSON_UNIT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人物单位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player, army, caravan, civilian, vehicle, ship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11_FLAG_OWNER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旗帜权属</w:t>
            </w:r>
          </w:p>
        </w:tc>
        <w:tc>
          <w:tcPr>
            <w:tcW w:type="dxa" w:w="498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flag, owner_color, territory_overlay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12_WEATHER_SEASON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天气季节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rain, snow, fog, seasonal_tone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13_FIRE_DAMAGE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火灾损毁</w:t>
            </w:r>
          </w:p>
        </w:tc>
        <w:tc>
          <w:tcPr>
            <w:tcW w:type="dxa" w:w="498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fire, smoke, rubble, scorched_land, flood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14_INTELLIGENCE_FOG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情报迷雾</w:t>
            </w:r>
          </w:p>
        </w:tc>
        <w:tc>
          <w:tcPr>
            <w:tcW w:type="dxa" w:w="498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unknown, suspected, expired, known</w:t>
            </w:r>
          </w:p>
        </w:tc>
      </w:tr>
      <w:tr>
        <w:tc>
          <w:tcPr>
            <w:tcW w:type="dxa" w:w="243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15_UI_REFERENCE</w:t>
            </w:r>
          </w:p>
        </w:tc>
        <w:tc>
          <w:tcPr>
            <w:tcW w:type="dxa" w:w="1701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UI参考</w:t>
            </w:r>
          </w:p>
        </w:tc>
        <w:tc>
          <w:tcPr>
            <w:tcW w:type="dxa" w:w="498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selection, highlight, zoom_frame, label_reference</w:t>
            </w:r>
          </w:p>
        </w:tc>
      </w:tr>
    </w:tbl>
    <w:p>
      <w:pPr>
        <w:spacing w:after="0"/>
      </w:pPr>
    </w:p>
    <w:p>
      <w:pPr>
        <w:pStyle w:val="标题1"/>
      </w:pPr>
      <w:r>
        <w:t>附录B：标准命名示例</w:t>
      </w:r>
    </w:p>
    <w:p>
      <w:pPr>
        <w:pStyle w:val="表题"/>
        <w:keepNext/>
      </w:pPr>
      <w:r>
        <w:t>表B-1 命名示例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860"/>
      </w:tblGrid>
      <w:tr>
        <w:trPr>
          <w:tblHeader w:val="true"/>
        </w:trPr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类别</w:t>
            </w:r>
          </w:p>
        </w:tc>
        <w:tc>
          <w:tcPr>
            <w:tcW w:type="dxa" w:w="686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示例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地形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terrain_north_plain_base_v001.psb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河流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river_yellow_main_v001.png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道路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road_zhongshan_official_normal_l03_v001.png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城市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city_zhongshan_normal_l01_v001.png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建筑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building_shop_zhongshan_normal_l04_v001.png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人物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person_merchant_generic_l06_v001.png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军队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army_han_field_l01_v001.png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商队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caravan_horse_medium_l03_v001.png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船只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ship_river_cargo_l02_v001.png</w:t>
            </w:r>
          </w:p>
        </w:tc>
      </w:tr>
      <w:tr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状态覆盖</w:t>
            </w:r>
          </w:p>
        </w:tc>
        <w:tc>
          <w:tcPr>
            <w:tcW w:type="dxa" w:w="686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overlay_fire_medium_v001.png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UI参考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ui_reference_selection_l04_v001.png</w:t>
            </w:r>
          </w:p>
        </w:tc>
      </w:tr>
    </w:tbl>
    <w:p>
      <w:pPr>
        <w:spacing w:after="0"/>
      </w:pPr>
    </w:p>
    <w:p>
      <w:pPr>
        <w:pStyle w:val="标题1"/>
      </w:pPr>
      <w:r>
        <w:t>附录C：资产交付检查表</w:t>
      </w:r>
    </w:p>
    <w:p>
      <w:pPr>
        <w:pStyle w:val="表题"/>
        <w:keepNext/>
      </w:pPr>
      <w:r>
        <w:t>表C-1 资产交付检查表</w:t>
      </w:r>
    </w:p>
    <w:tbl>
      <w:tblPr>
        <w:tblStyle w:val="TableGrid"/>
        <w:tblW w:type="dxa" w:w="912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15"/>
        <w:gridCol w:w="1134"/>
        <w:gridCol w:w="2268"/>
        <w:gridCol w:w="1134"/>
        <w:gridCol w:w="1077"/>
      </w:tblGrid>
      <w:tr>
        <w:trPr>
          <w:tblHeader w:val="true"/>
        </w:trPr>
        <w:tc>
          <w:tcPr>
            <w:tcW w:type="dxa" w:w="351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检查项</w:t>
            </w:r>
          </w:p>
        </w:tc>
        <w:tc>
          <w:tcPr>
            <w:tcW w:type="dxa" w:w="1134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是否通过</w:t>
            </w:r>
          </w:p>
        </w:tc>
        <w:tc>
          <w:tcPr>
            <w:tcW w:type="dxa" w:w="2268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问题说明</w:t>
            </w:r>
          </w:p>
        </w:tc>
        <w:tc>
          <w:tcPr>
            <w:tcW w:type="dxa" w:w="1134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责任人</w:t>
            </w:r>
          </w:p>
        </w:tc>
        <w:tc>
          <w:tcPr>
            <w:tcW w:type="dxa" w:w="1077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日期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源文件与预览图齐全</w:t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透明对象与阴影独立</w:t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命名、资产ID、对象ID正确</w:t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画布、裁切和锚点一致</w:t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LOD与状态登记完整</w:t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透明边缘无白边黑边</w:t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文字、旗帜、所有权未画死</w:t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来源、许可、版本和修改状态已登记</w:t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已知问题已记录</w:t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351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Excel与Word版本一致</w:t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  <w:t>□</w:t>
            </w:r>
          </w:p>
        </w:tc>
        <w:tc>
          <w:tcPr>
            <w:tcW w:type="dxa" w:w="2268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134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7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</w:tbl>
    <w:p>
      <w:pPr>
        <w:spacing w:after="0"/>
      </w:pPr>
    </w:p>
    <w:p>
      <w:pPr>
        <w:pStyle w:val="标题1"/>
      </w:pPr>
      <w:r>
        <w:t>附录D：连续性验收表</w:t>
      </w:r>
    </w:p>
    <w:p>
      <w:pPr>
        <w:pStyle w:val="表题"/>
        <w:keepNext/>
      </w:pPr>
      <w:r>
        <w:t>表D-1 连续性验收表（字段与Excel 09_连续性验收一致；合并显示字段录入时需拆回原列）</w:t>
      </w:r>
    </w:p>
    <w:tbl>
      <w:tblPr>
        <w:tblStyle w:val="TableGrid"/>
        <w:tblW w:type="dxa" w:w="10233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680"/>
        <w:gridCol w:w="850"/>
        <w:gridCol w:w="765"/>
        <w:gridCol w:w="765"/>
        <w:gridCol w:w="765"/>
        <w:gridCol w:w="850"/>
        <w:gridCol w:w="879"/>
        <w:gridCol w:w="567"/>
        <w:gridCol w:w="567"/>
        <w:gridCol w:w="1247"/>
        <w:gridCol w:w="567"/>
        <w:gridCol w:w="1049"/>
      </w:tblGrid>
      <w:tr>
        <w:trPr>
          <w:tblHeader w:val="true"/>
        </w:trPr>
        <w:tc>
          <w:tcPr>
            <w:tcW w:type="dxa" w:w="68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验收ID</w:t>
            </w:r>
          </w:p>
        </w:tc>
        <w:tc>
          <w:tcPr>
            <w:tcW w:type="dxa" w:w="68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对象ID</w:t>
            </w:r>
          </w:p>
        </w:tc>
        <w:tc>
          <w:tcPr>
            <w:tcW w:type="dxa" w:w="85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检查类型</w:t>
            </w:r>
          </w:p>
        </w:tc>
        <w:tc>
          <w:tcPr>
            <w:tcW w:type="dxa" w:w="76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上级地图</w:t>
            </w:r>
          </w:p>
        </w:tc>
        <w:tc>
          <w:tcPr>
            <w:tcW w:type="dxa" w:w="76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下级地图</w:t>
            </w:r>
          </w:p>
        </w:tc>
        <w:tc>
          <w:tcPr>
            <w:tcW w:type="dxa" w:w="765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上级X/Y</w:t>
            </w:r>
          </w:p>
        </w:tc>
        <w:tc>
          <w:tcPr>
            <w:tcW w:type="dxa" w:w="850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下级换算X/Y</w:t>
            </w:r>
          </w:p>
        </w:tc>
        <w:tc>
          <w:tcPr>
            <w:tcW w:type="dxa" w:w="879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偏差／允许偏差</w:t>
            </w:r>
          </w:p>
        </w:tc>
        <w:tc>
          <w:tcPr>
            <w:tcW w:type="dxa" w:w="567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方向一致</w:t>
            </w:r>
          </w:p>
        </w:tc>
        <w:tc>
          <w:tcPr>
            <w:tcW w:type="dxa" w:w="567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连接一致</w:t>
            </w:r>
          </w:p>
        </w:tc>
        <w:tc>
          <w:tcPr>
            <w:tcW w:type="dxa" w:w="1247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外形／状态／情报／损毁继承</w:t>
            </w:r>
          </w:p>
        </w:tc>
        <w:tc>
          <w:tcPr>
            <w:tcW w:type="dxa" w:w="567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结果</w:t>
            </w:r>
          </w:p>
        </w:tc>
        <w:tc>
          <w:tcPr>
            <w:tcW w:type="dxa" w:w="1049"/>
            <w:shd w:fill="F3EBD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263238"/>
                <w:sz w:val="18"/>
              </w:rPr>
              <w:t>问题／责任／日期／复核／备注</w:t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5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5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7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24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4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  <w:tr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68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5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765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50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87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24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567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  <w:tc>
          <w:tcPr>
            <w:tcW w:type="dxa" w:w="1049"/>
            <w:shd w:fill="FA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Arial" w:hAnsi="Arial" w:eastAsia="Microsoft YaHei"/>
                <w:sz w:val="17"/>
              </w:rPr>
            </w:r>
          </w:p>
        </w:tc>
      </w:tr>
    </w:tbl>
    <w:p>
      <w:pPr>
        <w:spacing w:after="0"/>
      </w:pPr>
    </w:p>
    <w:p>
      <w:r>
        <w:t>Excel原字段完整顺序：验收ID、对象ID、检查类型、上级地图、下级地图、上级地图坐标X、上级地图坐标Y、下级换算坐标X、下级换算坐标Y、坐标偏差、允许偏差、方向一致、连接关系一致、外形继承、状态继承、情报继承、损毁继承、检查结果、问题说明、责任人、检查日期、复核人、复核日期、备注。</w:t>
      </w:r>
    </w:p>
    <w:p>
      <w:pPr>
        <w:pStyle w:val="标题2"/>
      </w:pPr>
      <w:r>
        <w:t>附录说明：来源与许可</w:t>
      </w:r>
    </w:p>
    <w:p>
      <w:r>
        <w:t>正式外部素材或数据必须记录名称与版本、作者或发布机构、原始页面、下载日期、许可证及版本、修改状态、项目位置、署名要求和是否可随公开仓库再分发。禁止使用商业游戏提取资产；AI辅助概念图不得作为历史地理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89" w:bottom="1134" w:left="1389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E6E6E"/>
        <w:sz w:val="17"/>
      </w:rPr>
      <w:t xml:space="preserve">MAP-ART-SPEC-001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Microsoft YaHei"/>
        <w:color w:val="6E6E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E6E6E"/>
        <w:sz w:val="17"/>
      </w:rPr>
      <w:t>统一地图美术规范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  <w:ind w:firstLine="420"/>
    </w:pPr>
    <w:rPr>
      <w:rFonts w:ascii="Arial" w:hAnsi="Arial" w:eastAsia="Microsoft YaHei"/>
      <w:b w:val="0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8A5A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263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8A5A2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Arial" w:hAnsi="Arial" w:eastAsia="Microsoft YaHei"/>
      <w:b w:val="0"/>
      <w:color w:val="26323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Arial" w:hAnsi="Arial" w:eastAsia="Microsoft YaHei"/>
      <w:b w:val="0"/>
      <w:color w:val="26323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spacing w:before="120" w:after="160"/>
      <w:ind w:firstLine="0"/>
    </w:pPr>
    <w:rPr>
      <w:rFonts w:ascii="Arial" w:hAnsi="Arial" w:eastAsia="Microsoft YaHei"/>
      <w:b w:val="0"/>
      <w:i/>
      <w:iCs/>
      <w:color w:val="8A5A2B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ind w:firstLine="0"/>
    </w:pPr>
    <w:rPr>
      <w:rFonts w:ascii="Arial" w:hAnsi="Arial" w:eastAsia="Microsoft YaHei"/>
      <w:b w:val="0"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标题">
    <w:name w:val="标题"/>
    <w:basedOn w:val="Title"/>
  </w:style>
  <w:style w:type="paragraph" w:customStyle="1" w:styleId="副标题">
    <w:name w:val="副标题"/>
    <w:basedOn w:val="Subtitle"/>
  </w:style>
  <w:style w:type="paragraph" w:customStyle="1" w:styleId="标题1">
    <w:name w:val="标题1"/>
    <w:basedOn w:val="Heading1"/>
  </w:style>
  <w:style w:type="paragraph" w:customStyle="1" w:styleId="标题2">
    <w:name w:val="标题2"/>
    <w:basedOn w:val="Heading2"/>
  </w:style>
  <w:style w:type="paragraph" w:customStyle="1" w:styleId="标题3">
    <w:name w:val="标题3"/>
    <w:basedOn w:val="Heading3"/>
  </w:style>
  <w:style w:type="paragraph" w:customStyle="1" w:styleId="正文">
    <w:name w:val="正文"/>
    <w:basedOn w:val="Normal"/>
  </w:style>
  <w:style w:type="paragraph" w:customStyle="1" w:styleId="引用">
    <w:name w:val="引用"/>
    <w:basedOn w:val="Quote"/>
  </w:style>
  <w:style w:type="paragraph" w:customStyle="1" w:styleId="图题">
    <w:name w:val="图题"/>
    <w:basedOn w:val="Caption"/>
  </w:style>
  <w:style w:type="paragraph" w:customStyle="1" w:styleId="表题">
    <w:name w:val="表题"/>
    <w:basedOn w:val="Caption"/>
  </w:style>
  <w:style w:type="paragraph" w:customStyle="1" w:styleId="警告">
    <w:name w:val="警告"/>
    <w:basedOn w:val="Normal"/>
    <w:pPr>
      <w:spacing w:before="120" w:after="140"/>
      <w:ind w:left="312" w:right="198"/>
    </w:pPr>
    <w:rPr>
      <w:rFonts w:ascii="Arial" w:hAnsi="Arial" w:eastAsia="Microsoft YaHei"/>
      <w:b/>
      <w:color w:val="7F6000"/>
      <w:sz w:val="20"/>
    </w:rPr>
  </w:style>
  <w:style w:type="paragraph" w:customStyle="1" w:styleId="规则">
    <w:name w:val="规则"/>
    <w:basedOn w:val="Normal"/>
    <w:pPr>
      <w:spacing w:before="120" w:after="140"/>
      <w:ind w:left="312" w:right="198"/>
    </w:pPr>
    <w:rPr>
      <w:rFonts w:ascii="Arial" w:hAnsi="Arial" w:eastAsia="Microsoft YaHei"/>
      <w:b/>
      <w:color w:val="26323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统一地图美术规范</dc:title>
  <dc:subject>Unified World Map Art Specification</dc:subject>
  <dc:creator>MandateOfHeroes 项目组</dc:creator>
  <cp:keywords>地图, 美术规范, LOD, 坐标, 锚点, 中山</cp:keywords>
  <dc:description>MAP-ART-SPEC-001; V0.1; generated by scripts/generate_map_art_spec.py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