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出差管理制度</w:t>
      </w:r>
    </w:p>
    <w:p>
      <w:pPr>
        <w:pStyle w:val="Heading1"/>
      </w:pPr>
      <w:r>
        <w:t>一、出差审批</w:t>
      </w:r>
    </w:p>
    <w:p>
      <w:r>
        <w:t>员工出差须提前 3 个工作日填写《出差申请单》，经部门负责人和分管领导审批后生效。</w:t>
      </w:r>
    </w:p>
    <w:p>
      <w:pPr>
        <w:pStyle w:val="Heading1"/>
      </w:pPr>
      <w:r>
        <w:t>二、住宿标准</w:t>
      </w:r>
    </w:p>
    <w:p>
      <w:r>
        <w:t>一线城市（北上广深）住宿标准为 500 元/晚，其他城市 350 元/晚，超出部分自理。</w:t>
      </w:r>
    </w:p>
    <w:p>
      <w:pPr>
        <w:pStyle w:val="Heading1"/>
      </w:pPr>
      <w:r>
        <w:t>三、出差补贴</w:t>
      </w:r>
    </w:p>
    <w:p>
      <w:r>
        <w:t>出差期间每日补贴 80 元，按实际出差天数计算，与当月工资一并发放。</w:t>
      </w:r>
    </w:p>
    <w:p>
      <w:pPr>
        <w:pStyle w:val="Heading1"/>
      </w:pPr>
      <w:r>
        <w:t>四、差旅报销</w:t>
      </w:r>
    </w:p>
    <w:p>
      <w:r>
        <w:t>出差结束 5 个工作日内提交报销，需附发票原件、行程单与出差申请单。</w:t>
      </w:r>
    </w:p>
    <w:p>
      <w:pPr>
        <w:pStyle w:val="Heading1"/>
      </w:pPr>
      <w:r>
        <w:t>五、陪同客户</w:t>
      </w:r>
    </w:p>
    <w:p>
      <w:r>
        <w:t>出差期间陪同客户产生的合理费用，凭发票与事由说明可另行报销。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