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1AB790C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5" w:name="_GoBack"/>
          <w:bookmarkEnd w:id="65"/>
          <w:r>
            <w:rPr>
              <w:rFonts w:ascii="宋体" w:hAnsi="宋体" w:eastAsia="宋体"/>
              <w:sz w:val="21"/>
            </w:rPr>
            <w:t>目录</w:t>
          </w:r>
        </w:p>
        <w:p w14:paraId="2BAA3CA8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_Toc3978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一、 </w:t>
          </w:r>
          <w:r>
            <w:rPr>
              <w:rFonts w:hint="default"/>
              <w:lang w:val="en-US" w:eastAsia="zh-CN"/>
            </w:rPr>
            <w:t>第一部分：前言与尽职调查概述</w:t>
          </w:r>
          <w:r>
            <w:tab/>
          </w:r>
          <w:r>
            <w:fldChar w:fldCharType="begin"/>
          </w:r>
          <w:r>
            <w:instrText xml:space="preserve"> PAGEREF _Toc3978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EABEAFC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_Toc8014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（一） </w:t>
          </w:r>
          <w:r>
            <w:rPr>
              <w:rFonts w:hint="default"/>
              <w:lang w:val="en-US" w:eastAsia="zh-CN"/>
            </w:rPr>
            <w:t>调查背景与目的</w:t>
          </w:r>
          <w:r>
            <w:tab/>
          </w:r>
          <w:r>
            <w:fldChar w:fldCharType="begin"/>
          </w:r>
          <w:r>
            <w:instrText xml:space="preserve"> PAGEREF _Toc8014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B81554A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_Toc21176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交易方案简介（收购方、转让方、目标公司、收购标的及比例）</w:t>
          </w:r>
          <w:r>
            <w:tab/>
          </w:r>
          <w:r>
            <w:fldChar w:fldCharType="begin"/>
          </w:r>
          <w:r>
            <w:instrText xml:space="preserve"> PAGEREF _Toc21176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7CFF570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_Toc3333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行业背景与战略意图（简述收购的行业背景及委托方的战略需求）</w:t>
          </w:r>
          <w:r>
            <w:tab/>
          </w:r>
          <w:r>
            <w:fldChar w:fldCharType="begin"/>
          </w:r>
          <w:r>
            <w:instrText xml:space="preserve"> PAGEREF _Toc3333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F89CC97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_Toc10866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尽职调查目的与范围</w:t>
          </w:r>
          <w:r>
            <w:tab/>
          </w:r>
          <w:r>
            <w:fldChar w:fldCharType="begin"/>
          </w:r>
          <w:r>
            <w:instrText xml:space="preserve"> PAGEREF _Toc10866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54A6D88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_Toc20322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（二） </w:t>
          </w:r>
          <w:r>
            <w:rPr>
              <w:rFonts w:hint="default"/>
              <w:lang w:val="en-US" w:eastAsia="zh-CN"/>
            </w:rPr>
            <w:t>尽职调查方法与流程</w:t>
          </w:r>
          <w:r>
            <w:tab/>
          </w:r>
          <w:r>
            <w:fldChar w:fldCharType="begin"/>
          </w:r>
          <w:r>
            <w:instrText xml:space="preserve"> PAGEREF _Toc20322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283417F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调查工作团队与计划</w:t>
          </w:r>
          <w:r>
            <w:tab/>
          </w:r>
          <w:r>
            <w:fldChar w:fldCharType="begin"/>
          </w:r>
          <w:r>
            <w:instrText xml:space="preserve"> PAGEREF _Toc604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1E2FD4A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_Toc30658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采用的主要调查方法（文件审查、访谈、公开信息检索、现场核查等）</w:t>
          </w:r>
          <w:r>
            <w:tab/>
          </w:r>
          <w:r>
            <w:fldChar w:fldCharType="begin"/>
          </w:r>
          <w:r>
            <w:instrText xml:space="preserve"> PAGEREF _Toc30658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7275C44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_Toc20867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调查依据的法律法规清单</w:t>
          </w:r>
          <w:r>
            <w:tab/>
          </w:r>
          <w:r>
            <w:fldChar w:fldCharType="begin"/>
          </w:r>
          <w:r>
            <w:instrText xml:space="preserve"> PAGEREF _Toc20867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1A5EA3D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_Toc10136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4． </w:t>
          </w:r>
          <w:r>
            <w:rPr>
              <w:rFonts w:hint="default"/>
              <w:lang w:val="en-US" w:eastAsia="zh-CN"/>
            </w:rPr>
            <w:t>报告出具的基础与假设</w:t>
          </w:r>
          <w:r>
            <w:tab/>
          </w:r>
          <w:r>
            <w:fldChar w:fldCharType="begin"/>
          </w:r>
          <w:r>
            <w:instrText xml:space="preserve"> PAGEREF _Toc10136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3D644F7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（三） </w:t>
          </w:r>
          <w:r>
            <w:rPr>
              <w:rFonts w:hint="default"/>
              <w:lang w:val="en-US" w:eastAsia="zh-CN"/>
            </w:rPr>
            <w:t>律师声明事项</w:t>
          </w:r>
          <w:r>
            <w:tab/>
          </w:r>
          <w:r>
            <w:fldChar w:fldCharType="begin"/>
          </w:r>
          <w:r>
            <w:instrText xml:space="preserve"> PAGEREF _Toc1982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C8555F9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_Toc23240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报告的使用限制与责任豁免</w:t>
          </w:r>
          <w:r>
            <w:tab/>
          </w:r>
          <w:r>
            <w:fldChar w:fldCharType="begin"/>
          </w:r>
          <w:r>
            <w:instrText xml:space="preserve"> PAGEREF _Toc23240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F418D19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_Toc30505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对依赖信息的说明</w:t>
          </w:r>
          <w:r>
            <w:tab/>
          </w:r>
          <w:r>
            <w:fldChar w:fldCharType="begin"/>
          </w:r>
          <w:r>
            <w:instrText xml:space="preserve"> PAGEREF _Toc30505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2066665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_Toc20923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对非法律事项的免责</w:t>
          </w:r>
          <w:r>
            <w:tab/>
          </w:r>
          <w:r>
            <w:fldChar w:fldCharType="begin"/>
          </w:r>
          <w:r>
            <w:instrText xml:space="preserve"> PAGEREF _Toc20923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8C8BE9A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_Toc8788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第二部分：主要法律问题概要</w:t>
          </w:r>
          <w:r>
            <w:tab/>
          </w:r>
          <w:r>
            <w:fldChar w:fldCharType="begin"/>
          </w:r>
          <w:r>
            <w:instrText xml:space="preserve"> PAGEREF _Toc8788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1CFF4C2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（一） </w:t>
          </w:r>
          <w:r>
            <w:rPr>
              <w:rFonts w:hint="default"/>
              <w:lang w:val="en-US" w:eastAsia="zh-CN"/>
            </w:rPr>
            <w:t>重大法律风险概要表</w:t>
          </w:r>
          <w:r>
            <w:tab/>
          </w:r>
          <w:r>
            <w:fldChar w:fldCharType="begin"/>
          </w:r>
          <w:r>
            <w:instrText xml:space="preserve"> PAGEREF _Toc328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E8BBFCB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_Toc23843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公司治理与控制权风险（如：股权分散、无实际控制人、股东一致性不明）</w:t>
          </w:r>
          <w:r>
            <w:tab/>
          </w:r>
          <w:r>
            <w:fldChar w:fldCharType="begin"/>
          </w:r>
          <w:r>
            <w:instrText xml:space="preserve"> PAGEREF _Toc23843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F21A9C6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_Toc24224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核心资质与持续经营风险（如：关键许可证过期或即将到期）</w:t>
          </w:r>
          <w:r>
            <w:tab/>
          </w:r>
          <w:r>
            <w:fldChar w:fldCharType="begin"/>
          </w:r>
          <w:r>
            <w:instrText xml:space="preserve"> PAGEREF _Toc24224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5112601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_Toc23918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资产完整性与权属风险（如：知识产权瑕疵、出资义务履行存疑）</w:t>
          </w:r>
          <w:r>
            <w:tab/>
          </w:r>
          <w:r>
            <w:fldChar w:fldCharType="begin"/>
          </w:r>
          <w:r>
            <w:instrText xml:space="preserve"> PAGEREF _Toc23918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3D5D949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_Toc20448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4． </w:t>
          </w:r>
          <w:r>
            <w:rPr>
              <w:rFonts w:hint="default"/>
              <w:lang w:val="en-US" w:eastAsia="zh-CN"/>
            </w:rPr>
            <w:t>重大合规与监管风险（如：环保处罚、社保缴纳不合规）</w:t>
          </w:r>
          <w:r>
            <w:tab/>
          </w:r>
          <w:r>
            <w:fldChar w:fldCharType="begin"/>
          </w:r>
          <w:r>
            <w:instrText xml:space="preserve"> PAGEREF _Toc20448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3F6E423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5． </w:t>
          </w:r>
          <w:r>
            <w:rPr>
              <w:rFonts w:hint="default"/>
              <w:lang w:val="en-US" w:eastAsia="zh-CN"/>
            </w:rPr>
            <w:t>重大债权债务与诉讼风险（如：大额应收账款回收风险、未决重大诉讼）</w:t>
          </w:r>
          <w:r>
            <w:tab/>
          </w:r>
          <w:r>
            <w:fldChar w:fldCharType="begin"/>
          </w:r>
          <w:r>
            <w:instrText xml:space="preserve"> PAGEREF _Toc484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CB9985D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_Toc3580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6． </w:t>
          </w:r>
          <w:r>
            <w:rPr>
              <w:rFonts w:hint="default"/>
              <w:lang w:val="en-US" w:eastAsia="zh-CN"/>
            </w:rPr>
            <w:t>交易相关特殊风险（如：业务对关联方依赖性过强、收购后代理权稳定性）</w:t>
          </w:r>
          <w:r>
            <w:tab/>
          </w:r>
          <w:r>
            <w:fldChar w:fldCharType="begin"/>
          </w:r>
          <w:r>
            <w:instrText xml:space="preserve"> PAGEREF _Toc3580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B35177D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三、 </w:t>
          </w:r>
          <w:r>
            <w:rPr>
              <w:rFonts w:hint="default"/>
              <w:lang w:val="en-US" w:eastAsia="zh-CN"/>
            </w:rPr>
            <w:t>第三部分：正文-分项法律尽职调查</w:t>
          </w:r>
          <w:r>
            <w:tab/>
          </w:r>
          <w:r>
            <w:fldChar w:fldCharType="begin"/>
          </w:r>
          <w:r>
            <w:instrText xml:space="preserve"> PAGEREF _Toc2236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68C50E0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_Toc27411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（一） </w:t>
          </w:r>
          <w:r>
            <w:rPr>
              <w:rFonts w:hint="default"/>
              <w:lang w:val="en-US" w:eastAsia="zh-CN"/>
            </w:rPr>
            <w:t>公司基本情况与法律地位</w:t>
          </w:r>
          <w:r>
            <w:tab/>
          </w:r>
          <w:r>
            <w:fldChar w:fldCharType="begin"/>
          </w:r>
          <w:r>
            <w:instrText xml:space="preserve"> PAGEREF _Toc27411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29CC9B9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_Toc32057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主体资格与历史沿革</w:t>
          </w:r>
          <w:r>
            <w:tab/>
          </w:r>
          <w:r>
            <w:fldChar w:fldCharType="begin"/>
          </w:r>
          <w:r>
            <w:instrText xml:space="preserve"> PAGEREF _Toc32057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81C192C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股权结构与分析</w:t>
          </w:r>
          <w:r>
            <w:tab/>
          </w:r>
          <w:r>
            <w:fldChar w:fldCharType="begin"/>
          </w:r>
          <w:r>
            <w:instrText xml:space="preserve"> PAGEREF _Toc18552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2A5F570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_Toc6673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公司治理与组织机构</w:t>
          </w:r>
          <w:r>
            <w:tab/>
          </w:r>
          <w:r>
            <w:fldChar w:fldCharType="begin"/>
          </w:r>
          <w:r>
            <w:instrText xml:space="preserve"> PAGEREF _Toc6673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D4A9862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_Toc8694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4． </w:t>
          </w:r>
          <w:r>
            <w:rPr>
              <w:rFonts w:hint="default"/>
              <w:lang w:val="en-US" w:eastAsia="zh-CN"/>
            </w:rPr>
            <w:t>分支机构与关联企业</w:t>
          </w:r>
          <w:r>
            <w:tab/>
          </w:r>
          <w:r>
            <w:fldChar w:fldCharType="begin"/>
          </w:r>
          <w:r>
            <w:instrText xml:space="preserve"> PAGEREF _Toc8694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229B1A2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（二） </w:t>
          </w:r>
          <w:r>
            <w:rPr>
              <w:rFonts w:hint="default"/>
              <w:lang w:val="en-US" w:eastAsia="zh-CN"/>
            </w:rPr>
            <w:t>公司资产状况</w:t>
          </w:r>
          <w:r>
            <w:tab/>
          </w:r>
          <w:r>
            <w:fldChar w:fldCharType="begin"/>
          </w:r>
          <w:r>
            <w:instrText xml:space="preserve"> PAGEREF _Toc4141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3C82767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不动产（土地、房屋）</w:t>
          </w:r>
          <w:r>
            <w:tab/>
          </w:r>
          <w:r>
            <w:fldChar w:fldCharType="begin"/>
          </w:r>
          <w:r>
            <w:instrText xml:space="preserve"> PAGEREF _Toc8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B571D01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_Toc23654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动产（设备、车辆）</w:t>
          </w:r>
          <w:r>
            <w:tab/>
          </w:r>
          <w:r>
            <w:fldChar w:fldCharType="begin"/>
          </w:r>
          <w:r>
            <w:instrText xml:space="preserve"> PAGEREF _Toc23654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5650146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_Toc28971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知识产权（商标、专利、著作权）</w:t>
          </w:r>
          <w:r>
            <w:tab/>
          </w:r>
          <w:r>
            <w:fldChar w:fldCharType="begin"/>
          </w:r>
          <w:r>
            <w:instrText xml:space="preserve"> PAGEREF _Toc28971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CFE9828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_Toc27690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4． </w:t>
          </w:r>
          <w:r>
            <w:rPr>
              <w:rFonts w:hint="default"/>
              <w:lang w:val="en-US" w:eastAsia="zh-CN"/>
            </w:rPr>
            <w:t>资产抵押、质押与权利限制情况</w:t>
          </w:r>
          <w:r>
            <w:tab/>
          </w:r>
          <w:r>
            <w:fldChar w:fldCharType="begin"/>
          </w:r>
          <w:r>
            <w:instrText xml:space="preserve"> PAGEREF _Toc27690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AB907BA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_Toc27256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（三） </w:t>
          </w:r>
          <w:r>
            <w:rPr>
              <w:rFonts w:hint="default"/>
              <w:lang w:val="en-US" w:eastAsia="zh-CN"/>
            </w:rPr>
            <w:t>公司经营与合规情况</w:t>
          </w:r>
          <w:r>
            <w:tab/>
          </w:r>
          <w:r>
            <w:fldChar w:fldCharType="begin"/>
          </w:r>
          <w:r>
            <w:instrText xml:space="preserve"> PAGEREF _Toc27256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28381EB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主营业务与商业模式</w:t>
          </w:r>
          <w:r>
            <w:tab/>
          </w:r>
          <w:r>
            <w:fldChar w:fldCharType="begin"/>
          </w:r>
          <w:r>
            <w:instrText xml:space="preserve"> PAGEREF _Toc4130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BEF8CEE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_Toc12819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行业准入与核心资质许可</w:t>
          </w:r>
          <w:r>
            <w:tab/>
          </w:r>
          <w:r>
            <w:fldChar w:fldCharType="begin"/>
          </w:r>
          <w:r>
            <w:instrText xml:space="preserve"> PAGEREF _Toc12819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1F41C9E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_Toc30048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重大业务合同与债权债务</w:t>
          </w:r>
          <w:r>
            <w:tab/>
          </w:r>
          <w:r>
            <w:fldChar w:fldCharType="begin"/>
          </w:r>
          <w:r>
            <w:instrText xml:space="preserve"> PAGEREF _Toc30048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A4FFB5D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_Toc19016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4． </w:t>
          </w:r>
          <w:r>
            <w:rPr>
              <w:rFonts w:hint="default"/>
              <w:lang w:val="en-US" w:eastAsia="zh-CN"/>
            </w:rPr>
            <w:t>关联交易与同业竞争</w:t>
          </w:r>
          <w:r>
            <w:tab/>
          </w:r>
          <w:r>
            <w:fldChar w:fldCharType="begin"/>
          </w:r>
          <w:r>
            <w:instrText xml:space="preserve"> PAGEREF _Toc19016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2F39B7B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_Toc24729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5． </w:t>
          </w:r>
          <w:r>
            <w:rPr>
              <w:rFonts w:hint="default"/>
              <w:lang w:val="en-US" w:eastAsia="zh-CN"/>
            </w:rPr>
            <w:t>环境保护与安全生产</w:t>
          </w:r>
          <w:r>
            <w:tab/>
          </w:r>
          <w:r>
            <w:fldChar w:fldCharType="begin"/>
          </w:r>
          <w:r>
            <w:instrText xml:space="preserve"> PAGEREF _Toc24729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ED9CB90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_Toc19008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6． </w:t>
          </w:r>
          <w:r>
            <w:rPr>
              <w:rFonts w:hint="default"/>
              <w:lang w:val="en-US" w:eastAsia="zh-CN"/>
            </w:rPr>
            <w:t>产品质量与标准</w:t>
          </w:r>
          <w:r>
            <w:tab/>
          </w:r>
          <w:r>
            <w:fldChar w:fldCharType="begin"/>
          </w:r>
          <w:r>
            <w:instrText xml:space="preserve"> PAGEREF _Toc19008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732518D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（四） </w:t>
          </w:r>
          <w:r>
            <w:rPr>
              <w:rFonts w:hint="default"/>
              <w:lang w:val="en-US" w:eastAsia="zh-CN"/>
            </w:rPr>
            <w:t>公司财务状况与税务</w:t>
          </w:r>
          <w:r>
            <w:tab/>
          </w:r>
          <w:r>
            <w:fldChar w:fldCharType="begin"/>
          </w:r>
          <w:r>
            <w:instrText xml:space="preserve"> PAGEREF _Toc1130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A15DDB5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_Toc14777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主要财务数据与风险分析</w:t>
          </w:r>
          <w:r>
            <w:tab/>
          </w:r>
          <w:r>
            <w:fldChar w:fldCharType="begin"/>
          </w:r>
          <w:r>
            <w:instrText xml:space="preserve"> PAGEREF _Toc14777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8904B0B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_Toc21202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税务登记与纳税情况</w:t>
          </w:r>
          <w:r>
            <w:tab/>
          </w:r>
          <w:r>
            <w:fldChar w:fldCharType="begin"/>
          </w:r>
          <w:r>
            <w:instrText xml:space="preserve"> PAGEREF _Toc21202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085F04B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_Toc28457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财政补贴与税收优惠</w:t>
          </w:r>
          <w:r>
            <w:tab/>
          </w:r>
          <w:r>
            <w:fldChar w:fldCharType="begin"/>
          </w:r>
          <w:r>
            <w:instrText xml:space="preserve"> PAGEREF _Toc28457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D3A9CAE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_Toc27439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（五） </w:t>
          </w:r>
          <w:r>
            <w:rPr>
              <w:rFonts w:hint="default"/>
              <w:lang w:val="en-US" w:eastAsia="zh-CN"/>
            </w:rPr>
            <w:t>人力资源与劳动关系</w:t>
          </w:r>
          <w:r>
            <w:tab/>
          </w:r>
          <w:r>
            <w:fldChar w:fldCharType="begin"/>
          </w:r>
          <w:r>
            <w:instrText xml:space="preserve"> PAGEREF _Toc27439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BF8F1EC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_Toc11304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员工构成与劳动合同</w:t>
          </w:r>
          <w:r>
            <w:tab/>
          </w:r>
          <w:r>
            <w:fldChar w:fldCharType="begin"/>
          </w:r>
          <w:r>
            <w:instrText xml:space="preserve"> PAGEREF _Toc11304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45B1F31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_Toc4493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社会保险与住房公积金缴纳</w:t>
          </w:r>
          <w:r>
            <w:tab/>
          </w:r>
          <w:r>
            <w:fldChar w:fldCharType="begin"/>
          </w:r>
          <w:r>
            <w:instrText xml:space="preserve"> PAGEREF _Toc4493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664988B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_Toc21026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薪酬福利与员工激励</w:t>
          </w:r>
          <w:r>
            <w:tab/>
          </w:r>
          <w:r>
            <w:fldChar w:fldCharType="begin"/>
          </w:r>
          <w:r>
            <w:instrText xml:space="preserve"> PAGEREF _Toc21026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C0169D8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（六） </w:t>
          </w:r>
          <w:r>
            <w:rPr>
              <w:rFonts w:hint="default"/>
              <w:lang w:val="en-US" w:eastAsia="zh-CN"/>
            </w:rPr>
            <w:t>诉讼、仲裁与行政处罚</w:t>
          </w:r>
          <w:r>
            <w:tab/>
          </w:r>
          <w:r>
            <w:fldChar w:fldCharType="begin"/>
          </w:r>
          <w:r>
            <w:instrText xml:space="preserve"> PAGEREF _Toc16647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C2B0F49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_Toc6555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未决诉讼、仲裁案件</w:t>
          </w:r>
          <w:r>
            <w:tab/>
          </w:r>
          <w:r>
            <w:fldChar w:fldCharType="begin"/>
          </w:r>
          <w:r>
            <w:instrText xml:space="preserve"> PAGEREF _Toc6555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BF244C6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_Toc14980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行政处罚记录</w:t>
          </w:r>
          <w:r>
            <w:tab/>
          </w:r>
          <w:r>
            <w:fldChar w:fldCharType="begin"/>
          </w:r>
          <w:r>
            <w:instrText xml:space="preserve"> PAGEREF _Toc14980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7F70517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潜在法律纠纷</w:t>
          </w:r>
          <w:r>
            <w:tab/>
          </w:r>
          <w:r>
            <w:fldChar w:fldCharType="begin"/>
          </w:r>
          <w:r>
            <w:instrText xml:space="preserve"> PAGEREF _Toc18571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02FC484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_Toc14880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四、 </w:t>
          </w:r>
          <w:r>
            <w:rPr>
              <w:rFonts w:hint="default"/>
              <w:lang w:val="en-US" w:eastAsia="zh-CN"/>
            </w:rPr>
            <w:t>第四部分：结论与建议</w:t>
          </w:r>
          <w:r>
            <w:tab/>
          </w:r>
          <w:r>
            <w:fldChar w:fldCharType="begin"/>
          </w:r>
          <w:r>
            <w:instrText xml:space="preserve"> PAGEREF _Toc14880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9205DBC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（一） </w:t>
          </w:r>
          <w:r>
            <w:rPr>
              <w:rFonts w:hint="default"/>
              <w:lang w:val="en-US" w:eastAsia="zh-CN"/>
            </w:rPr>
            <w:t>总体法律评价</w:t>
          </w:r>
          <w:r>
            <w:tab/>
          </w:r>
          <w:r>
            <w:fldChar w:fldCharType="begin"/>
          </w:r>
          <w:r>
            <w:instrText xml:space="preserve"> PAGEREF _Toc2202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41CF918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_Toc4338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（二） </w:t>
          </w:r>
          <w:r>
            <w:rPr>
              <w:rFonts w:hint="default"/>
              <w:lang w:val="en-US" w:eastAsia="zh-CN"/>
            </w:rPr>
            <w:t>交易风险总结</w:t>
          </w:r>
          <w:r>
            <w:tab/>
          </w:r>
          <w:r>
            <w:fldChar w:fldCharType="begin"/>
          </w:r>
          <w:r>
            <w:instrText xml:space="preserve"> PAGEREF _Toc4338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C71D954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（三） </w:t>
          </w:r>
          <w:r>
            <w:rPr>
              <w:rFonts w:hint="default"/>
              <w:lang w:val="en-US" w:eastAsia="zh-CN"/>
            </w:rPr>
            <w:t>行动建议与谈判要点</w:t>
          </w:r>
          <w:r>
            <w:tab/>
          </w:r>
          <w:r>
            <w:fldChar w:fldCharType="begin"/>
          </w:r>
          <w:r>
            <w:instrText xml:space="preserve"> PAGEREF _Toc17479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05CF828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_Toc3615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需在交易前解决的问题</w:t>
          </w:r>
          <w:r>
            <w:tab/>
          </w:r>
          <w:r>
            <w:fldChar w:fldCharType="begin"/>
          </w:r>
          <w:r>
            <w:instrText xml:space="preserve"> PAGEREF _Toc3615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65C4EF7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_Toc27200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应在交易文件中设置的保障条款</w:t>
          </w:r>
          <w:r>
            <w:tab/>
          </w:r>
          <w:r>
            <w:fldChar w:fldCharType="begin"/>
          </w:r>
          <w:r>
            <w:instrText xml:space="preserve"> PAGEREF _Toc27200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21EA5A5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_Toc14674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3． </w:t>
          </w:r>
          <w:r>
            <w:rPr>
              <w:rFonts w:hint="default"/>
              <w:lang w:val="en-US" w:eastAsia="zh-CN"/>
            </w:rPr>
            <w:t>交割后整合建议</w:t>
          </w:r>
          <w:r>
            <w:tab/>
          </w:r>
          <w:r>
            <w:fldChar w:fldCharType="begin"/>
          </w:r>
          <w:r>
            <w:instrText xml:space="preserve"> PAGEREF _Toc14674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2110456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_Toc12400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五、 </w:t>
          </w:r>
          <w:r>
            <w:rPr>
              <w:rFonts w:hint="default"/>
              <w:lang w:val="en-US" w:eastAsia="zh-CN"/>
            </w:rPr>
            <w:t>第五部分：附件</w:t>
          </w:r>
          <w:r>
            <w:tab/>
          </w:r>
          <w:r>
            <w:fldChar w:fldCharType="begin"/>
          </w:r>
          <w:r>
            <w:instrText xml:space="preserve"> PAGEREF _Toc12400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36E47D0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_Toc12810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（一） </w:t>
          </w:r>
          <w:r>
            <w:rPr>
              <w:rFonts w:hint="default"/>
              <w:lang w:val="en-US" w:eastAsia="zh-CN"/>
            </w:rPr>
            <w:t>已阅文件清单</w:t>
          </w:r>
          <w:r>
            <w:tab/>
          </w:r>
          <w:r>
            <w:fldChar w:fldCharType="begin"/>
          </w:r>
          <w:r>
            <w:instrText xml:space="preserve"> PAGEREF _Toc12810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EA0F646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_Toc31889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（二） </w:t>
          </w:r>
          <w:r>
            <w:rPr>
              <w:rFonts w:hint="default"/>
              <w:lang w:val="en-US" w:eastAsia="zh-CN"/>
            </w:rPr>
            <w:t>关键资质证照复印件</w:t>
          </w:r>
          <w:r>
            <w:tab/>
          </w:r>
          <w:r>
            <w:fldChar w:fldCharType="begin"/>
          </w:r>
          <w:r>
            <w:instrText xml:space="preserve"> PAGEREF _Toc31889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BF623E2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（三） </w:t>
          </w:r>
          <w:r>
            <w:rPr>
              <w:rFonts w:hint="default"/>
              <w:lang w:val="en-US" w:eastAsia="zh-CN"/>
            </w:rPr>
            <w:t>重大合同与协议摘要</w:t>
          </w:r>
          <w:r>
            <w:tab/>
          </w:r>
          <w:r>
            <w:fldChar w:fldCharType="begin"/>
          </w:r>
          <w:r>
            <w:instrText xml:space="preserve"> PAGEREF _Toc25193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DDC0758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（四） </w:t>
          </w:r>
          <w:r>
            <w:rPr>
              <w:rFonts w:hint="default"/>
              <w:lang w:val="en-US" w:eastAsia="zh-CN"/>
            </w:rPr>
            <w:t>法律法规及政策清单</w:t>
          </w:r>
          <w:r>
            <w:tab/>
          </w:r>
          <w:r>
            <w:fldChar w:fldCharType="begin"/>
          </w:r>
          <w:r>
            <w:instrText xml:space="preserve"> PAGEREF _Toc1608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771545B"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_Toc26981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（五） </w:t>
          </w:r>
          <w:r>
            <w:rPr>
              <w:rFonts w:hint="default"/>
              <w:lang w:val="en-US" w:eastAsia="zh-CN"/>
            </w:rPr>
            <w:t>其他支持性文件</w:t>
          </w:r>
          <w:r>
            <w:tab/>
          </w:r>
          <w:r>
            <w:fldChar w:fldCharType="begin"/>
          </w:r>
          <w:r>
            <w:instrText xml:space="preserve"> PAGEREF _Toc26981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FCE86EE">
          <w:pPr>
            <w:outlineLvl w:val="0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</w:p>
      </w:sdtContent>
    </w:sdt>
    <w:p w14:paraId="77CE60E9"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Toc3978"/>
      <w:r>
        <w:rPr>
          <w:rFonts w:hint="default"/>
          <w:lang w:val="en-US" w:eastAsia="zh-CN"/>
        </w:rPr>
        <w:t>第一部分：前言与尽职调查概述</w:t>
      </w:r>
      <w:bookmarkEnd w:id="0"/>
    </w:p>
    <w:p w14:paraId="2B309EB6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Toc8014"/>
      <w:r>
        <w:rPr>
          <w:rFonts w:hint="default"/>
          <w:lang w:val="en-US" w:eastAsia="zh-CN"/>
        </w:rPr>
        <w:t>调查背景与目的</w:t>
      </w:r>
      <w:bookmarkEnd w:id="1"/>
    </w:p>
    <w:p w14:paraId="1F386DEA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2" w:name="_Toc21176"/>
      <w:r>
        <w:rPr>
          <w:rFonts w:hint="default"/>
          <w:lang w:val="en-US" w:eastAsia="zh-CN"/>
        </w:rPr>
        <w:t>交易方案简介（收购方、转让方、目标公司、收购标的及比例）</w:t>
      </w:r>
      <w:bookmarkEnd w:id="2"/>
    </w:p>
    <w:p w14:paraId="10C3F925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3" w:name="_Toc3333"/>
      <w:r>
        <w:rPr>
          <w:rFonts w:hint="default"/>
          <w:lang w:val="en-US" w:eastAsia="zh-CN"/>
        </w:rPr>
        <w:t>行业背景与战略意图（简述收购的行业背景及委托方的战略需求）</w:t>
      </w:r>
      <w:bookmarkEnd w:id="3"/>
    </w:p>
    <w:p w14:paraId="54CFC94C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4" w:name="_Toc10866"/>
      <w:r>
        <w:rPr>
          <w:rFonts w:hint="default"/>
          <w:lang w:val="en-US" w:eastAsia="zh-CN"/>
        </w:rPr>
        <w:t>尽职调查目的与范围</w:t>
      </w:r>
      <w:bookmarkEnd w:id="4"/>
    </w:p>
    <w:p w14:paraId="4FD93742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" w:name="_Toc20322"/>
      <w:r>
        <w:rPr>
          <w:rFonts w:hint="default"/>
          <w:lang w:val="en-US" w:eastAsia="zh-CN"/>
        </w:rPr>
        <w:t>尽职调查方法与流程</w:t>
      </w:r>
      <w:bookmarkEnd w:id="5"/>
    </w:p>
    <w:p w14:paraId="25D8A947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6" w:name="_Toc604"/>
      <w:r>
        <w:rPr>
          <w:rFonts w:hint="default"/>
          <w:lang w:val="en-US" w:eastAsia="zh-CN"/>
        </w:rPr>
        <w:t>调查工作团队与计划</w:t>
      </w:r>
      <w:bookmarkEnd w:id="6"/>
    </w:p>
    <w:p w14:paraId="0FEC94CE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7" w:name="_Toc30658"/>
      <w:r>
        <w:rPr>
          <w:rFonts w:hint="default"/>
          <w:lang w:val="en-US" w:eastAsia="zh-CN"/>
        </w:rPr>
        <w:t>采用的主要调查方法（文件审查、访谈、公开信息检索、现场核查等）</w:t>
      </w:r>
      <w:bookmarkEnd w:id="7"/>
    </w:p>
    <w:p w14:paraId="6D055F15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8" w:name="_Toc20867"/>
      <w:r>
        <w:rPr>
          <w:rFonts w:hint="default"/>
          <w:lang w:val="en-US" w:eastAsia="zh-CN"/>
        </w:rPr>
        <w:t>调查依据的法律法规清单</w:t>
      </w:r>
      <w:bookmarkEnd w:id="8"/>
    </w:p>
    <w:p w14:paraId="51B68C59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9" w:name="_Toc10136"/>
      <w:r>
        <w:rPr>
          <w:rFonts w:hint="default"/>
          <w:lang w:val="en-US" w:eastAsia="zh-CN"/>
        </w:rPr>
        <w:t>报告出具的基础与假设</w:t>
      </w:r>
      <w:bookmarkEnd w:id="9"/>
    </w:p>
    <w:p w14:paraId="7B87B055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1982"/>
      <w:r>
        <w:rPr>
          <w:rFonts w:hint="default"/>
          <w:lang w:val="en-US" w:eastAsia="zh-CN"/>
        </w:rPr>
        <w:t>律师声明事项</w:t>
      </w:r>
      <w:bookmarkEnd w:id="10"/>
    </w:p>
    <w:p w14:paraId="4A460BAC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11" w:name="_Toc23240"/>
      <w:r>
        <w:rPr>
          <w:rFonts w:hint="default"/>
          <w:lang w:val="en-US" w:eastAsia="zh-CN"/>
        </w:rPr>
        <w:t>报告的使用限制与责任豁免</w:t>
      </w:r>
      <w:bookmarkEnd w:id="11"/>
    </w:p>
    <w:p w14:paraId="235C262E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12" w:name="_Toc30505"/>
      <w:r>
        <w:rPr>
          <w:rFonts w:hint="default"/>
          <w:lang w:val="en-US" w:eastAsia="zh-CN"/>
        </w:rPr>
        <w:t>对依赖信息的说明</w:t>
      </w:r>
      <w:bookmarkEnd w:id="12"/>
    </w:p>
    <w:p w14:paraId="6A353ACD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13" w:name="_Toc20923"/>
      <w:r>
        <w:rPr>
          <w:rFonts w:hint="default"/>
          <w:lang w:val="en-US" w:eastAsia="zh-CN"/>
        </w:rPr>
        <w:t>对非法律事项的免责</w:t>
      </w:r>
      <w:bookmarkEnd w:id="13"/>
    </w:p>
    <w:p w14:paraId="0E4EEED0">
      <w:pPr>
        <w:outlineLvl w:val="0"/>
        <w:rPr>
          <w:rFonts w:hint="default" w:asciiTheme="minorHAnsi" w:hAnsiTheme="minorHAnsi" w:eastAsiaTheme="minorEastAsia" w:cstheme="minorBidi"/>
          <w:b/>
          <w:kern w:val="2"/>
          <w:szCs w:val="24"/>
          <w:lang w:val="en-US" w:eastAsia="zh-CN" w:bidi="ar-SA"/>
        </w:rPr>
      </w:pPr>
    </w:p>
    <w:p w14:paraId="41FB0236"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4" w:name="_Toc8788"/>
      <w:r>
        <w:rPr>
          <w:rFonts w:hint="default"/>
          <w:lang w:val="en-US" w:eastAsia="zh-CN"/>
        </w:rPr>
        <w:t>第二部分：主要法律问题概要</w:t>
      </w:r>
      <w:bookmarkEnd w:id="14"/>
    </w:p>
    <w:p w14:paraId="2F563004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5" w:name="_Toc328"/>
      <w:r>
        <w:rPr>
          <w:rFonts w:hint="default"/>
          <w:lang w:val="en-US" w:eastAsia="zh-CN"/>
        </w:rPr>
        <w:t>重大法律风险概要表</w:t>
      </w:r>
      <w:bookmarkEnd w:id="15"/>
    </w:p>
    <w:p w14:paraId="758734F4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16" w:name="_Toc23843"/>
      <w:r>
        <w:rPr>
          <w:rFonts w:hint="default"/>
          <w:lang w:val="en-US" w:eastAsia="zh-CN"/>
        </w:rPr>
        <w:t>公司治理与控制权风险（如：股权分散、无实际控制人、股东一致性不明）</w:t>
      </w:r>
      <w:bookmarkEnd w:id="16"/>
    </w:p>
    <w:p w14:paraId="6DA95296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17" w:name="_Toc24224"/>
      <w:r>
        <w:rPr>
          <w:rFonts w:hint="default"/>
          <w:lang w:val="en-US" w:eastAsia="zh-CN"/>
        </w:rPr>
        <w:t>核心资质与持续经营风险（如：关键许可证过期或即将到期）</w:t>
      </w:r>
      <w:bookmarkEnd w:id="17"/>
    </w:p>
    <w:p w14:paraId="6333D568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18" w:name="_Toc23918"/>
      <w:r>
        <w:rPr>
          <w:rFonts w:hint="default"/>
          <w:lang w:val="en-US" w:eastAsia="zh-CN"/>
        </w:rPr>
        <w:t>资产完整性与权属风险（如：知识产权瑕疵、出资义务履行存疑、房产未办证）</w:t>
      </w:r>
      <w:bookmarkEnd w:id="18"/>
    </w:p>
    <w:p w14:paraId="1A017A37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19" w:name="_Toc20448"/>
      <w:r>
        <w:rPr>
          <w:rFonts w:hint="default"/>
          <w:lang w:val="en-US" w:eastAsia="zh-CN"/>
        </w:rPr>
        <w:t>重大合规与监管风险（如：环保处罚、社保缴纳不合规、潜在商业贿赂风险）</w:t>
      </w:r>
      <w:bookmarkEnd w:id="19"/>
    </w:p>
    <w:p w14:paraId="1045D821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20" w:name="_Toc484"/>
      <w:r>
        <w:rPr>
          <w:rFonts w:hint="default"/>
          <w:lang w:val="en-US" w:eastAsia="zh-CN"/>
        </w:rPr>
        <w:t>重大债权债务与诉讼风险（如：大额应收账款回收风险、未决重大诉讼）</w:t>
      </w:r>
      <w:bookmarkEnd w:id="20"/>
    </w:p>
    <w:p w14:paraId="1AC1F13F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21" w:name="_Toc3580"/>
      <w:r>
        <w:rPr>
          <w:rFonts w:hint="default"/>
          <w:lang w:val="en-US" w:eastAsia="zh-CN"/>
        </w:rPr>
        <w:t>交易相关特殊风险（如：业务对关联方依赖性过强、收购后代理权稳定性风险）</w:t>
      </w:r>
      <w:bookmarkEnd w:id="21"/>
    </w:p>
    <w:p w14:paraId="34F0D7CC">
      <w:pPr>
        <w:outlineLvl w:val="0"/>
        <w:rPr>
          <w:rFonts w:hint="default" w:asciiTheme="minorHAnsi" w:hAnsiTheme="minorHAnsi" w:eastAsiaTheme="minorEastAsia" w:cstheme="minorBidi"/>
          <w:b/>
          <w:kern w:val="2"/>
          <w:szCs w:val="24"/>
          <w:lang w:val="en-US" w:eastAsia="zh-CN" w:bidi="ar-SA"/>
        </w:rPr>
      </w:pPr>
    </w:p>
    <w:p w14:paraId="57763B53"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2" w:name="_Toc2236"/>
      <w:r>
        <w:rPr>
          <w:rFonts w:hint="default"/>
          <w:lang w:val="en-US" w:eastAsia="zh-CN"/>
        </w:rPr>
        <w:t>第三部分：正文-分项法律尽职调查</w:t>
      </w:r>
      <w:bookmarkEnd w:id="22"/>
    </w:p>
    <w:p w14:paraId="4E6F16F3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3" w:name="_Toc27411"/>
      <w:r>
        <w:rPr>
          <w:rFonts w:hint="default"/>
          <w:lang w:val="en-US" w:eastAsia="zh-CN"/>
        </w:rPr>
        <w:t>公司基本情况与法律地位</w:t>
      </w:r>
      <w:bookmarkEnd w:id="23"/>
    </w:p>
    <w:p w14:paraId="0F41B8B0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24" w:name="_Toc32057"/>
      <w:r>
        <w:rPr>
          <w:rFonts w:hint="default"/>
          <w:lang w:val="en-US" w:eastAsia="zh-CN"/>
        </w:rPr>
        <w:t>主体资格与历史沿革</w:t>
      </w:r>
      <w:bookmarkEnd w:id="24"/>
    </w:p>
    <w:p w14:paraId="6EC0B7B9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25" w:name="_Toc18552"/>
      <w:r>
        <w:rPr>
          <w:rFonts w:hint="default"/>
          <w:lang w:val="en-US" w:eastAsia="zh-CN"/>
        </w:rPr>
        <w:t>股权结构与分析</w:t>
      </w:r>
      <w:bookmarkEnd w:id="25"/>
    </w:p>
    <w:p w14:paraId="2240647A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26" w:name="_Toc6673"/>
      <w:r>
        <w:rPr>
          <w:rFonts w:hint="default"/>
          <w:lang w:val="en-US" w:eastAsia="zh-CN"/>
        </w:rPr>
        <w:t>公司治理与组织机构</w:t>
      </w:r>
      <w:bookmarkEnd w:id="26"/>
    </w:p>
    <w:p w14:paraId="7A9173DD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27" w:name="_Toc8694"/>
      <w:r>
        <w:rPr>
          <w:rFonts w:hint="default"/>
          <w:lang w:val="en-US" w:eastAsia="zh-CN"/>
        </w:rPr>
        <w:t>分支机构与关联企业</w:t>
      </w:r>
      <w:bookmarkEnd w:id="27"/>
    </w:p>
    <w:p w14:paraId="7886D4C1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8" w:name="_Toc4141"/>
      <w:r>
        <w:rPr>
          <w:rFonts w:hint="default"/>
          <w:lang w:val="en-US" w:eastAsia="zh-CN"/>
        </w:rPr>
        <w:t>公司资产状况</w:t>
      </w:r>
      <w:bookmarkEnd w:id="28"/>
    </w:p>
    <w:p w14:paraId="1B7F6859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29" w:name="_Toc8"/>
      <w:r>
        <w:rPr>
          <w:rFonts w:hint="default"/>
          <w:lang w:val="en-US" w:eastAsia="zh-CN"/>
        </w:rPr>
        <w:t>不动产（土地、房屋）</w:t>
      </w:r>
      <w:bookmarkEnd w:id="29"/>
    </w:p>
    <w:p w14:paraId="5DFCAAE5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30" w:name="_Toc23654"/>
      <w:r>
        <w:rPr>
          <w:rFonts w:hint="default"/>
          <w:lang w:val="en-US" w:eastAsia="zh-CN"/>
        </w:rPr>
        <w:t>动产（设备、车辆）</w:t>
      </w:r>
      <w:bookmarkEnd w:id="30"/>
    </w:p>
    <w:p w14:paraId="034A662A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31" w:name="_Toc28971"/>
      <w:r>
        <w:rPr>
          <w:rFonts w:hint="default"/>
          <w:lang w:val="en-US" w:eastAsia="zh-CN"/>
        </w:rPr>
        <w:t>知识产权（商标、专利、著作权）</w:t>
      </w:r>
      <w:bookmarkEnd w:id="31"/>
    </w:p>
    <w:p w14:paraId="2E17BBF5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32" w:name="_Toc27690"/>
      <w:r>
        <w:rPr>
          <w:rFonts w:hint="default"/>
          <w:lang w:val="en-US" w:eastAsia="zh-CN"/>
        </w:rPr>
        <w:t>资产抵押、质押与权利限制情况</w:t>
      </w:r>
      <w:bookmarkEnd w:id="32"/>
    </w:p>
    <w:p w14:paraId="6CD65422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3" w:name="_Toc27256"/>
      <w:r>
        <w:rPr>
          <w:rFonts w:hint="default"/>
          <w:lang w:val="en-US" w:eastAsia="zh-CN"/>
        </w:rPr>
        <w:t>公司经营与合规情况</w:t>
      </w:r>
      <w:bookmarkEnd w:id="33"/>
    </w:p>
    <w:p w14:paraId="3C4BA812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34" w:name="_Toc4130"/>
      <w:r>
        <w:rPr>
          <w:rFonts w:hint="default"/>
          <w:lang w:val="en-US" w:eastAsia="zh-CN"/>
        </w:rPr>
        <w:t>主营业务与商业模式</w:t>
      </w:r>
      <w:bookmarkEnd w:id="34"/>
    </w:p>
    <w:p w14:paraId="5BA384CE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35" w:name="_Toc12819"/>
      <w:r>
        <w:rPr>
          <w:rFonts w:hint="default"/>
          <w:lang w:val="en-US" w:eastAsia="zh-CN"/>
        </w:rPr>
        <w:t>行业准入与核心资质许可</w:t>
      </w:r>
      <w:bookmarkEnd w:id="35"/>
    </w:p>
    <w:p w14:paraId="2092DC55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36" w:name="_Toc30048"/>
      <w:r>
        <w:rPr>
          <w:rFonts w:hint="default"/>
          <w:lang w:val="en-US" w:eastAsia="zh-CN"/>
        </w:rPr>
        <w:t>重大业务合同与债权债务</w:t>
      </w:r>
      <w:bookmarkEnd w:id="36"/>
    </w:p>
    <w:p w14:paraId="149A394B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37" w:name="_Toc19016"/>
      <w:r>
        <w:rPr>
          <w:rFonts w:hint="default"/>
          <w:lang w:val="en-US" w:eastAsia="zh-CN"/>
        </w:rPr>
        <w:t>关联交易与同业竞争</w:t>
      </w:r>
      <w:bookmarkEnd w:id="37"/>
    </w:p>
    <w:p w14:paraId="0696B7C1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38" w:name="_Toc24729"/>
      <w:r>
        <w:rPr>
          <w:rFonts w:hint="default"/>
          <w:lang w:val="en-US" w:eastAsia="zh-CN"/>
        </w:rPr>
        <w:t>环境保护与安全生产</w:t>
      </w:r>
      <w:bookmarkEnd w:id="38"/>
    </w:p>
    <w:p w14:paraId="653652D5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39" w:name="_Toc19008"/>
      <w:r>
        <w:rPr>
          <w:rFonts w:hint="default"/>
          <w:lang w:val="en-US" w:eastAsia="zh-CN"/>
        </w:rPr>
        <w:t>产品质量与标准</w:t>
      </w:r>
      <w:bookmarkEnd w:id="39"/>
    </w:p>
    <w:p w14:paraId="66B1BEF5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0" w:name="_Toc1130"/>
      <w:r>
        <w:rPr>
          <w:rFonts w:hint="default"/>
          <w:lang w:val="en-US" w:eastAsia="zh-CN"/>
        </w:rPr>
        <w:t>公司财务状况与税务</w:t>
      </w:r>
      <w:bookmarkEnd w:id="40"/>
    </w:p>
    <w:p w14:paraId="3D55D5C5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41" w:name="_Toc14777"/>
      <w:r>
        <w:rPr>
          <w:rFonts w:hint="default"/>
          <w:lang w:val="en-US" w:eastAsia="zh-CN"/>
        </w:rPr>
        <w:t>主要财务数据与风险分析</w:t>
      </w:r>
      <w:bookmarkEnd w:id="41"/>
    </w:p>
    <w:p w14:paraId="54FA7906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42" w:name="_Toc21202"/>
      <w:r>
        <w:rPr>
          <w:rFonts w:hint="default"/>
          <w:lang w:val="en-US" w:eastAsia="zh-CN"/>
        </w:rPr>
        <w:t>税务登记与纳税情况</w:t>
      </w:r>
      <w:bookmarkEnd w:id="42"/>
    </w:p>
    <w:p w14:paraId="1DB61FDC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43" w:name="_Toc28457"/>
      <w:r>
        <w:rPr>
          <w:rFonts w:hint="default"/>
          <w:lang w:val="en-US" w:eastAsia="zh-CN"/>
        </w:rPr>
        <w:t>财政补贴与税收优惠</w:t>
      </w:r>
      <w:bookmarkEnd w:id="43"/>
    </w:p>
    <w:p w14:paraId="02402AAA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4" w:name="_Toc27439"/>
      <w:r>
        <w:rPr>
          <w:rFonts w:hint="default"/>
          <w:lang w:val="en-US" w:eastAsia="zh-CN"/>
        </w:rPr>
        <w:t>人力资源与劳动关系</w:t>
      </w:r>
      <w:bookmarkEnd w:id="44"/>
    </w:p>
    <w:p w14:paraId="0518CE7B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45" w:name="_Toc11304"/>
      <w:r>
        <w:rPr>
          <w:rFonts w:hint="default"/>
          <w:lang w:val="en-US" w:eastAsia="zh-CN"/>
        </w:rPr>
        <w:t>员工构成与劳动合同</w:t>
      </w:r>
      <w:bookmarkEnd w:id="45"/>
    </w:p>
    <w:p w14:paraId="7E137B59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46" w:name="_Toc4493"/>
      <w:r>
        <w:rPr>
          <w:rFonts w:hint="default"/>
          <w:lang w:val="en-US" w:eastAsia="zh-CN"/>
        </w:rPr>
        <w:t>社会保险与住房公积金缴纳</w:t>
      </w:r>
      <w:bookmarkEnd w:id="46"/>
    </w:p>
    <w:p w14:paraId="022FB174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47" w:name="_Toc21026"/>
      <w:r>
        <w:rPr>
          <w:rFonts w:hint="default"/>
          <w:lang w:val="en-US" w:eastAsia="zh-CN"/>
        </w:rPr>
        <w:t>薪酬福利与员工激励</w:t>
      </w:r>
      <w:bookmarkEnd w:id="47"/>
    </w:p>
    <w:p w14:paraId="012DA830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8" w:name="_Toc16647"/>
      <w:r>
        <w:rPr>
          <w:rFonts w:hint="default"/>
          <w:lang w:val="en-US" w:eastAsia="zh-CN"/>
        </w:rPr>
        <w:t>诉讼、仲裁与行政处罚</w:t>
      </w:r>
      <w:bookmarkEnd w:id="48"/>
    </w:p>
    <w:p w14:paraId="05A1EB48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49" w:name="_Toc6555"/>
      <w:r>
        <w:rPr>
          <w:rFonts w:hint="default"/>
          <w:lang w:val="en-US" w:eastAsia="zh-CN"/>
        </w:rPr>
        <w:t>未决诉讼、仲裁案件</w:t>
      </w:r>
      <w:bookmarkEnd w:id="49"/>
    </w:p>
    <w:p w14:paraId="05F99527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50" w:name="_Toc14980"/>
      <w:r>
        <w:rPr>
          <w:rFonts w:hint="default"/>
          <w:lang w:val="en-US" w:eastAsia="zh-CN"/>
        </w:rPr>
        <w:t>行政处罚记录</w:t>
      </w:r>
      <w:bookmarkEnd w:id="50"/>
    </w:p>
    <w:p w14:paraId="78257FBB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51" w:name="_Toc18571"/>
      <w:r>
        <w:rPr>
          <w:rFonts w:hint="default"/>
          <w:lang w:val="en-US" w:eastAsia="zh-CN"/>
        </w:rPr>
        <w:t>潜在法律纠纷</w:t>
      </w:r>
      <w:bookmarkEnd w:id="51"/>
    </w:p>
    <w:p w14:paraId="057A4163">
      <w:pPr>
        <w:outlineLvl w:val="0"/>
        <w:rPr>
          <w:rFonts w:hint="default" w:asciiTheme="minorHAnsi" w:hAnsiTheme="minorHAnsi" w:eastAsiaTheme="minorEastAsia" w:cstheme="minorBidi"/>
          <w:b/>
          <w:kern w:val="2"/>
          <w:szCs w:val="24"/>
          <w:lang w:val="en-US" w:eastAsia="zh-CN" w:bidi="ar-SA"/>
        </w:rPr>
      </w:pPr>
    </w:p>
    <w:p w14:paraId="7E39D0BC"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2" w:name="_Toc14880"/>
      <w:r>
        <w:rPr>
          <w:rFonts w:hint="default"/>
          <w:lang w:val="en-US" w:eastAsia="zh-CN"/>
        </w:rPr>
        <w:t>第四部分：结论与建议</w:t>
      </w:r>
      <w:bookmarkEnd w:id="52"/>
    </w:p>
    <w:p w14:paraId="74419BC6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3" w:name="_Toc2202"/>
      <w:r>
        <w:rPr>
          <w:rFonts w:hint="default"/>
          <w:lang w:val="en-US" w:eastAsia="zh-CN"/>
        </w:rPr>
        <w:t>总体法律评价</w:t>
      </w:r>
      <w:bookmarkEnd w:id="53"/>
    </w:p>
    <w:p w14:paraId="779F3D55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4" w:name="_Toc4338"/>
      <w:r>
        <w:rPr>
          <w:rFonts w:hint="default"/>
          <w:lang w:val="en-US" w:eastAsia="zh-CN"/>
        </w:rPr>
        <w:t>交易风险总结</w:t>
      </w:r>
      <w:bookmarkEnd w:id="54"/>
    </w:p>
    <w:p w14:paraId="4E4D1014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5" w:name="_Toc17479"/>
      <w:r>
        <w:rPr>
          <w:rFonts w:hint="default"/>
          <w:lang w:val="en-US" w:eastAsia="zh-CN"/>
        </w:rPr>
        <w:t>行动建议与谈判要点</w:t>
      </w:r>
      <w:bookmarkEnd w:id="55"/>
    </w:p>
    <w:p w14:paraId="2AE14DA5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56" w:name="_Toc3615"/>
      <w:r>
        <w:rPr>
          <w:rFonts w:hint="default"/>
          <w:lang w:val="en-US" w:eastAsia="zh-CN"/>
        </w:rPr>
        <w:t>需在交易前解决的问题</w:t>
      </w:r>
      <w:bookmarkEnd w:id="56"/>
    </w:p>
    <w:p w14:paraId="16592F5A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57" w:name="_Toc27200"/>
      <w:r>
        <w:rPr>
          <w:rFonts w:hint="default"/>
          <w:lang w:val="en-US" w:eastAsia="zh-CN"/>
        </w:rPr>
        <w:t>应在交易文件中设置的保障条款（陈述与保证、交割前提条件、赔偿条款等）</w:t>
      </w:r>
      <w:bookmarkEnd w:id="57"/>
    </w:p>
    <w:p w14:paraId="09758FEC"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bookmarkStart w:id="58" w:name="_Toc14674"/>
      <w:r>
        <w:rPr>
          <w:rFonts w:hint="default"/>
          <w:lang w:val="en-US" w:eastAsia="zh-CN"/>
        </w:rPr>
        <w:t>交割后整合建议</w:t>
      </w:r>
      <w:bookmarkEnd w:id="58"/>
    </w:p>
    <w:p w14:paraId="407F258A">
      <w:pPr>
        <w:outlineLvl w:val="0"/>
        <w:rPr>
          <w:rFonts w:hint="default" w:asciiTheme="minorHAnsi" w:hAnsiTheme="minorHAnsi" w:eastAsiaTheme="minorEastAsia" w:cstheme="minorBidi"/>
          <w:b/>
          <w:kern w:val="2"/>
          <w:szCs w:val="24"/>
          <w:lang w:val="en-US" w:eastAsia="zh-CN" w:bidi="ar-SA"/>
        </w:rPr>
      </w:pPr>
    </w:p>
    <w:p w14:paraId="2C870A6D"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9" w:name="_Toc12400"/>
      <w:r>
        <w:rPr>
          <w:rFonts w:hint="default"/>
          <w:lang w:val="en-US" w:eastAsia="zh-CN"/>
        </w:rPr>
        <w:t>第五部分：附件</w:t>
      </w:r>
      <w:bookmarkEnd w:id="59"/>
    </w:p>
    <w:p w14:paraId="5AD52CD4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0" w:name="_Toc12810"/>
      <w:r>
        <w:rPr>
          <w:rFonts w:hint="default"/>
          <w:lang w:val="en-US" w:eastAsia="zh-CN"/>
        </w:rPr>
        <w:t>已阅文件清单</w:t>
      </w:r>
      <w:bookmarkEnd w:id="60"/>
    </w:p>
    <w:p w14:paraId="3B9EAC9D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1" w:name="_Toc31889"/>
      <w:r>
        <w:rPr>
          <w:rFonts w:hint="default"/>
          <w:lang w:val="en-US" w:eastAsia="zh-CN"/>
        </w:rPr>
        <w:t>关键资质证照复印件</w:t>
      </w:r>
      <w:bookmarkEnd w:id="61"/>
    </w:p>
    <w:p w14:paraId="0A92EE5E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2" w:name="_Toc25193"/>
      <w:r>
        <w:rPr>
          <w:rFonts w:hint="default"/>
          <w:lang w:val="en-US" w:eastAsia="zh-CN"/>
        </w:rPr>
        <w:t>重大合同与协议摘要</w:t>
      </w:r>
      <w:bookmarkEnd w:id="62"/>
    </w:p>
    <w:p w14:paraId="1D20FE78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3" w:name="_Toc1608"/>
      <w:r>
        <w:rPr>
          <w:rFonts w:hint="default"/>
          <w:lang w:val="en-US" w:eastAsia="zh-CN"/>
        </w:rPr>
        <w:t>法律法规及政策清单</w:t>
      </w:r>
      <w:bookmarkEnd w:id="63"/>
    </w:p>
    <w:p w14:paraId="7429C65F"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4" w:name="_Toc26981"/>
      <w:r>
        <w:rPr>
          <w:rFonts w:hint="default"/>
          <w:lang w:val="en-US" w:eastAsia="zh-CN"/>
        </w:rPr>
        <w:t>其他支持性文件</w:t>
      </w:r>
      <w:bookmarkEnd w:id="64"/>
    </w:p>
    <w:p w14:paraId="2A126534">
      <w:pPr>
        <w:outlineLvl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E00A7F"/>
    <w:multiLevelType w:val="multilevel"/>
    <w:tmpl w:val="6DE00A7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6E60"/>
    <w:rsid w:val="00150E9C"/>
    <w:rsid w:val="007B7E5C"/>
    <w:rsid w:val="00D82F93"/>
    <w:rsid w:val="01496364"/>
    <w:rsid w:val="01DA4B59"/>
    <w:rsid w:val="02313E10"/>
    <w:rsid w:val="025C2FD7"/>
    <w:rsid w:val="02674823"/>
    <w:rsid w:val="02694201"/>
    <w:rsid w:val="02DE64E2"/>
    <w:rsid w:val="02EB7EF8"/>
    <w:rsid w:val="03DB24FC"/>
    <w:rsid w:val="03EC4C25"/>
    <w:rsid w:val="046509CD"/>
    <w:rsid w:val="04C45163"/>
    <w:rsid w:val="04E255C2"/>
    <w:rsid w:val="04F8428C"/>
    <w:rsid w:val="05404645"/>
    <w:rsid w:val="056965DC"/>
    <w:rsid w:val="060C1F19"/>
    <w:rsid w:val="064C17ED"/>
    <w:rsid w:val="065A16A5"/>
    <w:rsid w:val="07005F70"/>
    <w:rsid w:val="07BA2B52"/>
    <w:rsid w:val="08395723"/>
    <w:rsid w:val="08A357C3"/>
    <w:rsid w:val="08C208DB"/>
    <w:rsid w:val="08DA2A6C"/>
    <w:rsid w:val="0A355B23"/>
    <w:rsid w:val="0B0C13A1"/>
    <w:rsid w:val="0BD965D9"/>
    <w:rsid w:val="0C121887"/>
    <w:rsid w:val="0CC93039"/>
    <w:rsid w:val="0CDA6CCE"/>
    <w:rsid w:val="0E3F7F64"/>
    <w:rsid w:val="0E7505DA"/>
    <w:rsid w:val="0F0C32AC"/>
    <w:rsid w:val="0F965926"/>
    <w:rsid w:val="0FB754E1"/>
    <w:rsid w:val="10F80254"/>
    <w:rsid w:val="116A61E2"/>
    <w:rsid w:val="11BF732B"/>
    <w:rsid w:val="11F24712"/>
    <w:rsid w:val="13661D9D"/>
    <w:rsid w:val="13E6479F"/>
    <w:rsid w:val="13FD3F29"/>
    <w:rsid w:val="14027510"/>
    <w:rsid w:val="147F3339"/>
    <w:rsid w:val="1622214B"/>
    <w:rsid w:val="179A4A8E"/>
    <w:rsid w:val="182F1525"/>
    <w:rsid w:val="187C4FCF"/>
    <w:rsid w:val="19A378EE"/>
    <w:rsid w:val="1A3E30F1"/>
    <w:rsid w:val="1AF80E5A"/>
    <w:rsid w:val="1C182051"/>
    <w:rsid w:val="1CA57980"/>
    <w:rsid w:val="1E1B56CD"/>
    <w:rsid w:val="1F821E53"/>
    <w:rsid w:val="2012684D"/>
    <w:rsid w:val="20434387"/>
    <w:rsid w:val="21027584"/>
    <w:rsid w:val="2166004F"/>
    <w:rsid w:val="217214FD"/>
    <w:rsid w:val="21DE56CE"/>
    <w:rsid w:val="22BE2D5A"/>
    <w:rsid w:val="246430B8"/>
    <w:rsid w:val="247160FB"/>
    <w:rsid w:val="248A2CD4"/>
    <w:rsid w:val="24F719F0"/>
    <w:rsid w:val="254922E1"/>
    <w:rsid w:val="25A25089"/>
    <w:rsid w:val="26211829"/>
    <w:rsid w:val="265609A2"/>
    <w:rsid w:val="26C64F2A"/>
    <w:rsid w:val="26D331CA"/>
    <w:rsid w:val="276517B2"/>
    <w:rsid w:val="279D4ED7"/>
    <w:rsid w:val="295645C4"/>
    <w:rsid w:val="297E71DF"/>
    <w:rsid w:val="2A01375E"/>
    <w:rsid w:val="2A0611CB"/>
    <w:rsid w:val="2A141B1A"/>
    <w:rsid w:val="2A2F5204"/>
    <w:rsid w:val="2BC23307"/>
    <w:rsid w:val="2D214EB5"/>
    <w:rsid w:val="2D864B38"/>
    <w:rsid w:val="2ED528D5"/>
    <w:rsid w:val="2F3E04D1"/>
    <w:rsid w:val="2F5131E1"/>
    <w:rsid w:val="31323A3B"/>
    <w:rsid w:val="31523E53"/>
    <w:rsid w:val="318D2CAB"/>
    <w:rsid w:val="33066699"/>
    <w:rsid w:val="3415081A"/>
    <w:rsid w:val="35C52329"/>
    <w:rsid w:val="36573FE1"/>
    <w:rsid w:val="36BE751E"/>
    <w:rsid w:val="37505B57"/>
    <w:rsid w:val="37F3742E"/>
    <w:rsid w:val="388841C5"/>
    <w:rsid w:val="39397B08"/>
    <w:rsid w:val="39864196"/>
    <w:rsid w:val="39B4555F"/>
    <w:rsid w:val="3C6343C9"/>
    <w:rsid w:val="3D6E4934"/>
    <w:rsid w:val="3F06372C"/>
    <w:rsid w:val="41866105"/>
    <w:rsid w:val="41CD4EF3"/>
    <w:rsid w:val="41DE1732"/>
    <w:rsid w:val="422918FB"/>
    <w:rsid w:val="42844EDA"/>
    <w:rsid w:val="42F343F9"/>
    <w:rsid w:val="440312BA"/>
    <w:rsid w:val="442113F6"/>
    <w:rsid w:val="44865A1A"/>
    <w:rsid w:val="448720B0"/>
    <w:rsid w:val="4537005D"/>
    <w:rsid w:val="455A4649"/>
    <w:rsid w:val="4586654E"/>
    <w:rsid w:val="458F2F79"/>
    <w:rsid w:val="45A97C67"/>
    <w:rsid w:val="462B0756"/>
    <w:rsid w:val="4657196B"/>
    <w:rsid w:val="47481CCF"/>
    <w:rsid w:val="479B05CC"/>
    <w:rsid w:val="47A812BF"/>
    <w:rsid w:val="47BB30EC"/>
    <w:rsid w:val="48592EA2"/>
    <w:rsid w:val="48904F37"/>
    <w:rsid w:val="48AC3C84"/>
    <w:rsid w:val="49114881"/>
    <w:rsid w:val="49560589"/>
    <w:rsid w:val="49C442A0"/>
    <w:rsid w:val="4A113B43"/>
    <w:rsid w:val="4A710033"/>
    <w:rsid w:val="4C580FED"/>
    <w:rsid w:val="4C8E6942"/>
    <w:rsid w:val="4C9319AF"/>
    <w:rsid w:val="4CE11019"/>
    <w:rsid w:val="4CEF61BA"/>
    <w:rsid w:val="4CF61379"/>
    <w:rsid w:val="4D145D9B"/>
    <w:rsid w:val="4D390D9C"/>
    <w:rsid w:val="4D7C6EA3"/>
    <w:rsid w:val="4DAB4B9B"/>
    <w:rsid w:val="4E5E2F4C"/>
    <w:rsid w:val="4EDE4FD9"/>
    <w:rsid w:val="4F5D5FC0"/>
    <w:rsid w:val="4FB26274"/>
    <w:rsid w:val="50600C0B"/>
    <w:rsid w:val="523113E4"/>
    <w:rsid w:val="525D6C85"/>
    <w:rsid w:val="52620E2F"/>
    <w:rsid w:val="52807199"/>
    <w:rsid w:val="531A7926"/>
    <w:rsid w:val="53C15E9A"/>
    <w:rsid w:val="540675CC"/>
    <w:rsid w:val="541D56CC"/>
    <w:rsid w:val="54B32A9F"/>
    <w:rsid w:val="54BF5524"/>
    <w:rsid w:val="54DC31D7"/>
    <w:rsid w:val="557B1BF5"/>
    <w:rsid w:val="55A734AD"/>
    <w:rsid w:val="55B039A6"/>
    <w:rsid w:val="5618155E"/>
    <w:rsid w:val="5707005D"/>
    <w:rsid w:val="572C25D5"/>
    <w:rsid w:val="576B70FB"/>
    <w:rsid w:val="57A26F21"/>
    <w:rsid w:val="57D7369B"/>
    <w:rsid w:val="588652F6"/>
    <w:rsid w:val="58DB504D"/>
    <w:rsid w:val="58E439E2"/>
    <w:rsid w:val="59042146"/>
    <w:rsid w:val="59FF7807"/>
    <w:rsid w:val="5AED46ED"/>
    <w:rsid w:val="5CB52E4D"/>
    <w:rsid w:val="5DFF6478"/>
    <w:rsid w:val="5E99014D"/>
    <w:rsid w:val="5F7553F4"/>
    <w:rsid w:val="60BF7AD9"/>
    <w:rsid w:val="60D013AF"/>
    <w:rsid w:val="617B6546"/>
    <w:rsid w:val="61CD1BC6"/>
    <w:rsid w:val="62990F8E"/>
    <w:rsid w:val="62FC3C51"/>
    <w:rsid w:val="630B5EB3"/>
    <w:rsid w:val="63850EF9"/>
    <w:rsid w:val="63DB2B2F"/>
    <w:rsid w:val="63FB4214"/>
    <w:rsid w:val="645130ED"/>
    <w:rsid w:val="650F6EDD"/>
    <w:rsid w:val="6558060D"/>
    <w:rsid w:val="65C901A1"/>
    <w:rsid w:val="660513C8"/>
    <w:rsid w:val="66280841"/>
    <w:rsid w:val="662A0AF0"/>
    <w:rsid w:val="670577A8"/>
    <w:rsid w:val="674E2F36"/>
    <w:rsid w:val="682B2039"/>
    <w:rsid w:val="6A4431A2"/>
    <w:rsid w:val="6A6B01AF"/>
    <w:rsid w:val="6B711628"/>
    <w:rsid w:val="6C083A72"/>
    <w:rsid w:val="6C142C6B"/>
    <w:rsid w:val="6C4C0C2B"/>
    <w:rsid w:val="6C802EE3"/>
    <w:rsid w:val="6C8D67AD"/>
    <w:rsid w:val="6C9B0549"/>
    <w:rsid w:val="6CD1005C"/>
    <w:rsid w:val="6D717CE3"/>
    <w:rsid w:val="6DAB2B00"/>
    <w:rsid w:val="6DB91D29"/>
    <w:rsid w:val="6E7F62E5"/>
    <w:rsid w:val="6EC06224"/>
    <w:rsid w:val="6EE80EE6"/>
    <w:rsid w:val="6F1B75F9"/>
    <w:rsid w:val="6F2722AE"/>
    <w:rsid w:val="6F2C6AE2"/>
    <w:rsid w:val="6F602E82"/>
    <w:rsid w:val="6FB70A5B"/>
    <w:rsid w:val="6FC02CDA"/>
    <w:rsid w:val="6FD13E71"/>
    <w:rsid w:val="7011442B"/>
    <w:rsid w:val="708F1E9E"/>
    <w:rsid w:val="70A93E2F"/>
    <w:rsid w:val="713322A4"/>
    <w:rsid w:val="72655BFC"/>
    <w:rsid w:val="73150301"/>
    <w:rsid w:val="73817E88"/>
    <w:rsid w:val="744C4F3B"/>
    <w:rsid w:val="74AD7FDA"/>
    <w:rsid w:val="757B7E04"/>
    <w:rsid w:val="769477B9"/>
    <w:rsid w:val="76BC4592"/>
    <w:rsid w:val="78FC0705"/>
    <w:rsid w:val="7A0A549F"/>
    <w:rsid w:val="7AEC0C39"/>
    <w:rsid w:val="7B2916A4"/>
    <w:rsid w:val="7C1751E1"/>
    <w:rsid w:val="7C5F25D6"/>
    <w:rsid w:val="7D5B4891"/>
    <w:rsid w:val="7E494BEC"/>
    <w:rsid w:val="7E677111"/>
    <w:rsid w:val="7F343D70"/>
    <w:rsid w:val="7F4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1019</Words>
  <Characters>1019</Characters>
  <Lines>0</Lines>
  <Paragraphs>0</Paragraphs>
  <TotalTime>35</TotalTime>
  <ScaleCrop>false</ScaleCrop>
  <LinksUpToDate>false</LinksUpToDate>
  <CharactersWithSpaces>1279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2025-02-26T07:51:00Z</dcterms:created>
  <dc:creator>15159</dc:creator>
  <cp:lastModifiedBy>高泽熙</cp:lastModifiedBy>
  <dcterms:modified xsi:type="dcterms:W3CDTF">2025-10-01T04:12:02Z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1C806B49675F44F5BF551E78349681C8_13</vt:lpwstr>
  </property>
  <property fmtid="{D5CDD505-2E9C-101B-9397-08002B2CF9AE}" pid="4" name="KSOTemplateDocerSaveRecord">
    <vt:lpwstr>eyJoZGlkIjoiZTU3MTczYTY0NDE4ZWM2NzQ4ZTNkMDAxYmNhZmIzZWUiLCJ1c2VySWQiOiIxNjYyMDIxMDA3In0=</vt:lpwstr>
  </property>
</Properties>
</file>