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120FD7">
      <w:pPr>
        <w:jc w:val="center"/>
        <w:rPr>
          <w:b/>
          <w:sz w:val="24"/>
        </w:rPr>
      </w:pPr>
      <w:r>
        <w:rPr>
          <w:b/>
          <w:sz w:val="24"/>
        </w:rPr>
        <w:t>ABSTRACT</w:t>
      </w:r>
    </w:p>
    <w:p w14:paraId="373B3F5B" w14:textId="77777777" w:rsidR="00136DC7" w:rsidRDefault="00136DC7" w:rsidP="00120FD7">
      <w:pPr>
        <w:jc w:val="both"/>
      </w:pPr>
    </w:p>
    <w:p w14:paraId="56B0482B" w14:textId="77777777" w:rsidR="00770D41" w:rsidRDefault="00770D41" w:rsidP="00770D41">
      <w:pPr>
        <w:ind w:firstLine="720"/>
      </w:pPr>
      <w:r>
        <w:t>We have compared three modeling approaches for the radiant system: 1) an RC network model, 2) a GGMR approach, and 3) a combination of the RC and GGMR models. The study performed minutely heating and cooling rates prediction for using 50 days, from January 15</w:t>
      </w:r>
      <w:r w:rsidRPr="00465936">
        <w:rPr>
          <w:vertAlign w:val="superscript"/>
        </w:rPr>
        <w:t>th</w:t>
      </w:r>
      <w:r>
        <w:t xml:space="preserve"> to March 7</w:t>
      </w:r>
      <w:r w:rsidRPr="00465936">
        <w:rPr>
          <w:vertAlign w:val="superscript"/>
        </w:rPr>
        <w:t>th</w:t>
      </w:r>
      <w:r>
        <w:t xml:space="preserve">, 2022, for a Living Laboratory office space at Purdue University. Both three modeling approaches used the first two weeks data for training and the rest of data as testing data set. For the performance comparison, the RC model has achieved normalized root mean square error (NRMSE) as 3%, coefficient of variation of root </w:t>
      </w:r>
      <w:proofErr w:type="gramStart"/>
      <w:r>
        <w:t>mean</w:t>
      </w:r>
      <w:proofErr w:type="gramEnd"/>
      <w:r>
        <w:t xml:space="preserve"> square error (CVRMSE) as 144.18, mean absolute error (MAE) as 855.30 watts, and mean absolute percentage error (MAPE) as 26%.</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D39F442" w:rsidR="00B50A22" w:rsidRDefault="003E7DD4" w:rsidP="004C59D6">
      <w:pPr>
        <w:jc w:val="both"/>
      </w:pPr>
      <w:r>
        <w:t xml:space="preserve">This section will elaborate on the methodology developed to improve the prediction performance, which is starting from the RC network model, the GGMR approach, and the Hybrid Modeling approach from RC model and GGMR. Finally, all the performance criteria </w:t>
      </w:r>
      <w:r w:rsidR="003E3E05">
        <w:t>metrics are described in the last subsection.</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70927F0B" w14:textId="60A476FA" w:rsidR="00B83C4A" w:rsidRDefault="00B83C4A" w:rsidP="00B83C4A">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w:t>
      </w:r>
      <w:r>
        <w:t>neighboring</w:t>
      </w:r>
      <w:r>
        <w:t xml:space="preserve">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p w14:paraId="207533D5" w14:textId="7F975FE7" w:rsidR="00B83C4A" w:rsidRDefault="00B83C4A" w:rsidP="00B83C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B83C4A">
        <w:tc>
          <w:tcPr>
            <w:tcW w:w="625" w:type="dxa"/>
          </w:tcPr>
          <w:p w14:paraId="784BD9C2" w14:textId="77777777" w:rsidR="00B83C4A" w:rsidRDefault="00B83C4A" w:rsidP="00B83C4A"/>
        </w:tc>
        <w:tc>
          <w:tcPr>
            <w:tcW w:w="8100" w:type="dxa"/>
          </w:tcPr>
          <w:p w14:paraId="10EDE1D6" w14:textId="3AD62519" w:rsidR="00B83C4A" w:rsidRDefault="008C7192"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20D3396C" w:rsidR="00B83C4A" w:rsidRDefault="00B83C4A" w:rsidP="00B83C4A">
            <w:r>
              <w:t>(</w:t>
            </w:r>
            <w:fldSimple w:instr=" SEQ Eq \* MERGEFORMAT ">
              <w:r w:rsidR="00130CF9">
                <w:rPr>
                  <w:noProof/>
                </w:rPr>
                <w:t>1</w:t>
              </w:r>
            </w:fldSimple>
            <w:r>
              <w:t>)</w:t>
            </w:r>
          </w:p>
        </w:tc>
      </w:tr>
    </w:tbl>
    <w:p w14:paraId="6D472A1C" w14:textId="5E27647D" w:rsidR="00B83C4A" w:rsidRDefault="00B83C4A" w:rsidP="00B83C4A"/>
    <w:p w14:paraId="2846F40A" w14:textId="77777777" w:rsidR="00B83C4A" w:rsidRDefault="00B83C4A" w:rsidP="00B83C4A"/>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28668B">
        <w:tc>
          <w:tcPr>
            <w:tcW w:w="625" w:type="dxa"/>
          </w:tcPr>
          <w:p w14:paraId="05686F69" w14:textId="77777777" w:rsidR="008C7192" w:rsidRDefault="008C7192" w:rsidP="00B83C4A"/>
        </w:tc>
        <w:tc>
          <w:tcPr>
            <w:tcW w:w="8100" w:type="dxa"/>
          </w:tcPr>
          <w:p w14:paraId="1286B91C" w14:textId="5A39FB34" w:rsidR="008C7192" w:rsidRPr="00BB444F" w:rsidRDefault="0028668B" w:rsidP="008C7192">
            <w:pPr>
              <w:rPr>
                <w:bCs/>
              </w:rPr>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m:t>
                </m:r>
                <m:r>
                  <m:rPr>
                    <m:sty m:val="p"/>
                  </m:rPr>
                  <w:rPr>
                    <w:rFonts w:ascii="Cambria Math" w:hAnsi="Cambria Math"/>
                  </w:rPr>
                  <m:t>u</m:t>
                </m:r>
              </m:oMath>
            </m:oMathPara>
          </w:p>
        </w:tc>
        <w:tc>
          <w:tcPr>
            <w:tcW w:w="625" w:type="dxa"/>
          </w:tcPr>
          <w:p w14:paraId="55780FDB" w14:textId="7EFBF1CF" w:rsidR="008C7192" w:rsidRDefault="008C7192" w:rsidP="00B83C4A">
            <w:r>
              <w:t>(</w:t>
            </w:r>
            <w:fldSimple w:instr=" SEQ Eq \* MERGEFORMAT ">
              <w:r w:rsidR="00130CF9">
                <w:rPr>
                  <w:noProof/>
                </w:rPr>
                <w:t>2</w:t>
              </w:r>
            </w:fldSimple>
            <w:r>
              <w:t>)</w:t>
            </w:r>
          </w:p>
        </w:tc>
      </w:tr>
      <w:tr w:rsidR="008C7192" w14:paraId="13B1C2B4" w14:textId="77777777" w:rsidTr="00B83C4A">
        <w:tc>
          <w:tcPr>
            <w:tcW w:w="625" w:type="dxa"/>
          </w:tcPr>
          <w:p w14:paraId="59DAD25E" w14:textId="77777777" w:rsidR="008C7192" w:rsidRDefault="008C7192" w:rsidP="00B83C4A"/>
        </w:tc>
        <w:tc>
          <w:tcPr>
            <w:tcW w:w="8100" w:type="dxa"/>
          </w:tcPr>
          <w:p w14:paraId="3AC54AFF" w14:textId="316A7723" w:rsidR="008C7192" w:rsidRDefault="0028668B" w:rsidP="00B83C4A">
            <w:pPr>
              <w:jc w:val="center"/>
            </w:pPr>
            <m:oMathPara>
              <m:oMath>
                <m:r>
                  <m:rPr>
                    <m:sty m:val="p"/>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tcPr>
          <w:p w14:paraId="3DDAF33A" w14:textId="044245DD" w:rsidR="008C7192" w:rsidRDefault="008C7192" w:rsidP="00B83C4A">
            <w:r>
              <w:t>(</w:t>
            </w:r>
            <w:fldSimple w:instr=" SEQ Eq \* MERGEFORMAT ">
              <w:r w:rsidR="00130CF9">
                <w:rPr>
                  <w:noProof/>
                </w:rPr>
                <w:t>3</w:t>
              </w:r>
            </w:fldSimple>
            <w:r>
              <w:t>)</w:t>
            </w:r>
          </w:p>
        </w:tc>
      </w:tr>
    </w:tbl>
    <w:p w14:paraId="4532A291" w14:textId="6E8D6FC5" w:rsidR="00B83C4A" w:rsidRPr="00E56C31" w:rsidRDefault="00B83C4A" w:rsidP="00B83C4A">
      <w:pPr>
        <w:rPr>
          <w:b/>
          <w:bCs/>
        </w:rPr>
      </w:pPr>
    </w:p>
    <w:p w14:paraId="4293624D" w14:textId="7479FDBE" w:rsidR="00B83C4A" w:rsidRDefault="00B83C4A" w:rsidP="00B83C4A">
      <w:r w:rsidRPr="00E56C31">
        <w:lastRenderedPageBreak/>
        <w:t xml:space="preserve">For </w:t>
      </w:r>
      <w:r>
        <w:t xml:space="preserve">a radiant slab system model, the output variable is the cooling and heating load. The state vector contains all the temperature nodes, which are surround by the estimated resistors and capacitors. The input vector includes </w:t>
      </w:r>
      <w:r w:rsidR="002B1990">
        <w:t>all</w:t>
      </w:r>
      <w:r>
        <w:t xml:space="preserve"> the driving conditions, such as the hot water or chilled water temperature and derivation along the sampling time within tubes, outdoor air temperature, solar radiation, </w:t>
      </w:r>
      <w:proofErr w:type="gramStart"/>
      <w:r>
        <w:t>lighting</w:t>
      </w:r>
      <w:proofErr w:type="gramEnd"/>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7E670F"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918B5A5" w:rsidR="002B1990" w:rsidRDefault="002B1990" w:rsidP="00B83C4A">
            <w:r>
              <w:t>(</w:t>
            </w:r>
            <w:fldSimple w:instr=" SEQ Eq \* MERGEFORMAT ">
              <w:r w:rsidR="00130CF9">
                <w:rPr>
                  <w:noProof/>
                </w:rPr>
                <w:t>4</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7E670F"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0D3E898" w:rsidR="007E670F" w:rsidRDefault="007E670F" w:rsidP="00B83C4A">
            <w:r>
              <w:t>(</w:t>
            </w:r>
            <w:fldSimple w:instr=" SEQ Eq \* MERGEFORMAT ">
              <w:r w:rsidR="00130CF9">
                <w:rPr>
                  <w:noProof/>
                </w:rPr>
                <w:t>5</w:t>
              </w:r>
            </w:fldSimple>
            <w:r>
              <w:t>)</w:t>
            </w:r>
          </w:p>
        </w:tc>
      </w:tr>
    </w:tbl>
    <w:p w14:paraId="66AD4866" w14:textId="77777777" w:rsidR="002B1990" w:rsidRDefault="002B1990" w:rsidP="00B83C4A"/>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6B8C7C6E"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721760C" w:rsidR="007E670F" w:rsidRDefault="007E670F" w:rsidP="00B83C4A">
            <w:r>
              <w:t>(</w:t>
            </w:r>
            <w:fldSimple w:instr=" SEQ Eq \* MERGEFORMAT ">
              <w:r w:rsidR="00130CF9">
                <w:rPr>
                  <w:noProof/>
                </w:rPr>
                <w:t>6</w:t>
              </w:r>
            </w:fldSimple>
            <w:r>
              <w:t>)</w:t>
            </w:r>
          </w:p>
        </w:tc>
      </w:tr>
    </w:tbl>
    <w:p w14:paraId="704703EC" w14:textId="77777777" w:rsidR="00560829" w:rsidRDefault="00560829" w:rsidP="00B83C4A"/>
    <w:p w14:paraId="3261B9F6" w14:textId="28B45C2D" w:rsidR="00B83C4A" w:rsidRDefault="00B83C4A" w:rsidP="00B83C4A">
      <w:r>
        <w:t>In general, the above gray-box RC model optimization problem is not linear nor convex in terms of the estimate parameter and output variable trajectory. Particle swarm optimization (PSO) from python package (</w:t>
      </w:r>
      <w:proofErr w:type="spellStart"/>
      <w:r>
        <w:t>pyswarms</w:t>
      </w:r>
      <w:proofErr w:type="spellEnd"/>
      <w:r>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002234F5" w:rsidRPr="002234F5">
        <w:t>(James V. Miranda, 2018)</w:t>
      </w:r>
      <w:r>
        <w:fldChar w:fldCharType="end"/>
      </w:r>
      <w:r>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15DC103F" w14:textId="406951FD" w:rsidR="00A32B1B" w:rsidRPr="00B83C4A" w:rsidRDefault="003E3E05" w:rsidP="003E3E05">
      <w:r>
        <w:t xml:space="preserve">Four indices, normalized root mean square error (NRMSE), </w:t>
      </w:r>
    </w:p>
    <w:p w14:paraId="69BA3DBE" w14:textId="77777777" w:rsidR="00B50A22" w:rsidRPr="001A2A06" w:rsidRDefault="00B50A22"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31AE14A2" w:rsidR="00A27328" w:rsidRPr="00A27328" w:rsidRDefault="00A27328" w:rsidP="00A27328">
      <w:r>
        <w:t xml:space="preserve">This section presents the case-study for the development of the Hybrid Model </w:t>
      </w:r>
      <w:r w:rsidR="00BD674C">
        <w:t>of</w:t>
      </w:r>
      <w:r>
        <w:t xml:space="preserve"> RC network model and GGMR </w:t>
      </w:r>
      <w:r w:rsidR="00BD674C">
        <w:t>approach</w:t>
      </w:r>
      <w:r>
        <w:t xml:space="preserve">. It starts with the description of data collection process, 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4272031" w:rsidR="00A81326" w:rsidRDefault="000342C1" w:rsidP="00C156E5">
      <w:pPr>
        <w:widowControl w:val="0"/>
        <w:jc w:val="both"/>
      </w:pPr>
      <w:r>
        <w:t xml:space="preserve">The minutely data </w:t>
      </w:r>
      <w:r w:rsidR="00A439FF">
        <w:t xml:space="preserve">consists of two types, onsite sensor data and estimated data. </w:t>
      </w:r>
      <w:r>
        <w:t xml:space="preserve">In terms of the onsite sensor data, they include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As for</w:t>
      </w:r>
      <w:r w:rsidR="00C36FC7">
        <w:t xml:space="preserve"> </w:t>
      </w:r>
      <w:r w:rsidR="00A439FF">
        <w:t xml:space="preserve">the </w:t>
      </w:r>
      <w:r w:rsidR="00C36FC7">
        <w:t>estimated input data,</w:t>
      </w:r>
      <w:r w:rsidR="008F04BE">
        <w:t xml:space="preserve"> they are estimated </w:t>
      </w:r>
      <w:r w:rsidR="002234F5">
        <w:t xml:space="preserve">according to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t>3.1</w:t>
      </w:r>
      <w:r w:rsidRPr="00B50A22">
        <w:t xml:space="preserve"> </w:t>
      </w:r>
      <w:r>
        <w:t>RC Network Model Development</w:t>
      </w:r>
    </w:p>
    <w:p w14:paraId="6EC91712" w14:textId="524083A2" w:rsidR="00592875" w:rsidRDefault="00C625B9" w:rsidP="00592875">
      <w:r>
        <w:t>Two data-driven RC network models have been developed based on the state-space formulation from equation (2) (3)</w:t>
      </w:r>
      <w:r w:rsidR="00B20D68">
        <w:t xml:space="preserve"> as shown in figure (1) (2) including 4-states model and 6-states model</w:t>
      </w:r>
      <w:r>
        <w:t>.</w:t>
      </w:r>
      <w:r w:rsidR="00B20D68">
        <w:t xml:space="preserve"> Different from 4-states model, 6-states model explicitly set the thermal insulation layer</w:t>
      </w:r>
      <w:r w:rsidR="00592875">
        <w:t xml:space="preserve"> node</w:t>
      </w:r>
      <w:r w:rsidR="00B20D68">
        <w:t xml:space="preserve"> below slab pipes as </w:t>
      </w:r>
      <w:r w:rsidR="00592875">
        <w:t xml:space="preserve">additional state node. </w:t>
      </w:r>
      <w:r w:rsidR="00592875">
        <w:t xml:space="preserve">The </w:t>
      </w:r>
      <w:r w:rsidR="00592875">
        <w:t>following</w:t>
      </w:r>
      <w:r w:rsidR="00592875">
        <w:t xml:space="preserve"> figure</w:t>
      </w:r>
      <w:r w:rsidR="00592875">
        <w:t>s</w:t>
      </w:r>
      <w:r w:rsidR="00592875">
        <w:t xml:space="preserve"> depict</w:t>
      </w:r>
      <w:r w:rsidR="00592875">
        <w:t xml:space="preserve"> two different</w:t>
      </w:r>
      <w:r w:rsidR="00592875">
        <w:t xml:space="preserve"> electrical analog</w:t>
      </w:r>
      <w:r w:rsidR="00592875">
        <w:t>s</w:t>
      </w:r>
      <w:r w:rsidR="00592875">
        <w:t xml:space="preserve"> for radiant slab systems RC network, in which  </w:t>
      </w:r>
      <m:oMath>
        <m:r>
          <w:rPr>
            <w:rFonts w:ascii="Cambria Math" w:hAnsi="Cambria Math"/>
          </w:rPr>
          <m:t xml:space="preserve">T, C,Q, </m:t>
        </m:r>
        <m:r>
          <m:rPr>
            <m:sty m:val="p"/>
          </m:rPr>
          <w:rPr>
            <w:rFonts w:ascii="Cambria Math" w:hAnsi="Cambria Math"/>
          </w:rPr>
          <m:t>α</m:t>
        </m:r>
      </m:oMath>
      <w:r w:rsidR="00592875">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rsidR="00592875">
        <w:t xml:space="preserve">, represent outdoor air, façade cavity, slab concrete, hot water or chilled water within tubes, insulation below tubes, envelope, room air, internal wall, solar radiation, internal heat, lighting, air handling unit, thermal heat flux load requirements. </w:t>
      </w:r>
      <w:r w:rsidR="00232E05">
        <w:t>Figure 3 shows the predicted and measured results for testing period. Model 2 has much lower MAPE and has been selected as the best model for RC network approach.</w:t>
      </w:r>
    </w:p>
    <w:p w14:paraId="6C9C74A7" w14:textId="2828A958" w:rsidR="006E2A2A" w:rsidRDefault="006E2A2A" w:rsidP="006E2A2A">
      <w:r>
        <w:t xml:space="preserve">The </w:t>
      </w:r>
      <w:r>
        <w:t>Model 2</w:t>
      </w:r>
      <w:r>
        <w:t xml:space="preserve"> can be represented with a state-space model with the following definition for state, input, and output variables:</w:t>
      </w:r>
    </w:p>
    <w:p w14:paraId="1006B6B8" w14:textId="77777777" w:rsidR="006E2A2A" w:rsidRDefault="006E2A2A" w:rsidP="00592875"/>
    <w:p w14:paraId="189C47F1" w14:textId="3E80B7D3" w:rsidR="00F52A42" w:rsidRDefault="00F52A42" w:rsidP="005928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130CF9">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F52A42"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588A4F5B" w:rsidR="00F52A42" w:rsidRDefault="00F52A42" w:rsidP="0025344D">
            <w:r>
              <w:t>(</w:t>
            </w:r>
            <w:r>
              <w:fldChar w:fldCharType="begin"/>
            </w:r>
            <w:r>
              <w:instrText xml:space="preserve"> SEQ Eq \* MERGEFORMAT </w:instrText>
            </w:r>
            <w:r>
              <w:fldChar w:fldCharType="separate"/>
            </w:r>
            <w:r w:rsidR="00130CF9">
              <w:rPr>
                <w:noProof/>
              </w:rPr>
              <w:t>7</w:t>
            </w:r>
            <w:r>
              <w:fldChar w:fldCharType="end"/>
            </w:r>
            <w:r>
              <w:t>)</w:t>
            </w:r>
          </w:p>
        </w:tc>
      </w:tr>
    </w:tbl>
    <w:p w14:paraId="6B18FA3C" w14:textId="77777777" w:rsidR="00F52A42" w:rsidRDefault="00F52A42" w:rsidP="005928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4DC4EB8E" w14:textId="77777777" w:rsidTr="00130CF9">
        <w:trPr>
          <w:jc w:val="center"/>
        </w:trPr>
        <w:tc>
          <w:tcPr>
            <w:tcW w:w="625" w:type="dxa"/>
            <w:vAlign w:val="center"/>
          </w:tcPr>
          <w:p w14:paraId="738360FB" w14:textId="77777777" w:rsidR="00F52A42" w:rsidRDefault="00F52A42" w:rsidP="0025344D"/>
        </w:tc>
        <w:tc>
          <w:tcPr>
            <w:tcW w:w="8100" w:type="dxa"/>
            <w:vAlign w:val="center"/>
          </w:tcPr>
          <w:p w14:paraId="122C7B5E" w14:textId="036CEDBF" w:rsidR="00F52A42" w:rsidRDefault="00F52A42" w:rsidP="0025344D">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w:commentRangeStart w:id="0"/>
                        <w:commentRangeEnd w:id="0"/>
                        <m:r>
                          <m:rPr>
                            <m:sty m:val="p"/>
                          </m:rPr>
                          <w:rPr>
                            <w:rStyle w:val="CommentReference"/>
                            <w:rFonts w:ascii="Cambria Math" w:hAnsi="Cambria Math"/>
                          </w:rPr>
                          <w:commentReference w:id="0"/>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w:commentRangeStart w:id="1"/>
                    <w:commentRangeEnd w:id="1"/>
                    <m:r>
                      <m:rPr>
                        <m:sty m:val="p"/>
                      </m:rPr>
                      <w:rPr>
                        <w:rStyle w:val="CommentReference"/>
                        <w:rFonts w:ascii="Cambria Math" w:hAnsi="Cambria Math"/>
                      </w:rPr>
                      <w:commentReference w:id="1"/>
                    </m:r>
                    <m:ctrlPr>
                      <w:rPr>
                        <w:rFonts w:ascii="Cambria Math" w:hAnsi="Cambria Math"/>
                        <w:i/>
                      </w:rPr>
                    </m:ctrlPr>
                  </m:e>
                </m:d>
              </m:oMath>
            </m:oMathPara>
          </w:p>
        </w:tc>
        <w:tc>
          <w:tcPr>
            <w:tcW w:w="625" w:type="dxa"/>
            <w:vAlign w:val="center"/>
          </w:tcPr>
          <w:p w14:paraId="4F857421" w14:textId="74C534DA" w:rsidR="00F52A42" w:rsidRDefault="00F52A42" w:rsidP="0025344D">
            <w:r>
              <w:t>(</w:t>
            </w:r>
            <w:r>
              <w:fldChar w:fldCharType="begin"/>
            </w:r>
            <w:r>
              <w:instrText xml:space="preserve"> SEQ Eq \* MERGEFORMAT </w:instrText>
            </w:r>
            <w:r>
              <w:fldChar w:fldCharType="separate"/>
            </w:r>
            <w:r w:rsidR="00130CF9">
              <w:rPr>
                <w:noProof/>
              </w:rPr>
              <w:t>8</w:t>
            </w:r>
            <w:r>
              <w:fldChar w:fldCharType="end"/>
            </w:r>
            <w:r>
              <w:t>)</w:t>
            </w:r>
          </w:p>
        </w:tc>
      </w:tr>
    </w:tbl>
    <w:p w14:paraId="627DBC3A" w14:textId="70AAE416" w:rsidR="00F52A42" w:rsidRDefault="00F52A42" w:rsidP="005928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E2A2A" w14:paraId="45E09066" w14:textId="77777777" w:rsidTr="00130CF9">
        <w:trPr>
          <w:jc w:val="center"/>
        </w:trPr>
        <w:tc>
          <w:tcPr>
            <w:tcW w:w="625" w:type="dxa"/>
            <w:vAlign w:val="center"/>
          </w:tcPr>
          <w:p w14:paraId="14A6F3EC" w14:textId="77777777" w:rsidR="00F52A42" w:rsidRDefault="00F52A42" w:rsidP="0025344D"/>
        </w:tc>
        <w:tc>
          <w:tcPr>
            <w:tcW w:w="8100" w:type="dxa"/>
            <w:vAlign w:val="center"/>
          </w:tcPr>
          <w:p w14:paraId="63508401" w14:textId="04170D7C" w:rsidR="00F52A42" w:rsidRDefault="00F52A42" w:rsidP="0025344D">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2E4FD92" w14:textId="5388B6CD" w:rsidR="00F52A42" w:rsidRDefault="00F52A42" w:rsidP="0025344D">
            <w:r>
              <w:t>(</w:t>
            </w:r>
            <w:r>
              <w:fldChar w:fldCharType="begin"/>
            </w:r>
            <w:r>
              <w:instrText xml:space="preserve"> SEQ Eq \* MERGEFORMAT </w:instrText>
            </w:r>
            <w:r>
              <w:fldChar w:fldCharType="separate"/>
            </w:r>
            <w:r w:rsidR="00130CF9">
              <w:rPr>
                <w:noProof/>
              </w:rPr>
              <w:t>9</w:t>
            </w:r>
            <w:r>
              <w:fldChar w:fldCharType="end"/>
            </w:r>
            <w:r>
              <w:t>)</w:t>
            </w:r>
          </w:p>
        </w:tc>
      </w:tr>
    </w:tbl>
    <w:p w14:paraId="63E13537" w14:textId="6B6CD7A4" w:rsidR="005A097A" w:rsidRDefault="00130CF9" w:rsidP="005A097A">
      <w:r>
        <w:t>Correspondingly, t</w:t>
      </w:r>
      <w:r w:rsidR="005A097A">
        <w:t>hermal resistances, (</w:t>
      </w:r>
      <m:oMath>
        <m:r>
          <w:rPr>
            <w:rFonts w:ascii="Cambria Math" w:hAnsi="Cambria Math"/>
          </w:rPr>
          <m:t>K</m:t>
        </m:r>
        <m:r>
          <m:rPr>
            <m:lit/>
          </m:rPr>
          <w:rPr>
            <w:rFonts w:ascii="Cambria Math" w:hAnsi="Cambria Math"/>
          </w:rPr>
          <m:t>/</m:t>
        </m:r>
        <m:r>
          <w:rPr>
            <w:rFonts w:ascii="Cambria Math" w:hAnsi="Cambria Math"/>
          </w:rPr>
          <m:t>W</m:t>
        </m:r>
      </m:oMath>
      <w:r w:rsidR="005A097A">
        <w:t>), and thermal capacity, (</w:t>
      </w:r>
      <m:oMath>
        <m:r>
          <w:rPr>
            <w:rFonts w:ascii="Cambria Math" w:hAnsi="Cambria Math"/>
          </w:rPr>
          <m:t>J</m:t>
        </m:r>
        <m:r>
          <m:rPr>
            <m:lit/>
          </m:rPr>
          <w:rPr>
            <w:rFonts w:ascii="Cambria Math" w:hAnsi="Cambria Math"/>
          </w:rPr>
          <m:t>/</m:t>
        </m:r>
        <m:r>
          <w:rPr>
            <w:rFonts w:ascii="Cambria Math" w:hAnsi="Cambria Math"/>
          </w:rPr>
          <m:t>K</m:t>
        </m:r>
      </m:oMath>
      <w:r w:rsidR="005A097A">
        <w:t>), are estimated from the following equations</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130CF9">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3EF1EE62" w:rsidR="00130CF9" w:rsidRDefault="00130CF9" w:rsidP="0025344D">
            <w:r>
              <w:t>(</w:t>
            </w:r>
            <w:r>
              <w:fldChar w:fldCharType="begin"/>
            </w:r>
            <w:r>
              <w:instrText xml:space="preserve"> SEQ Eq \* MERGEFORMAT </w:instrText>
            </w:r>
            <w:r>
              <w:fldChar w:fldCharType="separate"/>
            </w:r>
            <w:r>
              <w:rPr>
                <w:noProof/>
              </w:rPr>
              <w:t>10</w:t>
            </w:r>
            <w:r>
              <w:fldChar w:fldCharType="end"/>
            </w:r>
            <w:r>
              <w:t>)</w:t>
            </w:r>
          </w:p>
        </w:tc>
      </w:tr>
    </w:tbl>
    <w:p w14:paraId="4999AB42" w14:textId="11F5521F" w:rsidR="00130CF9" w:rsidRDefault="00130CF9" w:rsidP="005A097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287E544A" w14:textId="77777777" w:rsidTr="00130CF9">
        <w:trPr>
          <w:jc w:val="center"/>
        </w:trPr>
        <w:tc>
          <w:tcPr>
            <w:tcW w:w="625" w:type="dxa"/>
            <w:vAlign w:val="center"/>
          </w:tcPr>
          <w:p w14:paraId="6823848A" w14:textId="77777777" w:rsidR="00130CF9" w:rsidRDefault="00130CF9" w:rsidP="0025344D"/>
        </w:tc>
        <w:tc>
          <w:tcPr>
            <w:tcW w:w="8100" w:type="dxa"/>
            <w:vAlign w:val="center"/>
          </w:tcPr>
          <w:p w14:paraId="35A08184" w14:textId="5BFE410F" w:rsidR="00130CF9" w:rsidRDefault="00130CF9" w:rsidP="0025344D">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95878E" w14:textId="250A44A1" w:rsidR="00130CF9" w:rsidRDefault="00130CF9" w:rsidP="0025344D">
            <w:r>
              <w:t>(</w:t>
            </w:r>
            <w:r>
              <w:fldChar w:fldCharType="begin"/>
            </w:r>
            <w:r>
              <w:instrText xml:space="preserve"> SEQ Eq \* MERGEFORMAT </w:instrText>
            </w:r>
            <w:r>
              <w:fldChar w:fldCharType="separate"/>
            </w:r>
            <w:r>
              <w:rPr>
                <w:noProof/>
              </w:rPr>
              <w:t>11</w:t>
            </w:r>
            <w:r>
              <w:fldChar w:fldCharType="end"/>
            </w:r>
            <w:r>
              <w:t>)</w:t>
            </w:r>
          </w:p>
        </w:tc>
      </w:tr>
    </w:tbl>
    <w:p w14:paraId="53A2835E" w14:textId="199D8934" w:rsidR="005A097A" w:rsidRDefault="005A097A" w:rsidP="005A097A"/>
    <w:p w14:paraId="1C9686D7" w14:textId="2CCB9846" w:rsidR="005A097A" w:rsidRDefault="005A097A" w:rsidP="005A097A">
      <w:pPr>
        <w:pStyle w:val="Caption"/>
        <w:keepNext/>
      </w:pPr>
      <w:r>
        <w:t xml:space="preserve">Table </w:t>
      </w:r>
      <w:r>
        <w:fldChar w:fldCharType="begin"/>
      </w:r>
      <w:r>
        <w:instrText xml:space="preserve"> SEQ Table \* ARABIC </w:instrText>
      </w:r>
      <w:r>
        <w:fldChar w:fldCharType="separate"/>
      </w:r>
      <w:r w:rsidR="00130CF9">
        <w:rPr>
          <w:noProof/>
        </w:rPr>
        <w:t>1</w:t>
      </w:r>
      <w:r>
        <w:rPr>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5A097A"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t>3.6E-3</w:t>
            </w:r>
          </w:p>
        </w:tc>
        <w:tc>
          <w:tcPr>
            <w:tcW w:w="2337" w:type="dxa"/>
          </w:tcPr>
          <w:p w14:paraId="0262F2BD"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5A097A"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5A097A"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5A097A"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5A097A"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5A097A"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5A097A"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5A097A"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5A097A"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5A097A"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64A6CE37" w14:textId="6E41EF51" w:rsidR="00B20D68" w:rsidRDefault="00B20D68" w:rsidP="00C156E5">
      <w:pPr>
        <w:widowControl w:val="0"/>
        <w:jc w:val="both"/>
      </w:pPr>
    </w:p>
    <w:p w14:paraId="7286E05F" w14:textId="4057B7C7" w:rsidR="00B20D68" w:rsidRDefault="00B20D68" w:rsidP="00C156E5">
      <w:pPr>
        <w:widowControl w:val="0"/>
        <w:jc w:val="both"/>
      </w:pPr>
      <w:r>
        <w:rPr>
          <w:noProof/>
        </w:rPr>
        <w:drawing>
          <wp:inline distT="0" distB="0" distL="0" distR="0" wp14:anchorId="5F377C2C" wp14:editId="5D75FFCB">
            <wp:extent cx="5943600" cy="3932555"/>
            <wp:effectExtent l="19050" t="19050" r="19050" b="1079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2555"/>
                    </a:xfrm>
                    <a:prstGeom prst="rect">
                      <a:avLst/>
                    </a:prstGeom>
                    <a:ln>
                      <a:solidFill>
                        <a:schemeClr val="tx1"/>
                      </a:solidFill>
                    </a:ln>
                  </pic:spPr>
                </pic:pic>
              </a:graphicData>
            </a:graphic>
          </wp:inline>
        </w:drawing>
      </w:r>
    </w:p>
    <w:p w14:paraId="003235D2" w14:textId="3191BAF3" w:rsidR="00B20D68" w:rsidRDefault="00B20D68" w:rsidP="00C156E5">
      <w:pPr>
        <w:widowControl w:val="0"/>
        <w:jc w:val="both"/>
      </w:pPr>
    </w:p>
    <w:p w14:paraId="3EBDCC27" w14:textId="37BAC000" w:rsidR="00B20D68" w:rsidRDefault="00B20D68" w:rsidP="00C156E5">
      <w:pPr>
        <w:widowControl w:val="0"/>
        <w:jc w:val="both"/>
      </w:pPr>
      <w:r w:rsidRPr="00A519BE">
        <w:rPr>
          <w:noProof/>
        </w:rPr>
        <w:lastRenderedPageBreak/>
        <w:drawing>
          <wp:inline distT="0" distB="0" distL="0" distR="0" wp14:anchorId="4BC2CCF8" wp14:editId="6888C412">
            <wp:extent cx="5943600" cy="4090035"/>
            <wp:effectExtent l="19050" t="19050" r="19050" b="2476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3"/>
                    <a:stretch>
                      <a:fillRect/>
                    </a:stretch>
                  </pic:blipFill>
                  <pic:spPr>
                    <a:xfrm>
                      <a:off x="0" y="0"/>
                      <a:ext cx="5943600" cy="4090035"/>
                    </a:xfrm>
                    <a:prstGeom prst="rect">
                      <a:avLst/>
                    </a:prstGeom>
                    <a:ln>
                      <a:solidFill>
                        <a:schemeClr val="tx1"/>
                      </a:solidFill>
                    </a:ln>
                  </pic:spPr>
                </pic:pic>
              </a:graphicData>
            </a:graphic>
          </wp:inline>
        </w:drawing>
      </w:r>
    </w:p>
    <w:p w14:paraId="12649AAB" w14:textId="3C9D5DBE" w:rsidR="00592875" w:rsidRDefault="00592875" w:rsidP="00C156E5">
      <w:pPr>
        <w:widowControl w:val="0"/>
        <w:jc w:val="both"/>
      </w:pPr>
    </w:p>
    <w:p w14:paraId="7C2227EC" w14:textId="3686FD29" w:rsidR="00C941FD" w:rsidRDefault="00C941FD" w:rsidP="00C156E5">
      <w:pPr>
        <w:widowControl w:val="0"/>
        <w:jc w:val="both"/>
      </w:pPr>
      <w:r>
        <w:rPr>
          <w:noProof/>
        </w:rPr>
        <w:drawing>
          <wp:inline distT="0" distB="0" distL="0" distR="0" wp14:anchorId="6CF0D592" wp14:editId="71286A68">
            <wp:extent cx="5943600" cy="2866390"/>
            <wp:effectExtent l="19050" t="19050" r="19050" b="1016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p>
    <w:p w14:paraId="73AADE97" w14:textId="77777777" w:rsidR="00C941FD" w:rsidRDefault="00C941FD" w:rsidP="00C156E5">
      <w:pPr>
        <w:widowControl w:val="0"/>
        <w:jc w:val="both"/>
      </w:pPr>
    </w:p>
    <w:p w14:paraId="43D49E7B" w14:textId="35A4A949" w:rsidR="00592875" w:rsidRDefault="00592875" w:rsidP="00C156E5">
      <w:pPr>
        <w:widowControl w:val="0"/>
        <w:jc w:val="both"/>
      </w:pPr>
      <w:r>
        <w:rPr>
          <w:noProof/>
        </w:rPr>
        <w:lastRenderedPageBreak/>
        <w:drawing>
          <wp:inline distT="0" distB="0" distL="0" distR="0" wp14:anchorId="08FF2506" wp14:editId="3F9FCA62">
            <wp:extent cx="5943600" cy="2866390"/>
            <wp:effectExtent l="19050" t="19050" r="19050" b="1016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p>
    <w:p w14:paraId="41A6AAE1" w14:textId="0EF197F3" w:rsidR="00A81326" w:rsidRDefault="00A81326" w:rsidP="00A81326">
      <w:pPr>
        <w:widowControl w:val="0"/>
      </w:pPr>
    </w:p>
    <w:sectPr w:rsidR="00A81326" w:rsidSect="00803E74">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pingWang" w:date="2022-03-25T11:11:00Z" w:initials="LW">
    <w:p w14:paraId="4A0F64D4" w14:textId="77777777" w:rsidR="00F52A42" w:rsidRDefault="00F52A42" w:rsidP="00F52A42">
      <w:pPr>
        <w:pStyle w:val="CommentText"/>
      </w:pPr>
      <w:r>
        <w:rPr>
          <w:rStyle w:val="CommentReference"/>
        </w:rPr>
        <w:annotationRef/>
      </w:r>
      <w:r>
        <w:t>Format</w:t>
      </w:r>
    </w:p>
  </w:comment>
  <w:comment w:id="1" w:author="LipingWang" w:date="2022-03-25T11:13:00Z" w:initials="LW">
    <w:p w14:paraId="4B9BFCD2" w14:textId="77777777" w:rsidR="00F52A42" w:rsidRDefault="00F52A42" w:rsidP="00F52A42">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F64D4" w15:done="1"/>
  <w15:commentEx w15:paraId="4B9BFC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8493" w16cex:dateUtc="2022-03-25T17:11:00Z"/>
  <w16cex:commentExtensible w16cex:durableId="25EC8492" w16cex:dateUtc="2022-03-25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F64D4" w16cid:durableId="25EC8493"/>
  <w16cid:commentId w16cid:paraId="4B9BFCD2" w16cid:durableId="25EC8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00CF" w14:textId="77777777" w:rsidR="00C6636F" w:rsidRDefault="00C6636F">
      <w:r>
        <w:separator/>
      </w:r>
    </w:p>
  </w:endnote>
  <w:endnote w:type="continuationSeparator" w:id="0">
    <w:p w14:paraId="3C52C419" w14:textId="77777777" w:rsidR="00C6636F" w:rsidRDefault="00C66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05F8" w14:textId="77777777" w:rsidR="00C6636F" w:rsidRDefault="00C6636F">
      <w:r>
        <w:separator/>
      </w:r>
    </w:p>
  </w:footnote>
  <w:footnote w:type="continuationSeparator" w:id="0">
    <w:p w14:paraId="7B84E3A6" w14:textId="77777777" w:rsidR="00C6636F" w:rsidRDefault="00C66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B5835"/>
    <w:rsid w:val="000D358B"/>
    <w:rsid w:val="000E5FF3"/>
    <w:rsid w:val="000F5C3E"/>
    <w:rsid w:val="0011178C"/>
    <w:rsid w:val="00120FD7"/>
    <w:rsid w:val="00130CF9"/>
    <w:rsid w:val="00136DC7"/>
    <w:rsid w:val="00163AA8"/>
    <w:rsid w:val="001728E9"/>
    <w:rsid w:val="001766D6"/>
    <w:rsid w:val="0019278F"/>
    <w:rsid w:val="001A2A06"/>
    <w:rsid w:val="001A77A6"/>
    <w:rsid w:val="001B008E"/>
    <w:rsid w:val="001C1A98"/>
    <w:rsid w:val="001C5DE2"/>
    <w:rsid w:val="001F2F6C"/>
    <w:rsid w:val="00213CDF"/>
    <w:rsid w:val="002234F5"/>
    <w:rsid w:val="00223C27"/>
    <w:rsid w:val="00226F73"/>
    <w:rsid w:val="00232E05"/>
    <w:rsid w:val="0024076D"/>
    <w:rsid w:val="00247715"/>
    <w:rsid w:val="00261D8D"/>
    <w:rsid w:val="002767D3"/>
    <w:rsid w:val="0028668B"/>
    <w:rsid w:val="002A7248"/>
    <w:rsid w:val="002B1990"/>
    <w:rsid w:val="002B30CC"/>
    <w:rsid w:val="002B3449"/>
    <w:rsid w:val="002D2997"/>
    <w:rsid w:val="002E56EA"/>
    <w:rsid w:val="002E673B"/>
    <w:rsid w:val="002E7DB0"/>
    <w:rsid w:val="002F01D9"/>
    <w:rsid w:val="002F41A4"/>
    <w:rsid w:val="00300DAC"/>
    <w:rsid w:val="003019F1"/>
    <w:rsid w:val="003106BE"/>
    <w:rsid w:val="003223F5"/>
    <w:rsid w:val="00323710"/>
    <w:rsid w:val="00365D10"/>
    <w:rsid w:val="003912FC"/>
    <w:rsid w:val="00391C7C"/>
    <w:rsid w:val="003A07DF"/>
    <w:rsid w:val="003A2DB4"/>
    <w:rsid w:val="003A4983"/>
    <w:rsid w:val="003B0672"/>
    <w:rsid w:val="003B0BBC"/>
    <w:rsid w:val="003D6683"/>
    <w:rsid w:val="003E0830"/>
    <w:rsid w:val="003E3E05"/>
    <w:rsid w:val="003E7DD4"/>
    <w:rsid w:val="003F6FD9"/>
    <w:rsid w:val="00421F09"/>
    <w:rsid w:val="00471AEA"/>
    <w:rsid w:val="00473B42"/>
    <w:rsid w:val="0047555C"/>
    <w:rsid w:val="00476B69"/>
    <w:rsid w:val="004837FF"/>
    <w:rsid w:val="00497C38"/>
    <w:rsid w:val="004B07C4"/>
    <w:rsid w:val="004B0FA7"/>
    <w:rsid w:val="004B2C86"/>
    <w:rsid w:val="004C59D6"/>
    <w:rsid w:val="004D6A5C"/>
    <w:rsid w:val="004E0916"/>
    <w:rsid w:val="004E2F90"/>
    <w:rsid w:val="004F1F57"/>
    <w:rsid w:val="004F3C66"/>
    <w:rsid w:val="0051113A"/>
    <w:rsid w:val="00530F4C"/>
    <w:rsid w:val="00560829"/>
    <w:rsid w:val="00581852"/>
    <w:rsid w:val="00592875"/>
    <w:rsid w:val="005A097A"/>
    <w:rsid w:val="005A24DD"/>
    <w:rsid w:val="005A6566"/>
    <w:rsid w:val="005C5B54"/>
    <w:rsid w:val="005F7DE1"/>
    <w:rsid w:val="00604119"/>
    <w:rsid w:val="006168A0"/>
    <w:rsid w:val="00624581"/>
    <w:rsid w:val="006501E2"/>
    <w:rsid w:val="00684A70"/>
    <w:rsid w:val="00692C84"/>
    <w:rsid w:val="0069419B"/>
    <w:rsid w:val="006A6864"/>
    <w:rsid w:val="006B0297"/>
    <w:rsid w:val="006B5CB1"/>
    <w:rsid w:val="006B62D7"/>
    <w:rsid w:val="006E2A2A"/>
    <w:rsid w:val="006F18F2"/>
    <w:rsid w:val="006F1ED1"/>
    <w:rsid w:val="00706A76"/>
    <w:rsid w:val="00722527"/>
    <w:rsid w:val="007233C2"/>
    <w:rsid w:val="00734A8B"/>
    <w:rsid w:val="007356C9"/>
    <w:rsid w:val="00740B88"/>
    <w:rsid w:val="00742799"/>
    <w:rsid w:val="00760631"/>
    <w:rsid w:val="00767AB5"/>
    <w:rsid w:val="00770D41"/>
    <w:rsid w:val="0077249E"/>
    <w:rsid w:val="007759D2"/>
    <w:rsid w:val="00786E38"/>
    <w:rsid w:val="00794940"/>
    <w:rsid w:val="007B5D76"/>
    <w:rsid w:val="007C0E14"/>
    <w:rsid w:val="007C1B00"/>
    <w:rsid w:val="007E3E7C"/>
    <w:rsid w:val="007E670F"/>
    <w:rsid w:val="007F01E9"/>
    <w:rsid w:val="007F45A3"/>
    <w:rsid w:val="007F4BE2"/>
    <w:rsid w:val="007F50E7"/>
    <w:rsid w:val="008021C5"/>
    <w:rsid w:val="00803E74"/>
    <w:rsid w:val="00804030"/>
    <w:rsid w:val="0085006F"/>
    <w:rsid w:val="00873057"/>
    <w:rsid w:val="008736DF"/>
    <w:rsid w:val="00874E03"/>
    <w:rsid w:val="0088264D"/>
    <w:rsid w:val="00882A18"/>
    <w:rsid w:val="00891C0B"/>
    <w:rsid w:val="008A17E2"/>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A083D"/>
    <w:rsid w:val="009A5999"/>
    <w:rsid w:val="009B3995"/>
    <w:rsid w:val="009C5907"/>
    <w:rsid w:val="009D7B5A"/>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3E25"/>
    <w:rsid w:val="00AD5DB6"/>
    <w:rsid w:val="00AE2E46"/>
    <w:rsid w:val="00AF4DBD"/>
    <w:rsid w:val="00B052DC"/>
    <w:rsid w:val="00B20D68"/>
    <w:rsid w:val="00B228BC"/>
    <w:rsid w:val="00B26135"/>
    <w:rsid w:val="00B343D3"/>
    <w:rsid w:val="00B358C6"/>
    <w:rsid w:val="00B36E78"/>
    <w:rsid w:val="00B50A22"/>
    <w:rsid w:val="00B52BE3"/>
    <w:rsid w:val="00B674D3"/>
    <w:rsid w:val="00B738C5"/>
    <w:rsid w:val="00B839AD"/>
    <w:rsid w:val="00B83C4A"/>
    <w:rsid w:val="00B8463E"/>
    <w:rsid w:val="00B932EC"/>
    <w:rsid w:val="00BA02B5"/>
    <w:rsid w:val="00BA1280"/>
    <w:rsid w:val="00BB142D"/>
    <w:rsid w:val="00BB4101"/>
    <w:rsid w:val="00BB444F"/>
    <w:rsid w:val="00BD1E49"/>
    <w:rsid w:val="00BD4B0A"/>
    <w:rsid w:val="00BD674C"/>
    <w:rsid w:val="00C156E5"/>
    <w:rsid w:val="00C36FC7"/>
    <w:rsid w:val="00C516D3"/>
    <w:rsid w:val="00C601F8"/>
    <w:rsid w:val="00C625B9"/>
    <w:rsid w:val="00C6636F"/>
    <w:rsid w:val="00C91E0E"/>
    <w:rsid w:val="00C92108"/>
    <w:rsid w:val="00C941FD"/>
    <w:rsid w:val="00CA5167"/>
    <w:rsid w:val="00CA5DFE"/>
    <w:rsid w:val="00CC0A6B"/>
    <w:rsid w:val="00CC5984"/>
    <w:rsid w:val="00CD7074"/>
    <w:rsid w:val="00CE76AF"/>
    <w:rsid w:val="00CF0A07"/>
    <w:rsid w:val="00D05281"/>
    <w:rsid w:val="00D27F8D"/>
    <w:rsid w:val="00D539BA"/>
    <w:rsid w:val="00D65155"/>
    <w:rsid w:val="00D8655B"/>
    <w:rsid w:val="00D868BB"/>
    <w:rsid w:val="00DA40C9"/>
    <w:rsid w:val="00DB7B1A"/>
    <w:rsid w:val="00DC6A80"/>
    <w:rsid w:val="00DF46F1"/>
    <w:rsid w:val="00E07F2E"/>
    <w:rsid w:val="00E230D9"/>
    <w:rsid w:val="00E24AC9"/>
    <w:rsid w:val="00E25514"/>
    <w:rsid w:val="00E45DAF"/>
    <w:rsid w:val="00E51352"/>
    <w:rsid w:val="00E55B12"/>
    <w:rsid w:val="00E55B30"/>
    <w:rsid w:val="00E86AD5"/>
    <w:rsid w:val="00EB4CE8"/>
    <w:rsid w:val="00EB5D44"/>
    <w:rsid w:val="00EB679D"/>
    <w:rsid w:val="00EE1A38"/>
    <w:rsid w:val="00EE3832"/>
    <w:rsid w:val="00F079F7"/>
    <w:rsid w:val="00F23169"/>
    <w:rsid w:val="00F2687A"/>
    <w:rsid w:val="00F52A42"/>
    <w:rsid w:val="00F64E36"/>
    <w:rsid w:val="00F71CBA"/>
    <w:rsid w:val="00F74CF3"/>
    <w:rsid w:val="00F76945"/>
    <w:rsid w:val="00F84DA6"/>
    <w:rsid w:val="00F85D96"/>
    <w:rsid w:val="00F9206B"/>
    <w:rsid w:val="00FA7332"/>
    <w:rsid w:val="00FB74F8"/>
    <w:rsid w:val="00FD4024"/>
    <w:rsid w:val="00FD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5A097A"/>
    <w:pPr>
      <w:spacing w:after="200"/>
      <w:jc w:val="center"/>
    </w:pPr>
    <w:rPr>
      <w:rFonts w:eastAsiaTheme="minorEastAsia" w:cstheme="minorBidi"/>
      <w:b/>
      <w:iCs/>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8891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16</cp:revision>
  <cp:lastPrinted>2014-02-07T20:32:00Z</cp:lastPrinted>
  <dcterms:created xsi:type="dcterms:W3CDTF">2022-03-28T22:12:00Z</dcterms:created>
  <dcterms:modified xsi:type="dcterms:W3CDTF">2022-03-29T01:10:00Z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