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DB46E1" w:rsidRDefault="00E55B12" w:rsidP="00AF4DBD">
      <w:pPr>
        <w:rPr>
          <w:rFonts w:ascii="Comic Sans MS" w:hAnsi="Comic Sans MS"/>
          <w:b/>
          <w:color w:val="3333CC"/>
          <w:sz w:val="22"/>
          <w:szCs w:val="22"/>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5288B937"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18.23</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49F0427A" w:rsidR="00B83C4A" w:rsidRDefault="00CC6B14"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23A93DC2" w:rsidR="00B83C4A" w:rsidRDefault="00B83C4A" w:rsidP="00B83C4A">
            <w:r>
              <w:t>(</w:t>
            </w:r>
            <w:r w:rsidR="00BD6957">
              <w:fldChar w:fldCharType="begin"/>
            </w:r>
            <w:r w:rsidR="00BD6957">
              <w:instrText xml:space="preserve"> SEQ Eq \* MERGEFORMAT </w:instrText>
            </w:r>
            <w:r w:rsidR="00BD6957">
              <w:fldChar w:fldCharType="separate"/>
            </w:r>
            <w:r w:rsidR="00375C20">
              <w:rPr>
                <w:noProof/>
              </w:rPr>
              <w:t>1</w:t>
            </w:r>
            <w:r w:rsidR="00BD6957">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54FCE690" w:rsidR="008C7192" w:rsidRPr="00972520" w:rsidRDefault="00BD6957"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3E66DCB8" w:rsidR="00972520" w:rsidRPr="00BB444F" w:rsidRDefault="00CC6B14"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22A54B62"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375C20">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BD6957"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67A9FBB" w:rsidR="002B1990" w:rsidRDefault="002B1990" w:rsidP="00B83C4A">
            <w:r>
              <w:t>(</w:t>
            </w:r>
            <w:r w:rsidR="00BD6957">
              <w:fldChar w:fldCharType="begin"/>
            </w:r>
            <w:r w:rsidR="00BD6957">
              <w:instrText xml:space="preserve"> SEQ Eq \* MERGEFORMAT </w:instrText>
            </w:r>
            <w:r w:rsidR="00BD6957">
              <w:fldChar w:fldCharType="separate"/>
            </w:r>
            <w:r w:rsidR="00375C20">
              <w:rPr>
                <w:noProof/>
              </w:rPr>
              <w:t>3</w:t>
            </w:r>
            <w:r w:rsidR="00BD6957">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BD6957"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0AB5C15C" w:rsidR="007E670F" w:rsidRDefault="007E670F" w:rsidP="00B83C4A">
            <w:r>
              <w:t>(</w:t>
            </w:r>
            <w:r w:rsidR="00BD6957">
              <w:fldChar w:fldCharType="begin"/>
            </w:r>
            <w:r w:rsidR="00BD6957">
              <w:instrText xml:space="preserve"> SEQ Eq \* MERGEFORMAT </w:instrText>
            </w:r>
            <w:r w:rsidR="00BD6957">
              <w:fldChar w:fldCharType="separate"/>
            </w:r>
            <w:r w:rsidR="00375C20">
              <w:rPr>
                <w:noProof/>
              </w:rPr>
              <w:t>4</w:t>
            </w:r>
            <w:r w:rsidR="00BD6957">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C58FC57" w:rsidR="007E670F" w:rsidRDefault="007E670F" w:rsidP="00B83C4A">
            <w:r>
              <w:t>(</w:t>
            </w:r>
            <w:r w:rsidR="00BD6957">
              <w:fldChar w:fldCharType="begin"/>
            </w:r>
            <w:r w:rsidR="00BD6957">
              <w:instrText xml:space="preserve"> SEQ Eq \* MERGEFORMAT </w:instrText>
            </w:r>
            <w:r w:rsidR="00BD6957">
              <w:fldChar w:fldCharType="separate"/>
            </w:r>
            <w:r w:rsidR="00375C20">
              <w:rPr>
                <w:noProof/>
              </w:rPr>
              <w:t>5</w:t>
            </w:r>
            <w:r w:rsidR="00BD6957">
              <w:rPr>
                <w:noProof/>
              </w:rPr>
              <w:fldChar w:fldCharType="end"/>
            </w:r>
            <w:r>
              <w:t>)</w:t>
            </w:r>
          </w:p>
        </w:tc>
      </w:tr>
    </w:tbl>
    <w:p w14:paraId="3261B9F6" w14:textId="1A1FAA0C"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08C10968" w14:textId="0AF31E90" w:rsidR="00B83C4A" w:rsidRDefault="00B83C4A" w:rsidP="00B50A22">
      <w:pPr>
        <w:jc w:val="both"/>
      </w:pPr>
    </w:p>
    <w:p w14:paraId="4643DBDB" w14:textId="345638E6" w:rsidR="003E3E05" w:rsidRPr="003E3E05" w:rsidRDefault="00A32B1B" w:rsidP="003E3E05">
      <w:pPr>
        <w:pStyle w:val="Heading2"/>
      </w:pPr>
      <w:r w:rsidRPr="00E07F2E">
        <w:t>2.</w:t>
      </w:r>
      <w:r>
        <w:t>2</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27FB024B" w:rsidR="007B2BE9" w:rsidRDefault="007B2BE9" w:rsidP="00B83C4A">
            <w:r>
              <w:t>(</w:t>
            </w:r>
            <w:r w:rsidR="00BD6957">
              <w:fldChar w:fldCharType="begin"/>
            </w:r>
            <w:r w:rsidR="00BD6957">
              <w:instrText xml:space="preserve"> SEQ Eq \* MERGEFORMAT </w:instrText>
            </w:r>
            <w:r w:rsidR="00BD6957">
              <w:fldChar w:fldCharType="separate"/>
            </w:r>
            <w:r w:rsidR="00375C20">
              <w:rPr>
                <w:noProof/>
              </w:rPr>
              <w:t>6</w:t>
            </w:r>
            <w:r w:rsidR="00BD6957">
              <w:rPr>
                <w:noProof/>
              </w:rPr>
              <w:fldChar w:fldCharType="end"/>
            </w:r>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1AE0D96B" w:rsidR="00EA6233" w:rsidRDefault="00CC6B14"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37701A2F"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7</w:t>
            </w:r>
            <w:r w:rsidR="00BD6957">
              <w:rPr>
                <w:noProof/>
              </w:rPr>
              <w:fldChar w:fldCharType="end"/>
            </w:r>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36E569AE" w:rsidR="00EA6233" w:rsidRDefault="00CC6B14"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14C5E8B3"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8</w:t>
            </w:r>
            <w:r w:rsidR="00BD6957">
              <w:rPr>
                <w:noProof/>
              </w:rPr>
              <w:fldChar w:fldCharType="end"/>
            </w:r>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5DC55199"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9</w:t>
            </w:r>
            <w:r w:rsidR="00BD6957">
              <w:rPr>
                <w:noProof/>
              </w:rPr>
              <w:fldChar w:fldCharType="end"/>
            </w:r>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043D0F71"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10</w:t>
            </w:r>
            <w:r w:rsidR="00BD6957">
              <w:rPr>
                <w:noProof/>
              </w:rPr>
              <w:fldChar w:fldCharType="end"/>
            </w:r>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77777777" w:rsidR="00B26135" w:rsidRPr="00B50A22" w:rsidRDefault="00B26135" w:rsidP="002234F5">
      <w:pPr>
        <w:pStyle w:val="Heading2"/>
      </w:pPr>
      <w:r>
        <w:t>3.1</w:t>
      </w:r>
      <w:r w:rsidRPr="00B50A22">
        <w:t xml:space="preserve"> </w:t>
      </w:r>
      <w:r>
        <w:t>RC Network Model Development</w:t>
      </w:r>
    </w:p>
    <w:p w14:paraId="6EC91712" w14:textId="7E2AFBB3" w:rsidR="00592875" w:rsidRDefault="003D3E87" w:rsidP="00592875">
      <w:r>
        <w:t>Based on the state-space formulation from Equation (</w:t>
      </w:r>
      <w:r>
        <w:fldChar w:fldCharType="begin"/>
      </w:r>
      <w:r>
        <w:instrText xml:space="preserve"> REF state_space \h </w:instrText>
      </w:r>
      <w:r>
        <w:fldChar w:fldCharType="separate"/>
      </w:r>
      <w:r w:rsidR="00375C20">
        <w:rPr>
          <w:noProof/>
        </w:rPr>
        <w:t>2</w:t>
      </w:r>
      <w:r>
        <w:fldChar w:fldCharType="end"/>
      </w:r>
      <w:r>
        <w:t>), t</w:t>
      </w:r>
      <w:r w:rsidR="00C625B9">
        <w:t xml:space="preserve">wo data-driven RC network models have been </w:t>
      </w:r>
      <w:r>
        <w:t>constructed</w:t>
      </w:r>
      <w:r w:rsidR="00C625B9">
        <w:t xml:space="preserve"> </w:t>
      </w:r>
      <w:r w:rsidR="00B20D68">
        <w:t xml:space="preserve">as </w:t>
      </w:r>
      <w:r>
        <w:t>illustrated</w:t>
      </w:r>
      <w:r w:rsidR="00B20D68">
        <w:t xml:space="preserve"> in </w:t>
      </w:r>
      <w:r w:rsidR="004A63D3">
        <w:t>Figure</w:t>
      </w:r>
      <w:r>
        <w:rPr>
          <w:b/>
          <w:bCs/>
        </w:rPr>
        <w:t xml:space="preserve"> 1</w:t>
      </w:r>
      <w:r>
        <w:t xml:space="preserve">, </w:t>
      </w:r>
      <w:r w:rsidR="00B20D68">
        <w:t xml:space="preserve">including 4-states </w:t>
      </w:r>
      <w:r w:rsidR="003A45F5">
        <w:t>M</w:t>
      </w:r>
      <w:r w:rsidR="00B20D68">
        <w:t>odel</w:t>
      </w:r>
      <w:r w:rsidR="003A45F5">
        <w:t xml:space="preserve"> 1, </w:t>
      </w:r>
      <w:r w:rsidR="00B20D68">
        <w:t xml:space="preserve">6-states </w:t>
      </w:r>
      <w:r w:rsidR="003A45F5">
        <w:t>M</w:t>
      </w:r>
      <w:r w:rsidR="00B20D68">
        <w:t>odel</w:t>
      </w:r>
      <w:r w:rsidR="003A45F5">
        <w:t xml:space="preserve"> 2 and 5-states Model 3</w:t>
      </w:r>
      <w:r w:rsidR="00C625B9">
        <w:t>.</w:t>
      </w:r>
      <w:r w:rsidR="00180C04">
        <w:t xml:space="preserve"> In Model 1, the detailed structure of radiant flow has been neglected</w:t>
      </w:r>
      <w:r w:rsidR="00B43959">
        <w:t xml:space="preserve">. And </w:t>
      </w:r>
      <w:r w:rsidR="00180C04">
        <w:t xml:space="preserve">Model 2 has higher order than Model 3 to incorporate the temperature state of thermal insulation </w:t>
      </w:r>
      <w:r w:rsidR="00B43959">
        <w:t>beneath</w:t>
      </w:r>
      <w:r w:rsidR="00180C04">
        <w:t xml:space="preserve"> pipes. </w:t>
      </w:r>
      <w:r w:rsidR="00812F43">
        <w:t>Figure</w:t>
      </w:r>
      <w:r w:rsidR="00812F43" w:rsidRPr="00812F43">
        <w:rPr>
          <w:b/>
          <w:bCs/>
        </w:rPr>
        <w:t xml:space="preserve"> </w:t>
      </w:r>
      <w:r w:rsidR="00812F43">
        <w:rPr>
          <w:b/>
          <w:bCs/>
        </w:rPr>
        <w:fldChar w:fldCharType="begin"/>
      </w:r>
      <w:r w:rsidR="00812F43" w:rsidRPr="00812F43">
        <w:rPr>
          <w:b/>
          <w:bCs/>
        </w:rPr>
        <w:instrText xml:space="preserve"> REF rc_network \h </w:instrText>
      </w:r>
      <w:r w:rsidR="00812F43">
        <w:rPr>
          <w:b/>
          <w:bCs/>
        </w:rPr>
        <w:instrText xml:space="preserve"> \* MERGEFORMAT </w:instrText>
      </w:r>
      <w:r w:rsidR="00812F43">
        <w:rPr>
          <w:b/>
          <w:bCs/>
        </w:rPr>
      </w:r>
      <w:r w:rsidR="00812F43">
        <w:rPr>
          <w:b/>
          <w:bCs/>
        </w:rPr>
        <w:fldChar w:fldCharType="separate"/>
      </w:r>
      <w:r w:rsidR="00375C20">
        <w:rPr>
          <w:b/>
          <w:bCs/>
          <w:noProof/>
        </w:rPr>
        <w:t>1</w:t>
      </w:r>
      <w:r w:rsidR="00375C20">
        <w:t xml:space="preserve"> </w:t>
      </w:r>
      <w:r w:rsidR="00812F43">
        <w:fldChar w:fldCharType="end"/>
      </w:r>
      <w:r>
        <w:t>shows</w:t>
      </w:r>
      <w:r w:rsidR="00592875">
        <w:t xml:space="preserve"> </w:t>
      </w:r>
      <w:r w:rsidR="00301069">
        <w:t>those</w:t>
      </w:r>
      <w:r w:rsidR="00592875">
        <w:t xml:space="preserve"> </w:t>
      </w:r>
      <w:r>
        <w:t>distinct</w:t>
      </w:r>
      <w:r w:rsidR="00592875">
        <w:t xml:space="preserve"> electrical analogs for</w:t>
      </w:r>
      <w:r w:rsidR="00301069">
        <w:t xml:space="preserve"> the</w:t>
      </w:r>
      <w:r w:rsidR="00592875">
        <w:t xml:space="preserve"> radiant slab systems RC network</w:t>
      </w:r>
      <w:r w:rsidR="00301069">
        <w:t>s,</w:t>
      </w:r>
      <w:r w:rsidR="00592875">
        <w:t xml:space="preserve"> in which  </w:t>
      </w:r>
      <m:oMath>
        <m:r>
          <w:rPr>
            <w:rFonts w:ascii="Cambria Math" w:hAnsi="Cambria Math"/>
          </w:rPr>
          <m:t xml:space="preserve">T, C,Q, </m:t>
        </m:r>
        <m:r>
          <m:rPr>
            <m:sty m:val="p"/>
          </m:rPr>
          <w:rPr>
            <w:rFonts w:ascii="Cambria Math" w:hAnsi="Cambria Math"/>
          </w:rPr>
          <m:t>α</m:t>
        </m:r>
      </m:oMath>
      <w:r w:rsidR="00592875">
        <w:t xml:space="preserve"> </w:t>
      </w:r>
      <w:r>
        <w:t>represents</w:t>
      </w:r>
      <w:r w:rsidR="00592875">
        <w:t xml:space="preserve"> temperature, capacitances, resistances, heat flux due to radiation and corresponding coefficients. And the subscripts, </w:t>
      </w:r>
      <m:oMath>
        <m:r>
          <w:rPr>
            <w:rFonts w:ascii="Cambria Math" w:hAnsi="Cambria Math"/>
          </w:rPr>
          <w:lastRenderedPageBreak/>
          <m:t>out, cav,slab,source, sink, env, room, intwall, sol, int, light, AHU, rad</m:t>
        </m:r>
      </m:oMath>
      <w:r w:rsidR="00592875">
        <w:t xml:space="preserve">, represent outdoor air, façade cavity, slab concrete, hot water or chilled water within tubes, insulation below tubes, envelope, room air, internal wall, solar radiation, internal heat, lighting, air handling unit, thermal heat flux load requirements. </w:t>
      </w:r>
      <w:r w:rsidR="00232E05">
        <w:t xml:space="preserve">Figure </w:t>
      </w:r>
      <w:r w:rsidR="001C17EA">
        <w:t xml:space="preserve">2 </w:t>
      </w:r>
      <w:r w:rsidR="00232E05">
        <w:t>show</w:t>
      </w:r>
      <w:r w:rsidR="00DA2C7C">
        <w:t>s</w:t>
      </w:r>
      <w:r w:rsidR="00232E05">
        <w:t xml:space="preserve"> the predicted and measured results </w:t>
      </w:r>
      <w:r w:rsidR="00500202">
        <w:t>during</w:t>
      </w:r>
      <w:r w:rsidR="00232E05">
        <w:t xml:space="preserve"> testing period. </w:t>
      </w:r>
      <w:r w:rsidR="00500202" w:rsidRPr="00500202">
        <w:t>Model 2 has a substantially lower MAPE, as demonstrated in Table 2, and has been chosen as the optimum model for the RC network technique</w:t>
      </w:r>
    </w:p>
    <w:p w14:paraId="189C47F1" w14:textId="52B0D97D" w:rsidR="00F52A42" w:rsidRDefault="006E2A2A" w:rsidP="00592875">
      <w:r>
        <w:t xml:space="preserve">The Model 2 can be represented </w:t>
      </w:r>
      <w:r w:rsidR="00500202">
        <w:t>by</w:t>
      </w:r>
      <w:r>
        <w:t xml:space="preserve"> a state-space model with the following state, input, and output variables</w:t>
      </w:r>
      <w:r w:rsidR="00500202">
        <w:t xml:space="preserve"> definitions</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52A42" w14:paraId="5816995E" w14:textId="77777777" w:rsidTr="0033121A">
        <w:trPr>
          <w:jc w:val="center"/>
        </w:trPr>
        <w:tc>
          <w:tcPr>
            <w:tcW w:w="625" w:type="dxa"/>
            <w:vAlign w:val="center"/>
          </w:tcPr>
          <w:p w14:paraId="29549292" w14:textId="77777777" w:rsidR="00F52A42" w:rsidRDefault="00F52A42" w:rsidP="0025344D"/>
        </w:tc>
        <w:tc>
          <w:tcPr>
            <w:tcW w:w="8100" w:type="dxa"/>
            <w:vAlign w:val="center"/>
          </w:tcPr>
          <w:p w14:paraId="2C87AFC0" w14:textId="479E6576" w:rsidR="00F52A42" w:rsidRDefault="00BD6957" w:rsidP="0025344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6C6E21E1" w14:textId="72018259" w:rsidR="00F52A42" w:rsidRDefault="00F52A42" w:rsidP="0025344D">
            <w:r>
              <w:t>(</w:t>
            </w:r>
            <w:fldSimple w:instr=" SEQ Eq \* MERGEFORMAT ">
              <w:r w:rsidR="00375C20">
                <w:rPr>
                  <w:noProof/>
                </w:rPr>
                <w:t>11</w:t>
              </w:r>
            </w:fldSimple>
            <w:r>
              <w:t>)</w:t>
            </w:r>
          </w:p>
        </w:tc>
      </w:tr>
      <w:tr w:rsidR="00EA6233" w14:paraId="66796E6B" w14:textId="77777777" w:rsidTr="0033121A">
        <w:trPr>
          <w:jc w:val="center"/>
        </w:trPr>
        <w:tc>
          <w:tcPr>
            <w:tcW w:w="625" w:type="dxa"/>
            <w:vAlign w:val="center"/>
          </w:tcPr>
          <w:p w14:paraId="31EEC6CC" w14:textId="77777777" w:rsidR="00EA6233" w:rsidRDefault="00EA6233" w:rsidP="00B83C4A"/>
        </w:tc>
        <w:tc>
          <w:tcPr>
            <w:tcW w:w="8100" w:type="dxa"/>
            <w:vAlign w:val="center"/>
          </w:tcPr>
          <w:p w14:paraId="304D5D8C" w14:textId="04C2942E" w:rsidR="00EA6233" w:rsidRDefault="00BD6957" w:rsidP="00B83C4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30A8ABE" w14:textId="7852641A"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12</w:t>
            </w:r>
            <w:r w:rsidR="00BD6957">
              <w:rPr>
                <w:noProof/>
              </w:rPr>
              <w:fldChar w:fldCharType="end"/>
            </w:r>
            <w:r>
              <w:t>)</w:t>
            </w:r>
          </w:p>
        </w:tc>
      </w:tr>
      <w:tr w:rsidR="00EA6233" w14:paraId="26BA9246" w14:textId="77777777" w:rsidTr="0033121A">
        <w:trPr>
          <w:jc w:val="center"/>
        </w:trPr>
        <w:tc>
          <w:tcPr>
            <w:tcW w:w="625" w:type="dxa"/>
            <w:vAlign w:val="center"/>
          </w:tcPr>
          <w:p w14:paraId="37BB5FC9" w14:textId="77777777" w:rsidR="00EA6233" w:rsidRDefault="00EA6233" w:rsidP="00B83C4A"/>
        </w:tc>
        <w:tc>
          <w:tcPr>
            <w:tcW w:w="8100" w:type="dxa"/>
            <w:vAlign w:val="center"/>
          </w:tcPr>
          <w:p w14:paraId="2A5668E7" w14:textId="044F1F5B" w:rsidR="00EA6233" w:rsidRDefault="00CC6B14" w:rsidP="00B83C4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50033950" w14:textId="5730B0A4"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13</w:t>
            </w:r>
            <w:r w:rsidR="00BD6957">
              <w:rPr>
                <w:noProof/>
              </w:rPr>
              <w:fldChar w:fldCharType="end"/>
            </w:r>
            <w:r>
              <w:t>)</w:t>
            </w:r>
          </w:p>
        </w:tc>
      </w:tr>
    </w:tbl>
    <w:p w14:paraId="63E13537" w14:textId="55DC4F4A" w:rsidR="005A097A" w:rsidRDefault="004D0944" w:rsidP="005A097A">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rsidR="00130CF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30CF9" w14:paraId="003D08E2" w14:textId="77777777" w:rsidTr="0033121A">
        <w:trPr>
          <w:jc w:val="center"/>
        </w:trPr>
        <w:tc>
          <w:tcPr>
            <w:tcW w:w="625" w:type="dxa"/>
            <w:vAlign w:val="center"/>
          </w:tcPr>
          <w:p w14:paraId="79E67B93" w14:textId="77777777" w:rsidR="00130CF9" w:rsidRDefault="00130CF9" w:rsidP="0025344D"/>
        </w:tc>
        <w:tc>
          <w:tcPr>
            <w:tcW w:w="8100" w:type="dxa"/>
            <w:vAlign w:val="center"/>
          </w:tcPr>
          <w:p w14:paraId="4F22D93E" w14:textId="04E9657F" w:rsidR="00130CF9" w:rsidRDefault="00130CF9" w:rsidP="0025344D">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06F5013C" w14:textId="3C194E89" w:rsidR="00130CF9" w:rsidRDefault="00130CF9" w:rsidP="0025344D">
            <w:r>
              <w:t>(</w:t>
            </w:r>
            <w:fldSimple w:instr=" SEQ Eq \* MERGEFORMAT ">
              <w:r w:rsidR="00375C20">
                <w:rPr>
                  <w:noProof/>
                </w:rPr>
                <w:t>14</w:t>
              </w:r>
            </w:fldSimple>
            <w:r>
              <w:t>)</w:t>
            </w:r>
          </w:p>
        </w:tc>
      </w:tr>
      <w:tr w:rsidR="00EA6233" w14:paraId="58F326CD" w14:textId="77777777" w:rsidTr="0033121A">
        <w:trPr>
          <w:jc w:val="center"/>
        </w:trPr>
        <w:tc>
          <w:tcPr>
            <w:tcW w:w="625" w:type="dxa"/>
            <w:vAlign w:val="center"/>
          </w:tcPr>
          <w:p w14:paraId="65738154" w14:textId="77777777" w:rsidR="00EA6233" w:rsidRDefault="00EA6233" w:rsidP="00B83C4A"/>
        </w:tc>
        <w:tc>
          <w:tcPr>
            <w:tcW w:w="8100" w:type="dxa"/>
            <w:vAlign w:val="center"/>
          </w:tcPr>
          <w:p w14:paraId="1B356196" w14:textId="3CE310C5" w:rsidR="00EA6233" w:rsidRDefault="00EA6233" w:rsidP="00B83C4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69ED8ACF" w14:textId="7BCE1C74" w:rsidR="00EA6233" w:rsidRDefault="00EA6233" w:rsidP="00B83C4A">
            <w:r>
              <w:t>(</w:t>
            </w:r>
            <w:r w:rsidR="00BD6957">
              <w:fldChar w:fldCharType="begin"/>
            </w:r>
            <w:r w:rsidR="00BD6957">
              <w:instrText xml:space="preserve"> SEQ Eq \* MERGEFORMAT </w:instrText>
            </w:r>
            <w:r w:rsidR="00BD6957">
              <w:fldChar w:fldCharType="separate"/>
            </w:r>
            <w:r w:rsidR="00375C20">
              <w:rPr>
                <w:noProof/>
              </w:rPr>
              <w:t>15</w:t>
            </w:r>
            <w:r w:rsidR="00BD6957">
              <w:rPr>
                <w:noProof/>
              </w:rPr>
              <w:fldChar w:fldCharType="end"/>
            </w:r>
            <w:r>
              <w:t>)</w:t>
            </w:r>
          </w:p>
        </w:tc>
      </w:tr>
    </w:tbl>
    <w:p w14:paraId="724C4119" w14:textId="77777777" w:rsidR="009A7900" w:rsidRDefault="009A7900" w:rsidP="000A2E54">
      <w:pPr>
        <w:pStyle w:val="Caption"/>
        <w:jc w:val="left"/>
        <w:rPr>
          <w:b/>
          <w:bCs/>
        </w:rPr>
      </w:pPr>
    </w:p>
    <w:p w14:paraId="1C9686D7" w14:textId="46EE601C" w:rsidR="005A097A" w:rsidRDefault="005A097A" w:rsidP="00FC2900">
      <w:pPr>
        <w:pStyle w:val="Caption"/>
      </w:pPr>
      <w:r w:rsidRPr="00B80B9D">
        <w:rPr>
          <w:b/>
          <w:bCs/>
        </w:rPr>
        <w:t xml:space="preserve">Table </w:t>
      </w:r>
      <w:r w:rsidR="00F328DB" w:rsidRPr="00B80B9D">
        <w:rPr>
          <w:b/>
          <w:bCs/>
        </w:rPr>
        <w:fldChar w:fldCharType="begin"/>
      </w:r>
      <w:r w:rsidR="00F328DB" w:rsidRPr="00B80B9D">
        <w:rPr>
          <w:b/>
          <w:bCs/>
        </w:rPr>
        <w:instrText xml:space="preserve"> SEQ Table \* ARABIC </w:instrText>
      </w:r>
      <w:r w:rsidR="00F328DB" w:rsidRPr="00B80B9D">
        <w:rPr>
          <w:b/>
          <w:bCs/>
        </w:rPr>
        <w:fldChar w:fldCharType="separate"/>
      </w:r>
      <w:r w:rsidR="00375C20">
        <w:rPr>
          <w:b/>
          <w:bCs/>
          <w:noProof/>
        </w:rPr>
        <w:t>1</w:t>
      </w:r>
      <w:r w:rsidR="00F328DB" w:rsidRPr="00B80B9D">
        <w:rPr>
          <w:b/>
          <w:bCs/>
          <w:noProof/>
        </w:rPr>
        <w:fldChar w:fldCharType="end"/>
      </w:r>
      <w:r>
        <w:t xml:space="preserve"> Estimated </w:t>
      </w:r>
      <w:r w:rsidR="00E031A4">
        <w:t>v</w:t>
      </w:r>
      <w:r>
        <w:t>alues for Rs (K/W) and Cs (J/K)</w:t>
      </w:r>
    </w:p>
    <w:tbl>
      <w:tblPr>
        <w:tblStyle w:val="TableGrid"/>
        <w:tblW w:w="0" w:type="auto"/>
        <w:tblLook w:val="04A0" w:firstRow="1" w:lastRow="0" w:firstColumn="1" w:lastColumn="0" w:noHBand="0" w:noVBand="1"/>
      </w:tblPr>
      <w:tblGrid>
        <w:gridCol w:w="2337"/>
        <w:gridCol w:w="2337"/>
        <w:gridCol w:w="2338"/>
        <w:gridCol w:w="2338"/>
      </w:tblGrid>
      <w:tr w:rsidR="005A097A" w14:paraId="4C02336A" w14:textId="77777777" w:rsidTr="0025344D">
        <w:tc>
          <w:tcPr>
            <w:tcW w:w="2337" w:type="dxa"/>
          </w:tcPr>
          <w:p w14:paraId="55BFA9D7"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4E37EBD"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81E624"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10669F84"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5A097A" w14:paraId="2B541D98" w14:textId="77777777" w:rsidTr="0025344D">
        <w:tc>
          <w:tcPr>
            <w:tcW w:w="2337" w:type="dxa"/>
          </w:tcPr>
          <w:p w14:paraId="0B7B46A6"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1351F951"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4AD655F1"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BABDD43"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5A097A" w14:paraId="5BA54B0D" w14:textId="77777777" w:rsidTr="0025344D">
        <w:tc>
          <w:tcPr>
            <w:tcW w:w="2337" w:type="dxa"/>
          </w:tcPr>
          <w:p w14:paraId="55002A48" w14:textId="77777777" w:rsidR="005A097A" w:rsidRPr="0024773C" w:rsidRDefault="00BD6957" w:rsidP="0025344D">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5A097A">
              <w:t>3.6E-3</w:t>
            </w:r>
          </w:p>
        </w:tc>
        <w:tc>
          <w:tcPr>
            <w:tcW w:w="2337" w:type="dxa"/>
          </w:tcPr>
          <w:p w14:paraId="0262F2BD"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2906E353"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084BB682"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5A097A" w14:paraId="258CD199" w14:textId="77777777" w:rsidTr="0025344D">
        <w:tc>
          <w:tcPr>
            <w:tcW w:w="2337" w:type="dxa"/>
          </w:tcPr>
          <w:p w14:paraId="6F3D29E8"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187D909C"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242176BB"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2D4B768" w14:textId="77777777" w:rsidR="005A097A" w:rsidRPr="0024773C" w:rsidRDefault="00BD6957" w:rsidP="0025344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5A097A" w14:paraId="7EC4A373" w14:textId="77777777" w:rsidTr="0025344D">
        <w:tc>
          <w:tcPr>
            <w:tcW w:w="2337" w:type="dxa"/>
          </w:tcPr>
          <w:p w14:paraId="265192A1" w14:textId="77777777" w:rsidR="005A097A" w:rsidRPr="0024773C" w:rsidRDefault="00BD6957"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2272FF3C" w14:textId="77777777" w:rsidR="005A097A" w:rsidRPr="0024773C" w:rsidRDefault="00BD6957"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0B664FC" w14:textId="77777777" w:rsidR="005A097A" w:rsidRPr="0024773C" w:rsidRDefault="00BD6957"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604CD643" w14:textId="77777777" w:rsidR="005A097A" w:rsidRPr="0024773C" w:rsidRDefault="00BD6957"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5A097A" w14:paraId="5BDAA347" w14:textId="77777777" w:rsidTr="0025344D">
        <w:tc>
          <w:tcPr>
            <w:tcW w:w="2337" w:type="dxa"/>
          </w:tcPr>
          <w:p w14:paraId="58BF6E2F" w14:textId="77777777" w:rsidR="005A097A" w:rsidRPr="0024773C" w:rsidRDefault="00BD6957"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42F2E135" w14:textId="77777777" w:rsidR="005A097A" w:rsidRPr="0024773C" w:rsidRDefault="00BD6957" w:rsidP="0025344D">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7AB689D0" w14:textId="77777777" w:rsidR="005A097A" w:rsidRPr="0024773C" w:rsidRDefault="00BD6957"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47D1EF6A" w14:textId="77777777" w:rsidR="005A097A" w:rsidRPr="0024773C" w:rsidRDefault="00BD6957" w:rsidP="0025344D">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0232D050" w14:textId="69A46C72" w:rsidR="006E2A2A" w:rsidRDefault="006E2A2A" w:rsidP="00C156E5">
      <w:pPr>
        <w:widowControl w:val="0"/>
        <w:jc w:val="both"/>
      </w:pPr>
    </w:p>
    <w:p w14:paraId="3EBDCC27" w14:textId="75E59DBA" w:rsidR="00B20D68" w:rsidRDefault="00B20D68" w:rsidP="009A7900">
      <w:pPr>
        <w:widowControl w:val="0"/>
      </w:pPr>
    </w:p>
    <w:p w14:paraId="1CA4D6DD" w14:textId="059AEF20" w:rsidR="00375C20" w:rsidRDefault="00375C20" w:rsidP="008A49EC">
      <w:pPr>
        <w:widowControl w:val="0"/>
      </w:pPr>
      <w:r>
        <w:rPr>
          <w:noProof/>
        </w:rPr>
        <w:drawing>
          <wp:inline distT="0" distB="0" distL="0" distR="0" wp14:anchorId="621884C5" wp14:editId="39BF93EE">
            <wp:extent cx="5943600" cy="1379855"/>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08FFE6BE" w14:textId="239A6F0C" w:rsidR="009A7900" w:rsidRDefault="00FC2900" w:rsidP="00FB46CE">
      <w:pPr>
        <w:pStyle w:val="Caption"/>
      </w:pPr>
      <w:r w:rsidRPr="00FC2900">
        <w:rPr>
          <w:b/>
          <w:bCs/>
        </w:rPr>
        <w:t xml:space="preserve">Figure </w:t>
      </w:r>
      <w:bookmarkStart w:id="1" w:name="rc_network"/>
      <w:r w:rsidRPr="00FC2900">
        <w:rPr>
          <w:b/>
          <w:bCs/>
        </w:rPr>
        <w:fldChar w:fldCharType="begin"/>
      </w:r>
      <w:r w:rsidRPr="00FC2900">
        <w:rPr>
          <w:b/>
          <w:bCs/>
        </w:rPr>
        <w:instrText xml:space="preserve"> SEQ Figure \* ARABIC </w:instrText>
      </w:r>
      <w:r w:rsidRPr="00FC2900">
        <w:rPr>
          <w:b/>
          <w:bCs/>
        </w:rPr>
        <w:fldChar w:fldCharType="separate"/>
      </w:r>
      <w:r w:rsidR="00375C20">
        <w:rPr>
          <w:b/>
          <w:bCs/>
          <w:noProof/>
        </w:rPr>
        <w:t>1</w:t>
      </w:r>
      <w:r w:rsidRPr="00FC2900">
        <w:rPr>
          <w:b/>
          <w:bCs/>
        </w:rPr>
        <w:fldChar w:fldCharType="end"/>
      </w:r>
      <w:r>
        <w:t xml:space="preserve"> </w:t>
      </w:r>
      <w:bookmarkEnd w:id="1"/>
      <w:r>
        <w:t xml:space="preserve">Structure of RC </w:t>
      </w:r>
      <w:r w:rsidR="00B71870">
        <w:t>n</w:t>
      </w:r>
      <w:r>
        <w:t xml:space="preserve">etwork. Left: Model 1 with 4 states; </w:t>
      </w:r>
      <w:r w:rsidR="008A49EC">
        <w:t>Middle</w:t>
      </w:r>
      <w:r>
        <w:t>: Model 2 with 6 states</w:t>
      </w:r>
      <w:r w:rsidR="008A49EC">
        <w:t xml:space="preserve">; </w:t>
      </w:r>
      <w:r w:rsidR="008A49EC">
        <w:t xml:space="preserve">Middle: Model </w:t>
      </w:r>
      <w:r w:rsidR="008A49EC">
        <w:t>3</w:t>
      </w:r>
      <w:r w:rsidR="008A49EC">
        <w:t xml:space="preserve"> with </w:t>
      </w:r>
      <w:r w:rsidR="008A49EC">
        <w:t>5</w:t>
      </w:r>
      <w:r w:rsidR="008A49EC">
        <w:t xml:space="preserve"> states.</w:t>
      </w:r>
    </w:p>
    <w:p w14:paraId="59735B23" w14:textId="52FE03D3" w:rsidR="00FB46CE" w:rsidRPr="00FB46CE" w:rsidRDefault="00FB46CE" w:rsidP="00F96662">
      <w:pPr>
        <w:jc w:val="center"/>
        <w:rPr>
          <w:lang w:eastAsia="zh-CN"/>
        </w:rPr>
      </w:pPr>
    </w:p>
    <w:p w14:paraId="4D7C03BF" w14:textId="428C94C9" w:rsidR="009A7900" w:rsidRDefault="005D15F8" w:rsidP="009A7900">
      <w:pPr>
        <w:keepNext/>
        <w:jc w:val="center"/>
      </w:pPr>
      <w:r>
        <w:rPr>
          <w:noProof/>
        </w:rPr>
        <w:lastRenderedPageBreak/>
        <w:drawing>
          <wp:inline distT="0" distB="0" distL="0" distR="0" wp14:anchorId="2634C81A" wp14:editId="7556A000">
            <wp:extent cx="5943600" cy="3135630"/>
            <wp:effectExtent l="19050" t="19050" r="19050" b="2667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6C0531A6" w14:textId="6C80F1F9" w:rsidR="009A7900" w:rsidRDefault="009A7900" w:rsidP="005D15F8">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375C20">
        <w:rPr>
          <w:b/>
          <w:bCs/>
          <w:noProof/>
        </w:rPr>
        <w:t>2</w:t>
      </w:r>
      <w:r w:rsidRPr="009A7900">
        <w:rPr>
          <w:b/>
          <w:bCs/>
        </w:rPr>
        <w:fldChar w:fldCharType="end"/>
      </w:r>
      <w:r>
        <w:t xml:space="preserve"> Testing </w:t>
      </w:r>
      <w:r w:rsidR="00B71870">
        <w:t>r</w:t>
      </w:r>
      <w:r>
        <w:t>esults for Model 1</w:t>
      </w:r>
      <w:r w:rsidR="005D15F8">
        <w:t xml:space="preserve">, </w:t>
      </w:r>
      <w:r>
        <w:t>Model 2</w:t>
      </w:r>
      <w:r w:rsidR="005D15F8">
        <w:t xml:space="preserve"> and Model 3</w:t>
      </w:r>
    </w:p>
    <w:p w14:paraId="756CC18E" w14:textId="684A48B0" w:rsidR="005D15F8" w:rsidRDefault="005D15F8" w:rsidP="005D15F8">
      <w:pPr>
        <w:rPr>
          <w:lang w:eastAsia="zh-CN"/>
        </w:rPr>
      </w:pPr>
    </w:p>
    <w:p w14:paraId="04D37B8E" w14:textId="77777777" w:rsidR="005D15F8" w:rsidRPr="005D15F8" w:rsidRDefault="005D15F8" w:rsidP="005D15F8">
      <w:pPr>
        <w:rPr>
          <w:lang w:eastAsia="zh-CN"/>
        </w:rPr>
      </w:pPr>
    </w:p>
    <w:p w14:paraId="72E0377F" w14:textId="194025C4" w:rsidR="00FC1139" w:rsidRDefault="00FC1139" w:rsidP="00FC1139">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375C20">
        <w:rPr>
          <w:b/>
          <w:bCs/>
          <w:noProof/>
        </w:rPr>
        <w:t>2</w:t>
      </w:r>
      <w:r w:rsidRPr="00FC1139">
        <w:rPr>
          <w:b/>
          <w:bCs/>
        </w:rPr>
        <w:fldChar w:fldCharType="end"/>
      </w:r>
      <w:r>
        <w:t xml:space="preserve"> Comparison of proposed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185199A4" w:rsidR="00447E3E" w:rsidRDefault="00AF72CB" w:rsidP="00FC1139">
            <w:pPr>
              <w:jc w:val="center"/>
              <w:rPr>
                <w:lang w:eastAsia="zh-CN"/>
              </w:rPr>
            </w:pPr>
            <w:r>
              <w:rPr>
                <w:lang w:eastAsia="zh-CN"/>
              </w:rPr>
              <w:t>Model 1</w:t>
            </w:r>
          </w:p>
        </w:tc>
        <w:tc>
          <w:tcPr>
            <w:tcW w:w="1870" w:type="dxa"/>
            <w:tcBorders>
              <w:top w:val="single" w:sz="4" w:space="0" w:color="auto"/>
            </w:tcBorders>
            <w:vAlign w:val="center"/>
          </w:tcPr>
          <w:p w14:paraId="1C851C01" w14:textId="74A81478" w:rsidR="00447E3E" w:rsidRDefault="002F030B" w:rsidP="00FC1139">
            <w:pPr>
              <w:jc w:val="center"/>
              <w:rPr>
                <w:lang w:eastAsia="zh-CN"/>
              </w:rPr>
            </w:pPr>
            <w:r>
              <w:rPr>
                <w:lang w:eastAsia="zh-CN"/>
              </w:rPr>
              <w:t>734.11</w:t>
            </w:r>
          </w:p>
        </w:tc>
        <w:tc>
          <w:tcPr>
            <w:tcW w:w="1870" w:type="dxa"/>
            <w:tcBorders>
              <w:top w:val="single" w:sz="4" w:space="0" w:color="auto"/>
            </w:tcBorders>
            <w:vAlign w:val="center"/>
          </w:tcPr>
          <w:p w14:paraId="39901C2B" w14:textId="50037288" w:rsidR="00447E3E" w:rsidRDefault="002F030B" w:rsidP="00FC1139">
            <w:pPr>
              <w:jc w:val="center"/>
              <w:rPr>
                <w:lang w:eastAsia="zh-CN"/>
              </w:rPr>
            </w:pPr>
            <w:r>
              <w:rPr>
                <w:lang w:eastAsia="zh-CN"/>
              </w:rPr>
              <w:t>117.52</w:t>
            </w:r>
          </w:p>
        </w:tc>
        <w:tc>
          <w:tcPr>
            <w:tcW w:w="1870" w:type="dxa"/>
            <w:tcBorders>
              <w:top w:val="single" w:sz="4" w:space="0" w:color="auto"/>
            </w:tcBorders>
            <w:vAlign w:val="center"/>
          </w:tcPr>
          <w:p w14:paraId="6895743C" w14:textId="1B1BBFA8" w:rsidR="00447E3E" w:rsidRDefault="002F030B" w:rsidP="00FC1139">
            <w:pPr>
              <w:jc w:val="center"/>
              <w:rPr>
                <w:lang w:eastAsia="zh-CN"/>
              </w:rPr>
            </w:pPr>
            <w:r>
              <w:rPr>
                <w:lang w:eastAsia="zh-CN"/>
              </w:rPr>
              <w:t>5755.32</w:t>
            </w:r>
          </w:p>
        </w:tc>
        <w:tc>
          <w:tcPr>
            <w:tcW w:w="1870" w:type="dxa"/>
            <w:tcBorders>
              <w:top w:val="single" w:sz="4" w:space="0" w:color="auto"/>
            </w:tcBorders>
            <w:vAlign w:val="center"/>
          </w:tcPr>
          <w:p w14:paraId="4899211A" w14:textId="10138EE3" w:rsidR="00447E3E" w:rsidRDefault="002F030B" w:rsidP="00FC1139">
            <w:pPr>
              <w:jc w:val="center"/>
              <w:rPr>
                <w:lang w:eastAsia="zh-CN"/>
              </w:rPr>
            </w:pPr>
            <w:r>
              <w:rPr>
                <w:lang w:eastAsia="zh-CN"/>
              </w:rPr>
              <w:t>87.88</w:t>
            </w:r>
          </w:p>
        </w:tc>
      </w:tr>
      <w:tr w:rsidR="00447E3E" w14:paraId="0B479C13" w14:textId="77777777" w:rsidTr="004633EB">
        <w:trPr>
          <w:jc w:val="center"/>
        </w:trPr>
        <w:tc>
          <w:tcPr>
            <w:tcW w:w="1870" w:type="dxa"/>
            <w:vAlign w:val="center"/>
          </w:tcPr>
          <w:p w14:paraId="16DD4830" w14:textId="4FC4E8C6" w:rsidR="00447E3E" w:rsidRDefault="00AF72CB" w:rsidP="00FC1139">
            <w:pPr>
              <w:jc w:val="center"/>
              <w:rPr>
                <w:lang w:eastAsia="zh-CN"/>
              </w:rPr>
            </w:pPr>
            <w:r>
              <w:rPr>
                <w:lang w:eastAsia="zh-CN"/>
              </w:rPr>
              <w:t>Model 2</w:t>
            </w:r>
          </w:p>
        </w:tc>
        <w:tc>
          <w:tcPr>
            <w:tcW w:w="1870" w:type="dxa"/>
            <w:vAlign w:val="center"/>
          </w:tcPr>
          <w:p w14:paraId="4227232B" w14:textId="603A065D" w:rsidR="00447E3E" w:rsidRPr="00FC1139" w:rsidRDefault="002F69FD" w:rsidP="00FC1139">
            <w:pPr>
              <w:jc w:val="center"/>
              <w:rPr>
                <w:b/>
                <w:bCs/>
                <w:lang w:eastAsia="zh-CN"/>
              </w:rPr>
            </w:pPr>
            <w:r>
              <w:rPr>
                <w:b/>
                <w:bCs/>
                <w:lang w:eastAsia="zh-CN"/>
              </w:rPr>
              <w:t>18.23</w:t>
            </w:r>
          </w:p>
        </w:tc>
        <w:tc>
          <w:tcPr>
            <w:tcW w:w="1870" w:type="dxa"/>
            <w:vAlign w:val="center"/>
          </w:tcPr>
          <w:p w14:paraId="727CF844" w14:textId="2BAA50F6" w:rsidR="00447E3E" w:rsidRPr="00FC1139" w:rsidRDefault="002F69FD" w:rsidP="00FC1139">
            <w:pPr>
              <w:jc w:val="center"/>
              <w:rPr>
                <w:b/>
                <w:bCs/>
                <w:lang w:eastAsia="zh-CN"/>
              </w:rPr>
            </w:pPr>
            <w:r>
              <w:rPr>
                <w:b/>
                <w:bCs/>
                <w:lang w:eastAsia="zh-CN"/>
              </w:rPr>
              <w:t>21.31</w:t>
            </w:r>
          </w:p>
        </w:tc>
        <w:tc>
          <w:tcPr>
            <w:tcW w:w="1870" w:type="dxa"/>
            <w:vAlign w:val="center"/>
          </w:tcPr>
          <w:p w14:paraId="3F4D4C21" w14:textId="09231D24" w:rsidR="00447E3E" w:rsidRPr="00FC1139" w:rsidRDefault="00FC1139" w:rsidP="00FC1139">
            <w:pPr>
              <w:jc w:val="center"/>
              <w:rPr>
                <w:b/>
                <w:bCs/>
                <w:lang w:eastAsia="zh-CN"/>
              </w:rPr>
            </w:pPr>
            <w:r w:rsidRPr="00FC1139">
              <w:rPr>
                <w:b/>
                <w:bCs/>
                <w:lang w:eastAsia="zh-CN"/>
              </w:rPr>
              <w:t>835.30</w:t>
            </w:r>
          </w:p>
        </w:tc>
        <w:tc>
          <w:tcPr>
            <w:tcW w:w="1870" w:type="dxa"/>
            <w:vAlign w:val="center"/>
          </w:tcPr>
          <w:p w14:paraId="136E588C" w14:textId="431FCE10" w:rsidR="00447E3E" w:rsidRPr="00FC1139" w:rsidRDefault="00FC1139" w:rsidP="00FC1139">
            <w:pPr>
              <w:jc w:val="center"/>
              <w:rPr>
                <w:b/>
                <w:bCs/>
                <w:lang w:eastAsia="zh-CN"/>
              </w:rPr>
            </w:pPr>
            <w:r w:rsidRPr="00FC1139">
              <w:rPr>
                <w:b/>
                <w:bCs/>
                <w:lang w:eastAsia="zh-CN"/>
              </w:rPr>
              <w:t>26</w:t>
            </w:r>
            <w:r w:rsidR="002F69FD">
              <w:rPr>
                <w:b/>
                <w:bCs/>
                <w:lang w:eastAsia="zh-CN"/>
              </w:rPr>
              <w:t>.10</w:t>
            </w:r>
          </w:p>
        </w:tc>
      </w:tr>
      <w:tr w:rsidR="004633EB" w14:paraId="5EB8E2C2" w14:textId="77777777" w:rsidTr="00FC1139">
        <w:trPr>
          <w:jc w:val="center"/>
        </w:trPr>
        <w:tc>
          <w:tcPr>
            <w:tcW w:w="1870" w:type="dxa"/>
            <w:tcBorders>
              <w:bottom w:val="single" w:sz="4" w:space="0" w:color="auto"/>
            </w:tcBorders>
            <w:vAlign w:val="center"/>
          </w:tcPr>
          <w:p w14:paraId="6E871287" w14:textId="5CA8EDD1" w:rsidR="004633EB" w:rsidRDefault="004633EB" w:rsidP="00FC1139">
            <w:pPr>
              <w:jc w:val="center"/>
              <w:rPr>
                <w:lang w:eastAsia="zh-CN"/>
              </w:rPr>
            </w:pPr>
            <w:r>
              <w:rPr>
                <w:lang w:eastAsia="zh-CN"/>
              </w:rPr>
              <w:t>Model 3</w:t>
            </w:r>
          </w:p>
        </w:tc>
        <w:tc>
          <w:tcPr>
            <w:tcW w:w="1870" w:type="dxa"/>
            <w:tcBorders>
              <w:bottom w:val="single" w:sz="4" w:space="0" w:color="auto"/>
            </w:tcBorders>
            <w:vAlign w:val="center"/>
          </w:tcPr>
          <w:p w14:paraId="4EDEAE2B" w14:textId="6F56D127" w:rsidR="004633EB" w:rsidRPr="004633EB" w:rsidRDefault="004633EB" w:rsidP="00FC1139">
            <w:pPr>
              <w:jc w:val="center"/>
              <w:rPr>
                <w:lang w:eastAsia="zh-CN"/>
              </w:rPr>
            </w:pPr>
            <w:r w:rsidRPr="004633EB">
              <w:rPr>
                <w:lang w:eastAsia="zh-CN"/>
              </w:rPr>
              <w:t>30.63</w:t>
            </w:r>
          </w:p>
        </w:tc>
        <w:tc>
          <w:tcPr>
            <w:tcW w:w="1870" w:type="dxa"/>
            <w:tcBorders>
              <w:bottom w:val="single" w:sz="4" w:space="0" w:color="auto"/>
            </w:tcBorders>
            <w:vAlign w:val="center"/>
          </w:tcPr>
          <w:p w14:paraId="4FCC7B77" w14:textId="3FED0128" w:rsidR="004633EB" w:rsidRPr="004633EB" w:rsidRDefault="004633EB" w:rsidP="00FC1139">
            <w:pPr>
              <w:jc w:val="center"/>
              <w:rPr>
                <w:lang w:eastAsia="zh-CN"/>
              </w:rPr>
            </w:pPr>
            <w:r w:rsidRPr="004633EB">
              <w:rPr>
                <w:lang w:eastAsia="zh-CN"/>
              </w:rPr>
              <w:t>31.37</w:t>
            </w:r>
          </w:p>
        </w:tc>
        <w:tc>
          <w:tcPr>
            <w:tcW w:w="1870" w:type="dxa"/>
            <w:tcBorders>
              <w:bottom w:val="single" w:sz="4" w:space="0" w:color="auto"/>
            </w:tcBorders>
            <w:vAlign w:val="center"/>
          </w:tcPr>
          <w:p w14:paraId="72A967E2" w14:textId="7197E5EB" w:rsidR="004633EB" w:rsidRPr="004633EB" w:rsidRDefault="004633EB" w:rsidP="00FC1139">
            <w:pPr>
              <w:jc w:val="center"/>
              <w:rPr>
                <w:lang w:eastAsia="zh-CN"/>
              </w:rPr>
            </w:pPr>
            <w:r w:rsidRPr="004633EB">
              <w:rPr>
                <w:lang w:eastAsia="zh-CN"/>
              </w:rPr>
              <w:t>1278.94</w:t>
            </w:r>
          </w:p>
        </w:tc>
        <w:tc>
          <w:tcPr>
            <w:tcW w:w="1870" w:type="dxa"/>
            <w:tcBorders>
              <w:bottom w:val="single" w:sz="4" w:space="0" w:color="auto"/>
            </w:tcBorders>
            <w:vAlign w:val="center"/>
          </w:tcPr>
          <w:p w14:paraId="68033944" w14:textId="6E5FB821" w:rsidR="004633EB" w:rsidRPr="004633EB" w:rsidRDefault="004633EB" w:rsidP="00FC1139">
            <w:pPr>
              <w:jc w:val="center"/>
              <w:rPr>
                <w:lang w:eastAsia="zh-CN"/>
              </w:rPr>
            </w:pPr>
            <w:r w:rsidRPr="004633EB">
              <w:rPr>
                <w:lang w:eastAsia="zh-CN"/>
              </w:rPr>
              <w:t>35.89</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707894">
      <w:pPr>
        <w:jc w:val="center"/>
        <w:rPr>
          <w:b/>
          <w:sz w:val="24"/>
        </w:rPr>
      </w:pPr>
      <w:r>
        <w:rPr>
          <w:b/>
          <w:sz w:val="24"/>
        </w:rP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3A30ED"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0AFB1EF5" w:rsidR="003A30ED" w:rsidRPr="008702EA" w:rsidRDefault="003A30ED"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3A30ED"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54A4258B" w:rsidR="003A30ED" w:rsidRPr="0031035B" w:rsidRDefault="003A30E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4BEA69FC" w:rsidR="003A30ED" w:rsidRPr="00CC6B14" w:rsidRDefault="003A30ED"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lastRenderedPageBreak/>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0"/>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E521" w14:textId="77777777" w:rsidR="00BD6957" w:rsidRDefault="00BD6957">
      <w:r>
        <w:separator/>
      </w:r>
    </w:p>
  </w:endnote>
  <w:endnote w:type="continuationSeparator" w:id="0">
    <w:p w14:paraId="194EE157" w14:textId="77777777" w:rsidR="00BD6957" w:rsidRDefault="00BD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51DF" w14:textId="77777777" w:rsidR="00BD6957" w:rsidRDefault="00BD6957">
      <w:r>
        <w:separator/>
      </w:r>
    </w:p>
  </w:footnote>
  <w:footnote w:type="continuationSeparator" w:id="0">
    <w:p w14:paraId="431652D9" w14:textId="77777777" w:rsidR="00BD6957" w:rsidRDefault="00BD6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3"/>
  </w:num>
  <w:num w:numId="2">
    <w:abstractNumId w:val="3"/>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B"/>
    <w:rsid w:val="00003F50"/>
    <w:rsid w:val="00011514"/>
    <w:rsid w:val="0001391E"/>
    <w:rsid w:val="000312A9"/>
    <w:rsid w:val="00032E3B"/>
    <w:rsid w:val="000342C1"/>
    <w:rsid w:val="00044F96"/>
    <w:rsid w:val="000822A1"/>
    <w:rsid w:val="0008288F"/>
    <w:rsid w:val="000835A8"/>
    <w:rsid w:val="00087CC0"/>
    <w:rsid w:val="000911DA"/>
    <w:rsid w:val="00096457"/>
    <w:rsid w:val="000A2E54"/>
    <w:rsid w:val="000B5835"/>
    <w:rsid w:val="000D358B"/>
    <w:rsid w:val="000D429F"/>
    <w:rsid w:val="000E5FF3"/>
    <w:rsid w:val="000F2762"/>
    <w:rsid w:val="000F5C3E"/>
    <w:rsid w:val="0011178C"/>
    <w:rsid w:val="001122BE"/>
    <w:rsid w:val="00120FD7"/>
    <w:rsid w:val="00130CF9"/>
    <w:rsid w:val="00136DC7"/>
    <w:rsid w:val="00163AA8"/>
    <w:rsid w:val="001728E9"/>
    <w:rsid w:val="001766D6"/>
    <w:rsid w:val="00180C04"/>
    <w:rsid w:val="0019278F"/>
    <w:rsid w:val="001A2A06"/>
    <w:rsid w:val="001A77A6"/>
    <w:rsid w:val="001B008E"/>
    <w:rsid w:val="001C17EA"/>
    <w:rsid w:val="001C1A98"/>
    <w:rsid w:val="001C5DE2"/>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7248"/>
    <w:rsid w:val="002A73D6"/>
    <w:rsid w:val="002B1990"/>
    <w:rsid w:val="002B1D11"/>
    <w:rsid w:val="002B30CC"/>
    <w:rsid w:val="002B3449"/>
    <w:rsid w:val="002D2997"/>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6C26"/>
    <w:rsid w:val="00365D10"/>
    <w:rsid w:val="00375C20"/>
    <w:rsid w:val="003912FC"/>
    <w:rsid w:val="00391C7C"/>
    <w:rsid w:val="003A07DF"/>
    <w:rsid w:val="003A2DB4"/>
    <w:rsid w:val="003A30ED"/>
    <w:rsid w:val="003A45F5"/>
    <w:rsid w:val="003A4983"/>
    <w:rsid w:val="003B0672"/>
    <w:rsid w:val="003B0BBC"/>
    <w:rsid w:val="003C762C"/>
    <w:rsid w:val="003D3E87"/>
    <w:rsid w:val="003D4C94"/>
    <w:rsid w:val="003D6683"/>
    <w:rsid w:val="003E0830"/>
    <w:rsid w:val="003E3E05"/>
    <w:rsid w:val="003E7DD4"/>
    <w:rsid w:val="003F6FD9"/>
    <w:rsid w:val="00421F09"/>
    <w:rsid w:val="00433413"/>
    <w:rsid w:val="00447E3E"/>
    <w:rsid w:val="004633EB"/>
    <w:rsid w:val="00471646"/>
    <w:rsid w:val="00471AEA"/>
    <w:rsid w:val="00473B42"/>
    <w:rsid w:val="0047555C"/>
    <w:rsid w:val="00476B69"/>
    <w:rsid w:val="004837FF"/>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60829"/>
    <w:rsid w:val="00563B8A"/>
    <w:rsid w:val="00581852"/>
    <w:rsid w:val="00592875"/>
    <w:rsid w:val="005A097A"/>
    <w:rsid w:val="005A24DD"/>
    <w:rsid w:val="005A6566"/>
    <w:rsid w:val="005C5B54"/>
    <w:rsid w:val="005D15F8"/>
    <w:rsid w:val="005F7DE1"/>
    <w:rsid w:val="00604119"/>
    <w:rsid w:val="006168A0"/>
    <w:rsid w:val="00624581"/>
    <w:rsid w:val="006501E2"/>
    <w:rsid w:val="006571AE"/>
    <w:rsid w:val="00667394"/>
    <w:rsid w:val="00684A70"/>
    <w:rsid w:val="00692C84"/>
    <w:rsid w:val="0069419B"/>
    <w:rsid w:val="006A6864"/>
    <w:rsid w:val="006B0297"/>
    <w:rsid w:val="006B5CB1"/>
    <w:rsid w:val="006B62D7"/>
    <w:rsid w:val="006E2A2A"/>
    <w:rsid w:val="006F18F2"/>
    <w:rsid w:val="006F1ED1"/>
    <w:rsid w:val="00706A76"/>
    <w:rsid w:val="00707894"/>
    <w:rsid w:val="00721531"/>
    <w:rsid w:val="00722527"/>
    <w:rsid w:val="007233C2"/>
    <w:rsid w:val="00734A8B"/>
    <w:rsid w:val="007356C9"/>
    <w:rsid w:val="00740B88"/>
    <w:rsid w:val="00742799"/>
    <w:rsid w:val="00760631"/>
    <w:rsid w:val="00767AB5"/>
    <w:rsid w:val="00770D41"/>
    <w:rsid w:val="0077249E"/>
    <w:rsid w:val="007759D2"/>
    <w:rsid w:val="00786E38"/>
    <w:rsid w:val="00794940"/>
    <w:rsid w:val="007B2BE9"/>
    <w:rsid w:val="007B5D76"/>
    <w:rsid w:val="007C0E14"/>
    <w:rsid w:val="007C1B00"/>
    <w:rsid w:val="007E3E7C"/>
    <w:rsid w:val="007E670F"/>
    <w:rsid w:val="007F01E9"/>
    <w:rsid w:val="007F45A3"/>
    <w:rsid w:val="007F4BE2"/>
    <w:rsid w:val="007F50E7"/>
    <w:rsid w:val="008021C5"/>
    <w:rsid w:val="00803E74"/>
    <w:rsid w:val="00804030"/>
    <w:rsid w:val="00811505"/>
    <w:rsid w:val="00812F43"/>
    <w:rsid w:val="0085006F"/>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449C"/>
    <w:rsid w:val="00917C36"/>
    <w:rsid w:val="00925EA5"/>
    <w:rsid w:val="009415BD"/>
    <w:rsid w:val="0094389E"/>
    <w:rsid w:val="00944367"/>
    <w:rsid w:val="00944936"/>
    <w:rsid w:val="009512A0"/>
    <w:rsid w:val="00972520"/>
    <w:rsid w:val="00975C21"/>
    <w:rsid w:val="009A083D"/>
    <w:rsid w:val="009A5999"/>
    <w:rsid w:val="009A7900"/>
    <w:rsid w:val="009B3995"/>
    <w:rsid w:val="009B5227"/>
    <w:rsid w:val="009C1CAA"/>
    <w:rsid w:val="009C5907"/>
    <w:rsid w:val="009D7B5A"/>
    <w:rsid w:val="009E3D3D"/>
    <w:rsid w:val="00A0022A"/>
    <w:rsid w:val="00A27328"/>
    <w:rsid w:val="00A32B1B"/>
    <w:rsid w:val="00A3786D"/>
    <w:rsid w:val="00A439FF"/>
    <w:rsid w:val="00A46C87"/>
    <w:rsid w:val="00A554A7"/>
    <w:rsid w:val="00A7341F"/>
    <w:rsid w:val="00A772BB"/>
    <w:rsid w:val="00A81326"/>
    <w:rsid w:val="00A87C3F"/>
    <w:rsid w:val="00A95D15"/>
    <w:rsid w:val="00AB1FCF"/>
    <w:rsid w:val="00AB7126"/>
    <w:rsid w:val="00AC07B6"/>
    <w:rsid w:val="00AC3E25"/>
    <w:rsid w:val="00AD5DB6"/>
    <w:rsid w:val="00AE2E46"/>
    <w:rsid w:val="00AF4DBD"/>
    <w:rsid w:val="00AF72CB"/>
    <w:rsid w:val="00B052DC"/>
    <w:rsid w:val="00B1125B"/>
    <w:rsid w:val="00B20D68"/>
    <w:rsid w:val="00B228BC"/>
    <w:rsid w:val="00B26135"/>
    <w:rsid w:val="00B343D3"/>
    <w:rsid w:val="00B358C6"/>
    <w:rsid w:val="00B36E78"/>
    <w:rsid w:val="00B43959"/>
    <w:rsid w:val="00B50A22"/>
    <w:rsid w:val="00B52BE3"/>
    <w:rsid w:val="00B674D3"/>
    <w:rsid w:val="00B71870"/>
    <w:rsid w:val="00B738C5"/>
    <w:rsid w:val="00B80B9D"/>
    <w:rsid w:val="00B839AD"/>
    <w:rsid w:val="00B83C4A"/>
    <w:rsid w:val="00B8463E"/>
    <w:rsid w:val="00B932EC"/>
    <w:rsid w:val="00BA02B5"/>
    <w:rsid w:val="00BA1280"/>
    <w:rsid w:val="00BB142D"/>
    <w:rsid w:val="00BB4101"/>
    <w:rsid w:val="00BB444F"/>
    <w:rsid w:val="00BC1BE2"/>
    <w:rsid w:val="00BD1E49"/>
    <w:rsid w:val="00BD4B0A"/>
    <w:rsid w:val="00BD674C"/>
    <w:rsid w:val="00BD6957"/>
    <w:rsid w:val="00C156E5"/>
    <w:rsid w:val="00C36FC7"/>
    <w:rsid w:val="00C516D3"/>
    <w:rsid w:val="00C601F8"/>
    <w:rsid w:val="00C625B9"/>
    <w:rsid w:val="00C6636F"/>
    <w:rsid w:val="00C91E0E"/>
    <w:rsid w:val="00C92108"/>
    <w:rsid w:val="00C924D4"/>
    <w:rsid w:val="00C941FD"/>
    <w:rsid w:val="00CA5167"/>
    <w:rsid w:val="00CA5DFE"/>
    <w:rsid w:val="00CC0A6B"/>
    <w:rsid w:val="00CC5984"/>
    <w:rsid w:val="00CC6B14"/>
    <w:rsid w:val="00CD7074"/>
    <w:rsid w:val="00CE76AF"/>
    <w:rsid w:val="00CF0A07"/>
    <w:rsid w:val="00D05281"/>
    <w:rsid w:val="00D27F8D"/>
    <w:rsid w:val="00D539BA"/>
    <w:rsid w:val="00D65155"/>
    <w:rsid w:val="00D659F1"/>
    <w:rsid w:val="00D8655B"/>
    <w:rsid w:val="00D868BB"/>
    <w:rsid w:val="00DA2C7C"/>
    <w:rsid w:val="00DA40C9"/>
    <w:rsid w:val="00DB7B1A"/>
    <w:rsid w:val="00DC6A80"/>
    <w:rsid w:val="00DF0DD6"/>
    <w:rsid w:val="00DF46F1"/>
    <w:rsid w:val="00E031A4"/>
    <w:rsid w:val="00E07F2E"/>
    <w:rsid w:val="00E230D9"/>
    <w:rsid w:val="00E24AC9"/>
    <w:rsid w:val="00E25514"/>
    <w:rsid w:val="00E45DAF"/>
    <w:rsid w:val="00E51352"/>
    <w:rsid w:val="00E55B12"/>
    <w:rsid w:val="00E55B30"/>
    <w:rsid w:val="00E75375"/>
    <w:rsid w:val="00E86AD5"/>
    <w:rsid w:val="00EA6233"/>
    <w:rsid w:val="00EB4CE8"/>
    <w:rsid w:val="00EB5D44"/>
    <w:rsid w:val="00EB679D"/>
    <w:rsid w:val="00EE1A38"/>
    <w:rsid w:val="00EE3832"/>
    <w:rsid w:val="00F079F7"/>
    <w:rsid w:val="00F23169"/>
    <w:rsid w:val="00F2687A"/>
    <w:rsid w:val="00F328DB"/>
    <w:rsid w:val="00F4532F"/>
    <w:rsid w:val="00F52A42"/>
    <w:rsid w:val="00F64E36"/>
    <w:rsid w:val="00F71CBA"/>
    <w:rsid w:val="00F74CF3"/>
    <w:rsid w:val="00F76945"/>
    <w:rsid w:val="00F84DA6"/>
    <w:rsid w:val="00F85D96"/>
    <w:rsid w:val="00F9206B"/>
    <w:rsid w:val="00F96662"/>
    <w:rsid w:val="00FA22CB"/>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45F45"/>
  <w14:defaultImageDpi w14:val="32767"/>
  <w15:chartTrackingRefBased/>
  <w15:docId w15:val="{7B4189E7-A818-4206-8350-6965EB0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14932</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cp:lastModifiedBy>Lichen Wu</cp:lastModifiedBy>
  <cp:revision>38</cp:revision>
  <cp:lastPrinted>2014-02-07T20:32:00Z</cp:lastPrinted>
  <dcterms:created xsi:type="dcterms:W3CDTF">2022-03-29T03:14:00Z</dcterms:created>
  <dcterms:modified xsi:type="dcterms:W3CDTF">2022-03-29T22:12:00Z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