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B77D" w14:textId="20071C3B" w:rsidR="00C958F0" w:rsidRDefault="00C958F0" w:rsidP="00566EF8">
      <w:pPr>
        <w:rPr>
          <w:rFonts w:ascii="Arial" w:hAnsi="Arial" w:cs="Arial"/>
          <w:color w:val="2E2E2E"/>
          <w:shd w:val="clear" w:color="auto" w:fill="FFFFFF"/>
        </w:rPr>
      </w:pPr>
    </w:p>
    <w:p w14:paraId="6D42A0B1" w14:textId="663F425B" w:rsidR="00E66C3E" w:rsidRDefault="00C958F0" w:rsidP="00E66C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Draft</w:t>
      </w:r>
    </w:p>
    <w:p w14:paraId="23E1904D" w14:textId="6240E54A" w:rsidR="00E66C3E" w:rsidRPr="00175E99" w:rsidRDefault="00E66C3E" w:rsidP="00E66C3E">
      <w:pPr>
        <w:rPr>
          <w:b/>
          <w:bCs/>
        </w:rPr>
      </w:pPr>
      <w:r w:rsidRPr="00175E99">
        <w:rPr>
          <w:b/>
          <w:bCs/>
        </w:rPr>
        <w:t>Emerging Building Technology (Indoor Greenery System) Evaluation for Urban Weather Under the Climate Change Context.</w:t>
      </w:r>
    </w:p>
    <w:p w14:paraId="5DCAEF98" w14:textId="5D097236" w:rsidR="00E66C3E" w:rsidRDefault="00CB7CAB" w:rsidP="00E66C3E">
      <w:r w:rsidRPr="00CB7CAB">
        <w:t>Climate change is the key issue of present and future days.</w:t>
      </w:r>
      <w:r w:rsidR="00E66C3E">
        <w:rPr>
          <w:shd w:val="clear" w:color="auto" w:fill="FFFFFF"/>
        </w:rPr>
        <w:t xml:space="preserve"> </w:t>
      </w:r>
      <w:r w:rsidR="00E66C3E">
        <w:t xml:space="preserve">Climate change is considered as one of the main challenges facing humankind in the </w:t>
      </w:r>
      <w:proofErr w:type="gramStart"/>
      <w:r w:rsidR="00E66C3E">
        <w:t>21th</w:t>
      </w:r>
      <w:proofErr w:type="gramEnd"/>
      <w:r w:rsidR="00E66C3E">
        <w:t xml:space="preserve"> century, with serious and global consequences for the environment, human health and the economy.</w:t>
      </w:r>
    </w:p>
    <w:p w14:paraId="153DBF29" w14:textId="2C17A787" w:rsidR="00D269EF" w:rsidRDefault="00D269EF" w:rsidP="00E66C3E">
      <w:pPr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</w:pPr>
      <w:r w:rsidRPr="00D269EF"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  <w:t>The Representative Concentration Pathways (RCPs) describe four different 21st century pathways of greenhouse gas (GHG) emissions and atmospheric concentrations, air pollutant emissions and land use</w:t>
      </w:r>
      <w:r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  <w:t xml:space="preserve">, </w:t>
      </w:r>
      <w:r w:rsidRPr="00D269EF"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  <w:t>originally RCP2.6, RCP4.5, RCP6, and RCP8.5 are labelled after a possible range of radiative forcing values in the year 2100 (2.6, 4.5, 6, and 8.5 W/m2, respectively).</w:t>
      </w:r>
    </w:p>
    <w:p w14:paraId="3A9BF608" w14:textId="4E5B078E" w:rsidR="00EA27D1" w:rsidRPr="005050AE" w:rsidRDefault="00EA27D1" w:rsidP="00E66C3E">
      <w:pPr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  <w:t xml:space="preserve">The reduction of pollution emissions and environmental degradation can only be achieved through a holistic approach, since effective mitigation strategies demand that, all agents contributing to the negative effects of development, </w:t>
      </w:r>
      <w:proofErr w:type="spellStart"/>
      <w:r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  <w:t>globalisation</w:t>
      </w:r>
      <w:proofErr w:type="spellEnd"/>
      <w:r>
        <w:rPr>
          <w:rFonts w:ascii="Open Sans" w:hAnsi="Open Sans" w:cs="Open Sans"/>
          <w:color w:val="000000"/>
          <w:spacing w:val="5"/>
          <w:sz w:val="21"/>
          <w:szCs w:val="21"/>
          <w:shd w:val="clear" w:color="auto" w:fill="FFFFFF"/>
        </w:rPr>
        <w:t xml:space="preserve"> and environmental erosion must coordinate and perform better. </w:t>
      </w:r>
    </w:p>
    <w:p w14:paraId="483742DB" w14:textId="008E74DA" w:rsidR="009072AF" w:rsidRPr="009072AF" w:rsidRDefault="009072AF" w:rsidP="00E66C3E">
      <w:r w:rsidRPr="00C958F0">
        <w:rPr>
          <w:shd w:val="clear" w:color="auto" w:fill="FFFFFF"/>
        </w:rPr>
        <w:t>All residential and commercial buildings are connected to conventional electricity, gas, and water supply lines to meet their vital needs, which causes severe environmental crises.</w:t>
      </w:r>
      <w:r>
        <w:rPr>
          <w:shd w:val="clear" w:color="auto" w:fill="FFFFFF"/>
        </w:rPr>
        <w:t xml:space="preserve"> </w:t>
      </w:r>
      <w:r>
        <w:t>This implies that buildings built today need to be designed to work successfully in both the current and future climate.</w:t>
      </w:r>
    </w:p>
    <w:p w14:paraId="5D00A8BF" w14:textId="77777777" w:rsidR="00D454E8" w:rsidRDefault="00FA2C1F" w:rsidP="00566EF8">
      <w:r>
        <w:rPr>
          <w:shd w:val="clear" w:color="auto" w:fill="FFFFFF"/>
        </w:rPr>
        <w:t xml:space="preserve">Emerging technologies: </w:t>
      </w:r>
      <w:proofErr w:type="gramStart"/>
      <w:r>
        <w:rPr>
          <w:shd w:val="clear" w:color="auto" w:fill="FFFFFF"/>
        </w:rPr>
        <w:t>Green</w:t>
      </w:r>
      <w:proofErr w:type="gramEnd"/>
      <w:r>
        <w:rPr>
          <w:shd w:val="clear" w:color="auto" w:fill="FFFFFF"/>
        </w:rPr>
        <w:t xml:space="preserve"> science, Zero Energy Buildings.</w:t>
      </w:r>
      <w:r w:rsidR="00E66C3E">
        <w:rPr>
          <w:shd w:val="clear" w:color="auto" w:fill="FFFFFF"/>
        </w:rPr>
        <w:t xml:space="preserve"> </w:t>
      </w:r>
      <w:r w:rsidR="00E66C3E">
        <w:t xml:space="preserve">At the same time, the performance of buildings depends on the climate they are exposed to. </w:t>
      </w:r>
    </w:p>
    <w:p w14:paraId="4B49488A" w14:textId="4412C446" w:rsidR="00FA2C1F" w:rsidRDefault="00E66C3E" w:rsidP="00566EF8">
      <w:pPr>
        <w:rPr>
          <w:shd w:val="clear" w:color="auto" w:fill="FFFFFF"/>
        </w:rPr>
      </w:pPr>
      <w:r>
        <w:rPr>
          <w:shd w:val="clear" w:color="auto" w:fill="FFFFFF"/>
        </w:rPr>
        <w:t>However</w:t>
      </w:r>
      <w:r w:rsidR="00FA2C1F">
        <w:rPr>
          <w:shd w:val="clear" w:color="auto" w:fill="FFFFFF"/>
        </w:rPr>
        <w:t xml:space="preserve">, there is a </w:t>
      </w:r>
      <w:r>
        <w:rPr>
          <w:shd w:val="clear" w:color="auto" w:fill="FFFFFF"/>
        </w:rPr>
        <w:t xml:space="preserve">research gap to evaluate those </w:t>
      </w:r>
      <w:r w:rsidR="00CC3BC1">
        <w:rPr>
          <w:shd w:val="clear" w:color="auto" w:fill="FFFFFF"/>
        </w:rPr>
        <w:t xml:space="preserve">state-of-the art </w:t>
      </w:r>
      <w:r>
        <w:rPr>
          <w:shd w:val="clear" w:color="auto" w:fill="FFFFFF"/>
        </w:rPr>
        <w:t xml:space="preserve">building technologies for </w:t>
      </w:r>
      <w:r w:rsidR="00CC3BC1">
        <w:rPr>
          <w:shd w:val="clear" w:color="auto" w:fill="FFFFFF"/>
        </w:rPr>
        <w:t>u</w:t>
      </w:r>
      <w:r>
        <w:rPr>
          <w:shd w:val="clear" w:color="auto" w:fill="FFFFFF"/>
        </w:rPr>
        <w:t xml:space="preserve">rban </w:t>
      </w:r>
      <w:r w:rsidR="00CC3BC1">
        <w:rPr>
          <w:shd w:val="clear" w:color="auto" w:fill="FFFFFF"/>
        </w:rPr>
        <w:t>s</w:t>
      </w:r>
      <w:r>
        <w:rPr>
          <w:shd w:val="clear" w:color="auto" w:fill="FFFFFF"/>
        </w:rPr>
        <w:t>cale</w:t>
      </w:r>
      <w:r w:rsidR="00CC3BC1">
        <w:rPr>
          <w:shd w:val="clear" w:color="auto" w:fill="FFFFFF"/>
        </w:rPr>
        <w:t xml:space="preserve"> analysis u</w:t>
      </w:r>
      <w:r>
        <w:rPr>
          <w:shd w:val="clear" w:color="auto" w:fill="FFFFFF"/>
        </w:rPr>
        <w:t xml:space="preserve">nder the </w:t>
      </w:r>
      <w:r w:rsidR="00CC3BC1">
        <w:rPr>
          <w:shd w:val="clear" w:color="auto" w:fill="FFFFFF"/>
        </w:rPr>
        <w:t>c</w:t>
      </w:r>
      <w:r>
        <w:rPr>
          <w:shd w:val="clear" w:color="auto" w:fill="FFFFFF"/>
        </w:rPr>
        <w:t xml:space="preserve">limate </w:t>
      </w:r>
      <w:r w:rsidR="00CC3BC1">
        <w:rPr>
          <w:shd w:val="clear" w:color="auto" w:fill="FFFFFF"/>
        </w:rPr>
        <w:t>c</w:t>
      </w:r>
      <w:r>
        <w:rPr>
          <w:shd w:val="clear" w:color="auto" w:fill="FFFFFF"/>
        </w:rPr>
        <w:t xml:space="preserve">hange </w:t>
      </w:r>
      <w:r w:rsidR="00CC3BC1">
        <w:rPr>
          <w:shd w:val="clear" w:color="auto" w:fill="FFFFFF"/>
        </w:rPr>
        <w:t>c</w:t>
      </w:r>
      <w:r>
        <w:rPr>
          <w:shd w:val="clear" w:color="auto" w:fill="FFFFFF"/>
        </w:rPr>
        <w:t xml:space="preserve">ontext. </w:t>
      </w:r>
      <w:r w:rsidR="00CC3BC1">
        <w:rPr>
          <w:shd w:val="clear" w:color="auto" w:fill="FFFFFF"/>
        </w:rPr>
        <w:t xml:space="preserve">(Indoor greenery systems, Controlled Agriculture Techniques) </w:t>
      </w:r>
    </w:p>
    <w:p w14:paraId="75BB8EDE" w14:textId="41330E42" w:rsidR="003C735F" w:rsidRDefault="003C735F" w:rsidP="003C73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Climate</w:t>
      </w:r>
      <w:r w:rsidR="00C55840">
        <w:rPr>
          <w:shd w:val="clear" w:color="auto" w:fill="FFFFFF"/>
        </w:rPr>
        <w:t xml:space="preserve"> Change</w:t>
      </w:r>
      <w:r>
        <w:rPr>
          <w:shd w:val="clear" w:color="auto" w:fill="FFFFFF"/>
        </w:rPr>
        <w:t xml:space="preserve"> Model</w:t>
      </w:r>
    </w:p>
    <w:p w14:paraId="2606F018" w14:textId="4AD2BFCD" w:rsidR="003C735F" w:rsidRDefault="003C735F" w:rsidP="003C735F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The tool is Microsoft® Excel based and transforms ‘present-day’ EPW weather files into climate change EPW or TMY2 weather files which are compatible with </w:t>
      </w:r>
      <w:proofErr w:type="gram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the majority of</w:t>
      </w:r>
      <w:proofErr w:type="gram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building performance simulation programs.</w:t>
      </w:r>
    </w:p>
    <w:p w14:paraId="121508A5" w14:textId="318A3963" w:rsidR="00C55840" w:rsidRDefault="00C55840" w:rsidP="003C735F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Two software tools, namely </w:t>
      </w:r>
      <w:proofErr w:type="spellStart"/>
      <w:r>
        <w:rPr>
          <w:rFonts w:ascii="Georgia" w:hAnsi="Georgia"/>
          <w:color w:val="2E2E2E"/>
          <w:sz w:val="27"/>
          <w:szCs w:val="27"/>
        </w:rPr>
        <w:t>CCWorldWeatherGen</w:t>
      </w:r>
      <w:proofErr w:type="spellEnd"/>
      <w:r>
        <w:rPr>
          <w:rFonts w:ascii="Georgia" w:hAnsi="Georgia"/>
          <w:color w:val="2E2E2E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2E2E2E"/>
          <w:sz w:val="27"/>
          <w:szCs w:val="27"/>
        </w:rPr>
        <w:t>WeatherShift</w:t>
      </w:r>
      <w:proofErr w:type="spellEnd"/>
      <w:r>
        <w:rPr>
          <w:rFonts w:ascii="Georgia" w:hAnsi="Georgia"/>
          <w:color w:val="2E2E2E"/>
          <w:sz w:val="27"/>
          <w:szCs w:val="27"/>
        </w:rPr>
        <w:t>™, are today available on the market and enable individual end-users, to generate future projection weather data that can be used for executing building performance simulation. </w:t>
      </w:r>
    </w:p>
    <w:p w14:paraId="06A81D58" w14:textId="77777777" w:rsidR="00EA27D1" w:rsidRDefault="00EA27D1" w:rsidP="00EA27D1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 xml:space="preserve">The Representative Concentration Pathways (RCP): </w:t>
      </w:r>
      <w:r w:rsidRPr="009C69D5">
        <w:rPr>
          <w:rFonts w:ascii="Georgia" w:hAnsi="Georgia"/>
          <w:color w:val="2E2E2E"/>
          <w:sz w:val="27"/>
          <w:szCs w:val="27"/>
        </w:rPr>
        <w:t>they include a stringent mitigation scenario (RCP2.6), two intermediate scenarios (RCP4.5 and RCP6.0), and one scenario with very high GHG emissions (RCP8.5).</w:t>
      </w:r>
    </w:p>
    <w:p w14:paraId="1EC8566C" w14:textId="77777777" w:rsidR="00EA27D1" w:rsidRDefault="00EA27D1" w:rsidP="003C735F">
      <w:pPr>
        <w:rPr>
          <w:rFonts w:ascii="Georgia" w:hAnsi="Georgia"/>
          <w:color w:val="2E2E2E"/>
          <w:sz w:val="27"/>
          <w:szCs w:val="27"/>
        </w:rPr>
      </w:pPr>
    </w:p>
    <w:p w14:paraId="5B44A479" w14:textId="31EE724A" w:rsidR="00F943A8" w:rsidRDefault="00F943A8" w:rsidP="003C735F">
      <w:pPr>
        <w:rPr>
          <w:rFonts w:ascii="Georgia" w:hAnsi="Georgia"/>
          <w:color w:val="2E2E2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303DA56" wp14:editId="20B8DEF8">
            <wp:extent cx="5943600" cy="46196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5C26" w14:textId="38D24D28" w:rsidR="0028018D" w:rsidRDefault="0028018D" w:rsidP="003C735F">
      <w:pPr>
        <w:rPr>
          <w:rFonts w:ascii="Georgia" w:hAnsi="Georgia"/>
          <w:color w:val="2E2E2E"/>
          <w:sz w:val="27"/>
          <w:szCs w:val="27"/>
        </w:rPr>
      </w:pPr>
      <w:r w:rsidRPr="0028018D">
        <w:rPr>
          <w:rFonts w:ascii="Georgia" w:hAnsi="Georgia"/>
          <w:color w:val="2E2E2E"/>
          <w:sz w:val="27"/>
          <w:szCs w:val="27"/>
        </w:rPr>
        <w:lastRenderedPageBreak/>
        <w:drawing>
          <wp:inline distT="0" distB="0" distL="0" distR="0" wp14:anchorId="76E6C108" wp14:editId="0D885761">
            <wp:extent cx="5357324" cy="6706181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6476" w14:textId="0858F51D" w:rsidR="00B46310" w:rsidRDefault="00B46310" w:rsidP="00B4631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Technologies in Model Types</w:t>
      </w:r>
    </w:p>
    <w:p w14:paraId="6B223652" w14:textId="59848C68" w:rsidR="001C7C19" w:rsidRDefault="00B46310" w:rsidP="00566EF8">
      <w:pPr>
        <w:rPr>
          <w:shd w:val="clear" w:color="auto" w:fill="FFFFFF"/>
        </w:rPr>
      </w:pPr>
      <w:r w:rsidRPr="00B46310">
        <w:rPr>
          <w:shd w:val="clear" w:color="auto" w:fill="FFFFFF"/>
        </w:rPr>
        <w:t xml:space="preserve">An energy model for an indoor farming facility was created using building energy simulation software </w:t>
      </w:r>
      <w:proofErr w:type="spellStart"/>
      <w:r w:rsidRPr="00B46310">
        <w:rPr>
          <w:shd w:val="clear" w:color="auto" w:fill="FFFFFF"/>
        </w:rPr>
        <w:t>EnergyPlus</w:t>
      </w:r>
      <w:proofErr w:type="spellEnd"/>
      <w:r w:rsidRPr="00B46310">
        <w:rPr>
          <w:shd w:val="clear" w:color="auto" w:fill="FFFFFF"/>
        </w:rPr>
        <w:t xml:space="preserve"> and calibrated based on measurements.</w:t>
      </w:r>
      <w:r w:rsidR="000372F0">
        <w:rPr>
          <w:shd w:val="clear" w:color="auto" w:fill="FFFFFF"/>
        </w:rPr>
        <w:t xml:space="preserve"> (Vertical Farming)</w:t>
      </w:r>
    </w:p>
    <w:p w14:paraId="42144ECB" w14:textId="66AD0E61" w:rsidR="001C7C19" w:rsidRDefault="001C7C19" w:rsidP="001C7C1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Critical review for other technologies</w:t>
      </w:r>
      <w:r w:rsidR="002950A1">
        <w:rPr>
          <w:shd w:val="clear" w:color="auto" w:fill="FFFFFF"/>
        </w:rPr>
        <w:t xml:space="preserve"> (Literature Review)</w:t>
      </w:r>
    </w:p>
    <w:p w14:paraId="3E6FD2E6" w14:textId="7911B79F" w:rsidR="001C7C19" w:rsidRDefault="001C7C19" w:rsidP="00566EF8">
      <w:pPr>
        <w:rPr>
          <w:shd w:val="clear" w:color="auto" w:fill="FFFFFF"/>
        </w:rPr>
      </w:pPr>
      <w:r w:rsidRPr="001C7C19">
        <w:rPr>
          <w:shd w:val="clear" w:color="auto" w:fill="FFFFFF"/>
        </w:rPr>
        <w:t>Instead, in the case of the climate projections the operative temperature is between 31 °C and 34 °C without significant differences between the scenarios RCP4.5-90th and RCP8.5-90th.</w:t>
      </w:r>
    </w:p>
    <w:p w14:paraId="558F66FA" w14:textId="26E66747" w:rsidR="00267AA9" w:rsidRDefault="00267AA9" w:rsidP="00267AA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Green</w:t>
      </w:r>
      <w:r w:rsidR="000372F0">
        <w:rPr>
          <w:shd w:val="clear" w:color="auto" w:fill="FFFFFF"/>
        </w:rPr>
        <w:t xml:space="preserve"> </w:t>
      </w:r>
      <w:r>
        <w:rPr>
          <w:shd w:val="clear" w:color="auto" w:fill="FFFFFF"/>
        </w:rPr>
        <w:t>Science:</w:t>
      </w:r>
    </w:p>
    <w:p w14:paraId="1B77E503" w14:textId="6A5838FE" w:rsidR="00267AA9" w:rsidRDefault="00267AA9" w:rsidP="00267AA9">
      <w:pPr>
        <w:rPr>
          <w:shd w:val="clear" w:color="auto" w:fill="FFFFFF"/>
        </w:rPr>
      </w:pPr>
      <w:r w:rsidRPr="00681D09">
        <w:rPr>
          <w:shd w:val="clear" w:color="auto" w:fill="FFFFFF"/>
        </w:rPr>
        <w:t>a blackbody assisted photovoltaic (PV) panel</w:t>
      </w:r>
    </w:p>
    <w:p w14:paraId="61997636" w14:textId="77777777" w:rsidR="00267AA9" w:rsidRDefault="00267AA9" w:rsidP="00267AA9">
      <w:pPr>
        <w:rPr>
          <w:shd w:val="clear" w:color="auto" w:fill="FFFFFF"/>
        </w:rPr>
      </w:pPr>
      <w:r w:rsidRPr="00681D09">
        <w:rPr>
          <w:shd w:val="clear" w:color="auto" w:fill="FFFFFF"/>
        </w:rPr>
        <w:t>in-house treatment processes</w:t>
      </w:r>
    </w:p>
    <w:p w14:paraId="5758D274" w14:textId="77777777" w:rsidR="00267AA9" w:rsidRDefault="00267AA9" w:rsidP="00267AA9">
      <w:pPr>
        <w:rPr>
          <w:shd w:val="clear" w:color="auto" w:fill="FFFFFF"/>
        </w:rPr>
      </w:pPr>
      <w:r w:rsidRPr="001444EF">
        <w:rPr>
          <w:shd w:val="clear" w:color="auto" w:fill="FFFFFF"/>
        </w:rPr>
        <w:t>closed anaerobic detention tank</w:t>
      </w:r>
    </w:p>
    <w:p w14:paraId="37BE52B6" w14:textId="48045C5D" w:rsidR="00267AA9" w:rsidRPr="002A487E" w:rsidRDefault="00267AA9" w:rsidP="00566EF8">
      <w:pPr>
        <w:rPr>
          <w:shd w:val="clear" w:color="auto" w:fill="FFFFFF"/>
        </w:rPr>
      </w:pPr>
      <w:r w:rsidRPr="001444EF">
        <w:rPr>
          <w:shd w:val="clear" w:color="auto" w:fill="FFFFFF"/>
        </w:rPr>
        <w:t>separated wastewater is treated in the cellar by applying primary, secondary, and tertiary processes</w:t>
      </w:r>
    </w:p>
    <w:sectPr w:rsidR="00267AA9" w:rsidRPr="002A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699B"/>
    <w:multiLevelType w:val="multilevel"/>
    <w:tmpl w:val="5D7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F7"/>
    <w:rsid w:val="000372F0"/>
    <w:rsid w:val="000C4B83"/>
    <w:rsid w:val="001444EF"/>
    <w:rsid w:val="001605CD"/>
    <w:rsid w:val="00165AC3"/>
    <w:rsid w:val="00175E99"/>
    <w:rsid w:val="001B59CB"/>
    <w:rsid w:val="001C0F78"/>
    <w:rsid w:val="001C7C19"/>
    <w:rsid w:val="001D0A97"/>
    <w:rsid w:val="001D22D8"/>
    <w:rsid w:val="0025569C"/>
    <w:rsid w:val="002662BE"/>
    <w:rsid w:val="00267AA9"/>
    <w:rsid w:val="0028018D"/>
    <w:rsid w:val="002950A1"/>
    <w:rsid w:val="002A487E"/>
    <w:rsid w:val="002D1607"/>
    <w:rsid w:val="0034636C"/>
    <w:rsid w:val="00376163"/>
    <w:rsid w:val="003C735F"/>
    <w:rsid w:val="003E4AF7"/>
    <w:rsid w:val="003F0F11"/>
    <w:rsid w:val="00466EC1"/>
    <w:rsid w:val="004E6153"/>
    <w:rsid w:val="005050AE"/>
    <w:rsid w:val="00566EF8"/>
    <w:rsid w:val="005C3611"/>
    <w:rsid w:val="00681D09"/>
    <w:rsid w:val="0080524D"/>
    <w:rsid w:val="00841CA5"/>
    <w:rsid w:val="008C79FF"/>
    <w:rsid w:val="009072AF"/>
    <w:rsid w:val="009267D9"/>
    <w:rsid w:val="009446B0"/>
    <w:rsid w:val="009C69D5"/>
    <w:rsid w:val="00A3508F"/>
    <w:rsid w:val="00AC44CE"/>
    <w:rsid w:val="00AF2179"/>
    <w:rsid w:val="00B029F2"/>
    <w:rsid w:val="00B1000D"/>
    <w:rsid w:val="00B46310"/>
    <w:rsid w:val="00BE6854"/>
    <w:rsid w:val="00C4205B"/>
    <w:rsid w:val="00C55840"/>
    <w:rsid w:val="00C64140"/>
    <w:rsid w:val="00C92C27"/>
    <w:rsid w:val="00C958F0"/>
    <w:rsid w:val="00CB7CAB"/>
    <w:rsid w:val="00CC3BC1"/>
    <w:rsid w:val="00D1398C"/>
    <w:rsid w:val="00D269EF"/>
    <w:rsid w:val="00D454E8"/>
    <w:rsid w:val="00D97487"/>
    <w:rsid w:val="00DC3E2A"/>
    <w:rsid w:val="00E43202"/>
    <w:rsid w:val="00E66C3E"/>
    <w:rsid w:val="00E85C9E"/>
    <w:rsid w:val="00E908C0"/>
    <w:rsid w:val="00EA0524"/>
    <w:rsid w:val="00EA27D1"/>
    <w:rsid w:val="00EF4D7A"/>
    <w:rsid w:val="00F17779"/>
    <w:rsid w:val="00F943A8"/>
    <w:rsid w:val="00FA2C1F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EC66"/>
  <w15:chartTrackingRefBased/>
  <w15:docId w15:val="{234B097D-F817-4804-ABE1-51F855F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66EC1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C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D0A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34</cp:revision>
  <dcterms:created xsi:type="dcterms:W3CDTF">2022-06-23T04:06:00Z</dcterms:created>
  <dcterms:modified xsi:type="dcterms:W3CDTF">2022-06-23T16:28:00Z</dcterms:modified>
</cp:coreProperties>
</file>