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469EB4">
      <w:pPr>
        <w:pStyle w:val="2"/>
      </w:pPr>
      <w:r>
        <w:t>允思拓生物科技售前</w:t>
      </w:r>
      <w:r>
        <w:rPr>
          <w:rFonts w:hint="eastAsia"/>
          <w:lang w:val="en-US" w:eastAsia="zh-CN"/>
        </w:rPr>
        <w:t>AI</w:t>
      </w:r>
      <w:r>
        <w:t>工程师培训资料</w:t>
      </w:r>
    </w:p>
    <w:p w14:paraId="7E687AE5">
      <w:pPr>
        <w:pStyle w:val="3"/>
      </w:pPr>
      <w:r>
        <w:t>第一部分：公司主营业务介绍</w:t>
      </w:r>
    </w:p>
    <w:p w14:paraId="640AF4A1">
      <w:pPr>
        <w:pStyle w:val="4"/>
      </w:pPr>
      <w:r>
        <w:t>1.1 公司概况</w:t>
      </w:r>
    </w:p>
    <w:p w14:paraId="0CA4E4CF">
      <w:pPr>
        <w:numPr>
          <w:numId w:val="0"/>
        </w:numPr>
        <w:spacing w:before="0" w:beforeAutospacing="1" w:after="0" w:afterAutospacing="1"/>
        <w:ind w:left="360" w:leftChars="0"/>
      </w:pPr>
      <w:r>
        <w:rPr>
          <w:rFonts w:ascii="Segoe UI" w:hAnsi="Segoe UI" w:eastAsia="Segoe UI" w:cs="Segoe UI"/>
          <w:i w:val="0"/>
          <w:iCs w:val="0"/>
          <w:caps w:val="0"/>
          <w:spacing w:val="0"/>
          <w:sz w:val="16"/>
          <w:szCs w:val="16"/>
          <w:shd w:val="clear" w:fill="FFFFFF"/>
        </w:rPr>
        <w:t>允思拓（天津）生物科技有限公司成立于</w:t>
      </w:r>
      <w:r>
        <w:rPr>
          <w:rStyle w:val="8"/>
          <w:rFonts w:hint="default" w:ascii="Segoe UI" w:hAnsi="Segoe UI" w:eastAsia="Segoe UI" w:cs="Segoe UI"/>
          <w:b/>
          <w:bCs/>
          <w:i w:val="0"/>
          <w:iCs w:val="0"/>
          <w:caps w:val="0"/>
          <w:spacing w:val="0"/>
          <w:sz w:val="16"/>
          <w:szCs w:val="16"/>
          <w:shd w:val="clear" w:fill="FFFFFF"/>
        </w:rPr>
        <w:t>2023 年 4 月</w:t>
      </w:r>
      <w:r>
        <w:rPr>
          <w:rFonts w:hint="default" w:ascii="Segoe UI" w:hAnsi="Segoe UI" w:eastAsia="Segoe UI" w:cs="Segoe UI"/>
          <w:i w:val="0"/>
          <w:iCs w:val="0"/>
          <w:caps w:val="0"/>
          <w:spacing w:val="0"/>
          <w:sz w:val="16"/>
          <w:szCs w:val="16"/>
          <w:shd w:val="clear" w:fill="FFFFFF"/>
        </w:rPr>
        <w:t>，注册资本 200 万元，总部位于天津经济技术开发区滨海 - 中关村科技园。</w:t>
      </w:r>
      <w:r>
        <w:rPr>
          <w:rFonts w:ascii="Segoe UI" w:hAnsi="Segoe UI" w:eastAsia="Segoe UI" w:cs="Segoe UI"/>
          <w:i w:val="0"/>
          <w:iCs w:val="0"/>
          <w:caps w:val="0"/>
          <w:spacing w:val="0"/>
          <w:sz w:val="16"/>
          <w:szCs w:val="16"/>
          <w:shd w:val="clear" w:fill="FFFFFF"/>
        </w:rPr>
        <w:t>公司聚焦微生物、基因组及转录组技术领域，依托生物信息学与 AI 技术整合，</w:t>
      </w:r>
      <w:r>
        <w:rPr>
          <w:rFonts w:hint="default" w:ascii="Segoe UI" w:hAnsi="Segoe UI" w:eastAsia="Segoe UI" w:cs="Segoe UI"/>
          <w:i w:val="0"/>
          <w:iCs w:val="0"/>
          <w:caps w:val="0"/>
          <w:spacing w:val="0"/>
          <w:sz w:val="16"/>
          <w:szCs w:val="16"/>
          <w:shd w:val="clear" w:fill="FFFFFF"/>
        </w:rPr>
        <w:t>作为一家聚焦生物科技领域的创新型企业，致力于为高校、科研院所、医疗机构及农业企业提供专业化服务。</w:t>
      </w:r>
    </w:p>
    <w:p w14:paraId="1709D487">
      <w:pPr>
        <w:pStyle w:val="4"/>
      </w:pPr>
      <w:r>
        <w:t>1.2 主要产品与服务</w:t>
      </w:r>
    </w:p>
    <w:p w14:paraId="6A803C77">
      <w:pPr>
        <w:numPr>
          <w:ilvl w:val="0"/>
          <w:numId w:val="1"/>
        </w:numPr>
        <w:spacing w:before="0" w:beforeAutospacing="1" w:after="0" w:afterAutospacing="1"/>
        <w:ind w:left="720" w:hanging="360"/>
      </w:pPr>
      <w:r>
        <w:rPr>
          <w:rFonts w:hint="eastAsia"/>
          <w:lang w:val="en-US" w:eastAsia="zh-CN"/>
        </w:rPr>
        <w:t>微生物</w:t>
      </w:r>
      <w:r>
        <w:t>：</w:t>
      </w:r>
      <w:r>
        <w:br w:type="textWrapping"/>
      </w:r>
      <w:r>
        <w:rPr>
          <w:rFonts w:hint="eastAsia"/>
          <w:lang w:val="en-US" w:eastAsia="zh-CN"/>
        </w:rPr>
        <w:t>1、病原微生物监测预警；</w:t>
      </w:r>
      <w:r>
        <w:rPr>
          <w:rFonts w:hint="eastAsia"/>
          <w:lang w:val="en-US" w:eastAsia="zh-CN"/>
        </w:rPr>
        <w:br w:type="textWrapping"/>
      </w:r>
      <w:r>
        <w:rPr>
          <w:rFonts w:hint="eastAsia"/>
          <w:lang w:val="en-US" w:eastAsia="zh-CN"/>
        </w:rPr>
        <w:t>技术应用：</w:t>
      </w:r>
      <w:r>
        <w:rPr>
          <w:rFonts w:ascii="Segoe UI" w:hAnsi="Segoe UI" w:eastAsia="Segoe UI" w:cs="Segoe UI"/>
          <w:i w:val="0"/>
          <w:iCs w:val="0"/>
          <w:caps w:val="0"/>
          <w:spacing w:val="0"/>
          <w:sz w:val="16"/>
          <w:szCs w:val="16"/>
          <w:shd w:val="clear" w:fill="FFFFFF"/>
        </w:rPr>
        <w:t>开发新冠病毒监测预警技术、基于高通量测序的病原细菌溯源算法，实现快速病原体鉴定与传播链追踪</w:t>
      </w:r>
      <w:r>
        <w:rPr>
          <w:rFonts w:hint="eastAsia" w:ascii="Segoe UI" w:hAnsi="Segoe UI" w:eastAsia="宋体" w:cs="Segoe UI"/>
          <w:i w:val="0"/>
          <w:iCs w:val="0"/>
          <w:caps w:val="0"/>
          <w:spacing w:val="0"/>
          <w:sz w:val="16"/>
          <w:szCs w:val="16"/>
          <w:shd w:val="clear" w:fill="FFFFFF"/>
          <w:lang w:eastAsia="zh-CN"/>
        </w:rPr>
        <w:t>；</w:t>
      </w:r>
      <w:r>
        <w:rPr>
          <w:rFonts w:ascii="Segoe UI" w:hAnsi="Segoe UI" w:eastAsia="Segoe UI" w:cs="Segoe UI"/>
          <w:i w:val="0"/>
          <w:iCs w:val="0"/>
          <w:caps w:val="0"/>
          <w:spacing w:val="0"/>
          <w:sz w:val="16"/>
          <w:szCs w:val="16"/>
          <w:shd w:val="clear" w:fill="FFFFFF"/>
        </w:rPr>
        <w:t>结合基因组、转录组数据，构建病原微生物进化树，辅助疫情防控与溯源决策。</w:t>
      </w:r>
      <w:r>
        <w:rPr>
          <w:rFonts w:ascii="Segoe UI" w:hAnsi="Segoe UI" w:eastAsia="Segoe UI" w:cs="Segoe UI"/>
          <w:i w:val="0"/>
          <w:iCs w:val="0"/>
          <w:caps w:val="0"/>
          <w:spacing w:val="0"/>
          <w:sz w:val="16"/>
          <w:szCs w:val="16"/>
          <w:shd w:val="clear" w:fill="FFFFFF"/>
        </w:rPr>
        <w:br w:type="textWrapping"/>
      </w:r>
      <w:r>
        <w:rPr>
          <w:rFonts w:hint="eastAsia"/>
          <w:lang w:val="en-US" w:eastAsia="zh-CN"/>
        </w:rPr>
        <w:t>2、草图</w:t>
      </w:r>
      <w:r>
        <w:rPr>
          <w:rFonts w:hint="eastAsia"/>
          <w:lang w:val="en-US" w:eastAsia="zh-CN"/>
        </w:rPr>
        <w:br w:type="textWrapping"/>
      </w:r>
      <w:r>
        <w:rPr>
          <w:rFonts w:hint="eastAsia"/>
          <w:lang w:val="en-US" w:eastAsia="zh-CN"/>
        </w:rPr>
        <w:t>3、完成图</w:t>
      </w:r>
      <w:r>
        <w:rPr>
          <w:rFonts w:hint="eastAsia"/>
          <w:lang w:val="en-US" w:eastAsia="zh-CN"/>
        </w:rPr>
        <w:br w:type="textWrapping"/>
      </w:r>
      <w:r>
        <w:rPr>
          <w:rFonts w:hint="eastAsia"/>
          <w:lang w:val="en-US" w:eastAsia="zh-CN"/>
        </w:rPr>
        <w:t>4、扩增子</w:t>
      </w:r>
      <w:r>
        <w:rPr>
          <w:rFonts w:hint="eastAsia"/>
          <w:lang w:val="en-US" w:eastAsia="zh-CN"/>
        </w:rPr>
        <w:br w:type="textWrapping"/>
      </w:r>
      <w:r>
        <w:rPr>
          <w:rFonts w:hint="eastAsia"/>
          <w:lang w:val="en-US" w:eastAsia="zh-CN"/>
        </w:rPr>
        <w:t>5、宏基因组</w:t>
      </w:r>
    </w:p>
    <w:p w14:paraId="689B3157">
      <w:pPr>
        <w:numPr>
          <w:ilvl w:val="0"/>
          <w:numId w:val="1"/>
        </w:numPr>
        <w:spacing w:before="0" w:beforeAutospacing="1" w:after="0" w:afterAutospacing="1"/>
        <w:ind w:left="720" w:hanging="360"/>
      </w:pPr>
      <w:r>
        <w:rPr>
          <w:rFonts w:hint="eastAsia"/>
          <w:lang w:val="en-US" w:eastAsia="zh-CN"/>
        </w:rPr>
        <w:t>基因组：</w:t>
      </w:r>
      <w:r>
        <w:rPr>
          <w:rFonts w:hint="eastAsia"/>
          <w:lang w:val="en-US" w:eastAsia="zh-CN"/>
        </w:rPr>
        <w:br w:type="textWrapping"/>
      </w:r>
      <w:r>
        <w:rPr>
          <w:rFonts w:hint="eastAsia"/>
          <w:lang w:val="en-US" w:eastAsia="zh-CN"/>
        </w:rPr>
        <w:t>1、全基因组survey</w:t>
      </w:r>
      <w:r>
        <w:rPr>
          <w:rFonts w:hint="eastAsia"/>
          <w:lang w:val="en-US" w:eastAsia="zh-CN"/>
        </w:rPr>
        <w:br w:type="textWrapping"/>
      </w:r>
      <w:r>
        <w:rPr>
          <w:rFonts w:hint="eastAsia"/>
          <w:lang w:val="en-US" w:eastAsia="zh-CN"/>
        </w:rPr>
        <w:t>2、基因组组装、注释</w:t>
      </w:r>
      <w:r>
        <w:rPr>
          <w:rFonts w:hint="eastAsia"/>
          <w:lang w:val="en-US" w:eastAsia="zh-CN"/>
        </w:rPr>
        <w:br w:type="textWrapping"/>
      </w:r>
      <w:r>
        <w:rPr>
          <w:rFonts w:hint="eastAsia"/>
          <w:lang w:val="en-US" w:eastAsia="zh-CN"/>
        </w:rPr>
        <w:t>3、动植物基因组T2T分析</w:t>
      </w:r>
      <w:r>
        <w:rPr>
          <w:rFonts w:hint="eastAsia"/>
          <w:lang w:val="en-US" w:eastAsia="zh-CN"/>
        </w:rPr>
        <w:br w:type="textWrapping"/>
      </w:r>
      <w:r>
        <w:rPr>
          <w:rFonts w:hint="eastAsia"/>
          <w:lang w:val="en-US" w:eastAsia="zh-CN"/>
        </w:rPr>
        <w:t>4、图形泛基因组分析</w:t>
      </w:r>
      <w:r>
        <w:rPr>
          <w:rFonts w:hint="eastAsia"/>
          <w:lang w:val="en-US" w:eastAsia="zh-CN"/>
        </w:rPr>
        <w:br w:type="textWrapping"/>
      </w:r>
      <w:r>
        <w:rPr>
          <w:rFonts w:hint="eastAsia"/>
          <w:lang w:val="en-US" w:eastAsia="zh-CN"/>
        </w:rPr>
        <w:t>5、比较基因组分析</w:t>
      </w:r>
      <w:r>
        <w:rPr>
          <w:rFonts w:hint="eastAsia"/>
          <w:lang w:val="en-US" w:eastAsia="zh-CN"/>
        </w:rPr>
        <w:br w:type="textWrapping"/>
      </w:r>
      <w:r>
        <w:rPr>
          <w:rFonts w:hint="eastAsia"/>
          <w:lang w:val="en-US" w:eastAsia="zh-CN"/>
        </w:rPr>
        <w:t>6、Hic辅助染色体挂载分析</w:t>
      </w:r>
      <w:r>
        <w:rPr>
          <w:rFonts w:hint="eastAsia"/>
          <w:lang w:val="en-US" w:eastAsia="zh-CN"/>
        </w:rPr>
        <w:br w:type="textWrapping"/>
      </w:r>
      <w:r>
        <w:rPr>
          <w:rFonts w:hint="eastAsia"/>
          <w:lang w:val="en-US" w:eastAsia="zh-CN"/>
        </w:rPr>
        <w:t>7、全基因组甲基化分析</w:t>
      </w:r>
      <w:r>
        <w:rPr>
          <w:rFonts w:hint="eastAsia"/>
          <w:lang w:val="en-US" w:eastAsia="zh-CN"/>
        </w:rPr>
        <w:br w:type="textWrapping"/>
      </w:r>
      <w:r>
        <w:rPr>
          <w:rFonts w:hint="eastAsia"/>
          <w:lang w:val="en-US" w:eastAsia="zh-CN"/>
        </w:rPr>
        <w:t>8、全基因组Gwas分析</w:t>
      </w:r>
    </w:p>
    <w:p w14:paraId="16A05646">
      <w:pPr>
        <w:numPr>
          <w:ilvl w:val="0"/>
          <w:numId w:val="1"/>
        </w:numPr>
        <w:spacing w:before="0" w:beforeAutospacing="1" w:after="0" w:afterAutospacing="1"/>
        <w:ind w:left="720" w:hanging="360"/>
      </w:pPr>
      <w:r>
        <w:rPr>
          <w:rFonts w:hint="eastAsia"/>
          <w:lang w:val="en-US" w:eastAsia="zh-CN"/>
        </w:rPr>
        <w:t>转录组</w:t>
      </w:r>
      <w:r>
        <w:t>：</w:t>
      </w:r>
      <w:r>
        <w:br w:type="textWrapping"/>
      </w:r>
      <w:r>
        <w:rPr>
          <w:rFonts w:hint="eastAsia"/>
          <w:lang w:val="en-US" w:eastAsia="zh-CN"/>
        </w:rPr>
        <w:t>1、原核/真核转录组分析</w:t>
      </w:r>
      <w:r>
        <w:rPr>
          <w:rFonts w:hint="eastAsia"/>
          <w:lang w:val="en-US" w:eastAsia="zh-CN"/>
        </w:rPr>
        <w:br w:type="textWrapping"/>
      </w:r>
      <w:r>
        <w:rPr>
          <w:rFonts w:hint="eastAsia"/>
          <w:lang w:val="en-US" w:eastAsia="zh-CN"/>
        </w:rPr>
        <w:t>2、Pacbio全长转录组分析</w:t>
      </w:r>
      <w:r>
        <w:rPr>
          <w:rFonts w:hint="eastAsia"/>
          <w:lang w:val="en-US" w:eastAsia="zh-CN"/>
        </w:rPr>
        <w:br w:type="textWrapping"/>
      </w:r>
      <w:r>
        <w:rPr>
          <w:rFonts w:hint="eastAsia"/>
          <w:lang w:val="en-US" w:eastAsia="zh-CN"/>
        </w:rPr>
        <w:t>3、宏转录组分析</w:t>
      </w:r>
      <w:r>
        <w:rPr>
          <w:rFonts w:hint="eastAsia"/>
          <w:lang w:val="en-US" w:eastAsia="zh-CN"/>
        </w:rPr>
        <w:br w:type="textWrapping"/>
      </w:r>
      <w:r>
        <w:rPr>
          <w:rFonts w:hint="eastAsia"/>
          <w:lang w:val="en-US" w:eastAsia="zh-CN"/>
        </w:rPr>
        <w:t>4、smallRNA/lncRNA分析</w:t>
      </w:r>
    </w:p>
    <w:p w14:paraId="25D87572">
      <w:pPr>
        <w:pStyle w:val="4"/>
      </w:pPr>
      <w:r>
        <w:t>1.3 技术优势</w:t>
      </w:r>
    </w:p>
    <w:p w14:paraId="43CDEFC6">
      <w:pPr>
        <w:numPr>
          <w:ilvl w:val="0"/>
          <w:numId w:val="2"/>
        </w:numPr>
        <w:spacing w:before="0" w:beforeAutospacing="1" w:after="0" w:afterAutospacing="1"/>
        <w:ind w:left="720" w:hanging="360"/>
      </w:pPr>
      <w:r>
        <w:rPr>
          <w:b/>
          <w:bCs/>
        </w:rPr>
        <w:t>核心技术</w:t>
      </w:r>
      <w:r>
        <w:t>：</w:t>
      </w:r>
      <w:r>
        <w:br w:type="textWrapping"/>
      </w:r>
      <w:r>
        <w:rPr>
          <w:rFonts w:hint="eastAsia"/>
          <w:lang w:val="en-US" w:eastAsia="zh-CN"/>
        </w:rPr>
        <w:t>1、核心团队建立的基于高通量测序的病原微生物检测溯源的算法和流程，连续三年在“联合国秘书长调查机制”能力评测中表现优异，获得相关部委表彰。疫情期间新冠监测报告多次被中央办公厅采用，并获中央领导批示。</w:t>
      </w:r>
      <w:r>
        <w:rPr>
          <w:rFonts w:hint="eastAsia"/>
          <w:lang w:val="en-US" w:eastAsia="zh-CN"/>
        </w:rPr>
        <w:br w:type="textWrapping"/>
      </w:r>
      <w:r>
        <w:rPr>
          <w:rFonts w:hint="eastAsia"/>
          <w:lang w:val="en-US" w:eastAsia="zh-CN"/>
        </w:rPr>
        <w:t>2、公司核心团队构建超大复杂基因组组装算法和策略。与中国科学院海洋研究所、中国林业科学研究院、河南省农科院等单位合作完成了包括对虾、海参、扇贝、藏野驴，芝麻和杨树等多种复杂大基因组的测序工作。</w:t>
      </w:r>
      <w:r>
        <w:rPr>
          <w:rFonts w:hint="eastAsia"/>
          <w:lang w:val="en-US" w:eastAsia="zh-CN"/>
        </w:rPr>
        <w:br w:type="textWrapping"/>
      </w:r>
      <w:r>
        <w:rPr>
          <w:rFonts w:hint="eastAsia"/>
          <w:lang w:val="en-US" w:eastAsia="zh-CN"/>
        </w:rPr>
        <w:t>3、公司核心团队平均具有12.5年行业从业经验。长期从事基因组学及生物信息学研究，专注于群体基因组进化和变异监测领域。累计开发了包括高复杂度海洋生物组装技术、A2基因型奶牛筛选技术、病原微生物检测溯源等算法和流程。</w:t>
      </w:r>
    </w:p>
    <w:p w14:paraId="3728D650">
      <w:pPr>
        <w:keepNext w:val="0"/>
        <w:keepLines w:val="0"/>
        <w:widowControl/>
        <w:suppressLineNumbers w:val="0"/>
        <w:shd w:val="clear" w:fill="FEFEFE"/>
        <w:spacing w:before="0" w:beforeAutospacing="0" w:after="150" w:afterAutospacing="0"/>
        <w:ind w:left="0" w:right="0" w:firstLine="0"/>
        <w:jc w:val="left"/>
      </w:pPr>
    </w:p>
    <w:p w14:paraId="1D5CC2FF">
      <w:pPr>
        <w:numPr>
          <w:ilvl w:val="0"/>
          <w:numId w:val="2"/>
        </w:numPr>
        <w:spacing w:before="0" w:beforeAutospacing="1" w:after="0" w:afterAutospacing="1"/>
        <w:ind w:left="720" w:hanging="360"/>
      </w:pPr>
      <w:r>
        <w:rPr>
          <w:rFonts w:hint="eastAsia"/>
          <w:b/>
          <w:bCs/>
          <w:lang w:val="en-US" w:eastAsia="zh-CN"/>
        </w:rPr>
        <w:t>研发团队</w:t>
      </w:r>
      <w:r>
        <w:rPr>
          <w:rFonts w:hint="eastAsia"/>
          <w:lang w:val="en-US" w:eastAsia="zh-CN"/>
        </w:rPr>
        <w:t>：</w:t>
      </w:r>
      <w:r>
        <w:rPr>
          <w:rFonts w:hint="default"/>
          <w:lang w:val="en-US" w:eastAsia="zh-CN"/>
        </w:rPr>
        <w:t>团队成员熟练掌握企业管理所需的各类专业知识，包括涉及各基因组技术的产品开发、生产扩大、商业扩张和全球客户参与业务。主要管理人员在相关领域深耕10年以上，积累了丰富的分析和开发经验。我们坚持紧跟科研趋势，不断创新，为科研工作者提供最</w:t>
      </w:r>
      <w:r>
        <w:rPr>
          <w:rFonts w:hint="eastAsia"/>
          <w:lang w:val="en-US" w:eastAsia="zh-CN"/>
        </w:rPr>
        <w:t>具</w:t>
      </w:r>
      <w:r>
        <w:rPr>
          <w:rFonts w:hint="default"/>
          <w:lang w:val="en-US" w:eastAsia="zh-CN"/>
        </w:rPr>
        <w:t>影响力的科学成果和技术洞察。</w:t>
      </w:r>
    </w:p>
    <w:p w14:paraId="380BED10">
      <w:pPr>
        <w:numPr>
          <w:ilvl w:val="0"/>
          <w:numId w:val="2"/>
        </w:numPr>
        <w:spacing w:before="0" w:beforeAutospacing="1" w:after="0" w:afterAutospacing="1"/>
        <w:ind w:left="720" w:hanging="360"/>
        <w:rPr>
          <w:rFonts w:hint="default"/>
          <w:lang w:val="en-US"/>
        </w:rPr>
      </w:pPr>
      <w:r>
        <w:rPr>
          <w:b/>
          <w:bCs/>
        </w:rPr>
        <w:t>知识产权</w:t>
      </w:r>
      <w:r>
        <w:t>：</w:t>
      </w:r>
      <w:r>
        <w:rPr>
          <w:rFonts w:hint="eastAsia"/>
          <w:lang w:val="en-US" w:eastAsia="zh-CN"/>
        </w:rPr>
        <w:t>NA</w:t>
      </w:r>
    </w:p>
    <w:p w14:paraId="4CC302DD">
      <w:pPr>
        <w:pStyle w:val="4"/>
      </w:pPr>
      <w:r>
        <w:t>1.4 市场定位</w:t>
      </w:r>
    </w:p>
    <w:p w14:paraId="7140F80B">
      <w:pPr>
        <w:numPr>
          <w:ilvl w:val="0"/>
          <w:numId w:val="3"/>
        </w:numPr>
        <w:spacing w:before="0" w:beforeAutospacing="1" w:after="0" w:afterAutospacing="1"/>
        <w:ind w:left="720" w:hanging="360"/>
      </w:pPr>
      <w:r>
        <w:t>目标客户：</w:t>
      </w:r>
      <w:r>
        <w:rPr>
          <w:rFonts w:hint="default"/>
          <w:lang w:val="en-US" w:eastAsia="zh-CN"/>
        </w:rPr>
        <w:t>高校、科研院所、医疗机构及农业企业</w:t>
      </w:r>
    </w:p>
    <w:p w14:paraId="2F3F18C5">
      <w:pPr>
        <w:numPr>
          <w:ilvl w:val="0"/>
          <w:numId w:val="3"/>
        </w:numPr>
        <w:spacing w:before="0" w:beforeAutospacing="1" w:after="0" w:afterAutospacing="1"/>
        <w:ind w:left="720" w:hanging="360"/>
      </w:pPr>
      <w:r>
        <w:t>竞争优势：</w:t>
      </w:r>
      <w:r>
        <w:br w:type="textWrapping"/>
      </w:r>
      <w:r>
        <w:rPr>
          <w:rFonts w:hint="eastAsia"/>
          <w:lang w:val="en-US" w:eastAsia="zh-CN"/>
        </w:rPr>
        <w:t>1核心成员平均拥有10多年的行业经验，专注微生物、动植物基因组测序分析及算法开发，多大10余项核心技术，包括新冠病毒监测预警、病原细菌溯源算法等；</w:t>
      </w:r>
      <w:r>
        <w:rPr>
          <w:rFonts w:hint="eastAsia"/>
          <w:lang w:val="en-US" w:eastAsia="zh-CN"/>
        </w:rPr>
        <w:br w:type="textWrapping"/>
      </w:r>
      <w:r>
        <w:rPr>
          <w:rFonts w:hint="eastAsia"/>
          <w:lang w:val="en-US" w:eastAsia="zh-CN"/>
        </w:rPr>
        <w:t>2价格相对优势；首先我们人工成本低，人效高，比如大规模这种公司，管理层和人力等会占实际产生利润的人员2：3，也就是说他必须卖高价才可以维持公司正常运转</w:t>
      </w:r>
      <w:r>
        <w:rPr>
          <w:rFonts w:hint="eastAsia"/>
          <w:lang w:val="en-US" w:eastAsia="zh-CN"/>
        </w:rPr>
        <w:br w:type="textWrapping"/>
      </w:r>
      <w:r>
        <w:rPr>
          <w:rFonts w:hint="eastAsia"/>
          <w:lang w:val="en-US" w:eastAsia="zh-CN"/>
        </w:rPr>
        <w:t>3 我们售后服务相对优势；我们团队都是专业深耕这个领域很多年，有丰富的项目经验，比如大规模公司他们好多都是新培养的新人去做，而且项目巨多，没有多余时间去处理售后项目</w:t>
      </w:r>
      <w:r>
        <w:rPr>
          <w:rFonts w:hint="eastAsia"/>
          <w:lang w:val="en-US" w:eastAsia="zh-CN"/>
        </w:rPr>
        <w:br w:type="textWrapping"/>
      </w:r>
      <w:r>
        <w:rPr>
          <w:rFonts w:hint="eastAsia"/>
          <w:lang w:val="en-US" w:eastAsia="zh-CN"/>
        </w:rPr>
        <w:t>4 项目周期相对优势；大公司会有运营对接客户，这种会延迟项目问题的解决及准确的传达问题点，我们采用信息直接对接客户的方式，能快速解决客户的痛点及问题</w:t>
      </w:r>
    </w:p>
    <w:p w14:paraId="0D820643">
      <w:pPr>
        <w:numPr>
          <w:numId w:val="0"/>
        </w:numPr>
        <w:spacing w:before="0" w:beforeAutospacing="1" w:after="0" w:afterAutospacing="1"/>
        <w:ind w:left="360" w:leftChars="0"/>
      </w:pPr>
    </w:p>
    <w:p w14:paraId="49950B0B">
      <w:pPr>
        <w:pStyle w:val="3"/>
      </w:pPr>
      <w:r>
        <w:t>第二部分：价格体系</w:t>
      </w:r>
    </w:p>
    <w:p w14:paraId="1CAF74A7">
      <w:pPr>
        <w:pStyle w:val="4"/>
      </w:pPr>
      <w:r>
        <w:t>2.</w:t>
      </w:r>
      <w:r>
        <w:rPr>
          <w:rFonts w:hint="eastAsia"/>
          <w:lang w:val="en-US" w:eastAsia="zh-CN"/>
        </w:rPr>
        <w:t>1</w:t>
      </w:r>
      <w:r>
        <w:t xml:space="preserve"> 产品定价</w:t>
      </w:r>
    </w:p>
    <w:p w14:paraId="3389A84F">
      <w:pPr>
        <w:rPr>
          <w:rFonts w:hint="eastAsia"/>
          <w:lang w:val="en-US" w:eastAsia="zh-CN"/>
        </w:rPr>
      </w:pPr>
      <w:r>
        <w:rPr>
          <w:rFonts w:hint="eastAsia"/>
          <w:lang w:val="en-US" w:eastAsia="zh-CN"/>
        </w:rPr>
        <w:t xml:space="preserve">     </w:t>
      </w:r>
    </w:p>
    <w:tbl>
      <w:tblPr>
        <w:tblW w:w="908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3156"/>
        <w:gridCol w:w="1080"/>
        <w:gridCol w:w="1080"/>
        <w:gridCol w:w="1080"/>
        <w:gridCol w:w="1344"/>
        <w:gridCol w:w="1344"/>
      </w:tblGrid>
      <w:tr w14:paraId="4D4B95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3156" w:type="dxa"/>
            <w:tcBorders>
              <w:top w:val="nil"/>
              <w:left w:val="nil"/>
              <w:bottom w:val="nil"/>
              <w:right w:val="nil"/>
            </w:tcBorders>
            <w:shd w:val="clear"/>
            <w:noWrap/>
            <w:vAlign w:val="center"/>
          </w:tcPr>
          <w:p w14:paraId="2C2B7936">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样本量</w:t>
            </w:r>
          </w:p>
        </w:tc>
        <w:tc>
          <w:tcPr>
            <w:tcW w:w="1080" w:type="dxa"/>
            <w:tcBorders>
              <w:top w:val="nil"/>
              <w:left w:val="nil"/>
              <w:bottom w:val="nil"/>
              <w:right w:val="nil"/>
            </w:tcBorders>
            <w:shd w:val="clear"/>
            <w:noWrap/>
            <w:vAlign w:val="center"/>
          </w:tcPr>
          <w:p w14:paraId="52AD56D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&lt;=10</w:t>
            </w:r>
          </w:p>
        </w:tc>
        <w:tc>
          <w:tcPr>
            <w:tcW w:w="1080" w:type="dxa"/>
            <w:tcBorders>
              <w:top w:val="nil"/>
              <w:left w:val="nil"/>
              <w:bottom w:val="nil"/>
              <w:right w:val="nil"/>
            </w:tcBorders>
            <w:shd w:val="clear"/>
            <w:noWrap/>
            <w:vAlign w:val="center"/>
          </w:tcPr>
          <w:p w14:paraId="23384B90">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&lt;=50</w:t>
            </w:r>
          </w:p>
        </w:tc>
        <w:tc>
          <w:tcPr>
            <w:tcW w:w="1080" w:type="dxa"/>
            <w:tcBorders>
              <w:top w:val="nil"/>
              <w:left w:val="nil"/>
              <w:bottom w:val="nil"/>
              <w:right w:val="nil"/>
            </w:tcBorders>
            <w:shd w:val="clear"/>
            <w:noWrap/>
            <w:vAlign w:val="center"/>
          </w:tcPr>
          <w:p w14:paraId="517F529B">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&lt;=100</w:t>
            </w:r>
          </w:p>
        </w:tc>
        <w:tc>
          <w:tcPr>
            <w:tcW w:w="1344" w:type="dxa"/>
            <w:tcBorders>
              <w:top w:val="nil"/>
              <w:left w:val="nil"/>
              <w:bottom w:val="nil"/>
              <w:right w:val="nil"/>
            </w:tcBorders>
            <w:shd w:val="clear"/>
            <w:noWrap/>
            <w:vAlign w:val="center"/>
          </w:tcPr>
          <w:p w14:paraId="1B1A0264">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数据量+1G</w:t>
            </w:r>
          </w:p>
        </w:tc>
        <w:tc>
          <w:tcPr>
            <w:tcW w:w="1344" w:type="dxa"/>
            <w:tcBorders>
              <w:top w:val="nil"/>
              <w:left w:val="nil"/>
              <w:bottom w:val="nil"/>
              <w:right w:val="nil"/>
            </w:tcBorders>
            <w:shd w:val="clear"/>
            <w:noWrap/>
            <w:vAlign w:val="center"/>
          </w:tcPr>
          <w:p w14:paraId="3F79B51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周期</w:t>
            </w:r>
          </w:p>
        </w:tc>
      </w:tr>
      <w:tr w14:paraId="7B9EE4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14FD8A4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meta（6G）</w:t>
            </w:r>
          </w:p>
        </w:tc>
        <w:tc>
          <w:tcPr>
            <w:tcW w:w="0" w:type="auto"/>
            <w:tcBorders>
              <w:top w:val="nil"/>
              <w:left w:val="nil"/>
              <w:bottom w:val="nil"/>
              <w:right w:val="nil"/>
            </w:tcBorders>
            <w:shd w:val="clear"/>
            <w:noWrap/>
            <w:vAlign w:val="center"/>
          </w:tcPr>
          <w:p w14:paraId="2CC5AF07">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400</w:t>
            </w:r>
          </w:p>
        </w:tc>
        <w:tc>
          <w:tcPr>
            <w:tcW w:w="0" w:type="auto"/>
            <w:tcBorders>
              <w:top w:val="nil"/>
              <w:left w:val="nil"/>
              <w:bottom w:val="nil"/>
              <w:right w:val="nil"/>
            </w:tcBorders>
            <w:shd w:val="clear"/>
            <w:noWrap/>
            <w:vAlign w:val="center"/>
          </w:tcPr>
          <w:p w14:paraId="02FC82A1">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380</w:t>
            </w:r>
          </w:p>
        </w:tc>
        <w:tc>
          <w:tcPr>
            <w:tcW w:w="0" w:type="auto"/>
            <w:tcBorders>
              <w:top w:val="nil"/>
              <w:left w:val="nil"/>
              <w:bottom w:val="nil"/>
              <w:right w:val="nil"/>
            </w:tcBorders>
            <w:shd w:val="clear"/>
            <w:noWrap/>
            <w:vAlign w:val="center"/>
          </w:tcPr>
          <w:p w14:paraId="0FB30B3A">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350</w:t>
            </w:r>
          </w:p>
        </w:tc>
        <w:tc>
          <w:tcPr>
            <w:tcW w:w="0" w:type="auto"/>
            <w:tcBorders>
              <w:top w:val="nil"/>
              <w:left w:val="nil"/>
              <w:bottom w:val="nil"/>
              <w:right w:val="nil"/>
            </w:tcBorders>
            <w:shd w:val="clear"/>
            <w:noWrap/>
            <w:vAlign w:val="center"/>
          </w:tcPr>
          <w:p w14:paraId="5A394214">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50</w:t>
            </w:r>
          </w:p>
        </w:tc>
        <w:tc>
          <w:tcPr>
            <w:tcW w:w="0" w:type="auto"/>
            <w:tcBorders>
              <w:top w:val="nil"/>
              <w:left w:val="nil"/>
              <w:bottom w:val="nil"/>
              <w:right w:val="nil"/>
            </w:tcBorders>
            <w:shd w:val="clear"/>
            <w:noWrap/>
            <w:vAlign w:val="center"/>
          </w:tcPr>
          <w:p w14:paraId="7101A209">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6CD0F3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2FB5817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真核转录组（6G）</w:t>
            </w:r>
          </w:p>
        </w:tc>
        <w:tc>
          <w:tcPr>
            <w:tcW w:w="0" w:type="auto"/>
            <w:tcBorders>
              <w:top w:val="nil"/>
              <w:left w:val="nil"/>
              <w:bottom w:val="nil"/>
              <w:right w:val="nil"/>
            </w:tcBorders>
            <w:shd w:val="clear"/>
            <w:noWrap/>
            <w:vAlign w:val="center"/>
          </w:tcPr>
          <w:p w14:paraId="2FD9F20C">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400</w:t>
            </w:r>
          </w:p>
        </w:tc>
        <w:tc>
          <w:tcPr>
            <w:tcW w:w="0" w:type="auto"/>
            <w:tcBorders>
              <w:top w:val="nil"/>
              <w:left w:val="nil"/>
              <w:bottom w:val="nil"/>
              <w:right w:val="nil"/>
            </w:tcBorders>
            <w:shd w:val="clear"/>
            <w:noWrap/>
            <w:vAlign w:val="center"/>
          </w:tcPr>
          <w:p w14:paraId="172B2C62">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380</w:t>
            </w:r>
          </w:p>
        </w:tc>
        <w:tc>
          <w:tcPr>
            <w:tcW w:w="0" w:type="auto"/>
            <w:tcBorders>
              <w:top w:val="nil"/>
              <w:left w:val="nil"/>
              <w:bottom w:val="nil"/>
              <w:right w:val="nil"/>
            </w:tcBorders>
            <w:shd w:val="clear"/>
            <w:noWrap/>
            <w:vAlign w:val="center"/>
          </w:tcPr>
          <w:p w14:paraId="24AED41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350</w:t>
            </w:r>
          </w:p>
        </w:tc>
        <w:tc>
          <w:tcPr>
            <w:tcW w:w="0" w:type="auto"/>
            <w:tcBorders>
              <w:top w:val="nil"/>
              <w:left w:val="nil"/>
              <w:bottom w:val="nil"/>
              <w:right w:val="nil"/>
            </w:tcBorders>
            <w:shd w:val="clear"/>
            <w:noWrap/>
            <w:vAlign w:val="center"/>
          </w:tcPr>
          <w:p w14:paraId="42BAD53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50</w:t>
            </w:r>
          </w:p>
        </w:tc>
        <w:tc>
          <w:tcPr>
            <w:tcW w:w="0" w:type="auto"/>
            <w:tcBorders>
              <w:top w:val="nil"/>
              <w:left w:val="nil"/>
              <w:bottom w:val="nil"/>
              <w:right w:val="nil"/>
            </w:tcBorders>
            <w:shd w:val="clear"/>
            <w:noWrap/>
            <w:vAlign w:val="center"/>
          </w:tcPr>
          <w:p w14:paraId="726AA83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4BB29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1F58AB7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16S（5wtags）</w:t>
            </w:r>
          </w:p>
        </w:tc>
        <w:tc>
          <w:tcPr>
            <w:tcW w:w="0" w:type="auto"/>
            <w:tcBorders>
              <w:top w:val="nil"/>
              <w:left w:val="nil"/>
              <w:bottom w:val="nil"/>
              <w:right w:val="nil"/>
            </w:tcBorders>
            <w:shd w:val="clear"/>
            <w:noWrap/>
            <w:vAlign w:val="center"/>
          </w:tcPr>
          <w:p w14:paraId="6ABBCBF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100</w:t>
            </w:r>
          </w:p>
        </w:tc>
        <w:tc>
          <w:tcPr>
            <w:tcW w:w="0" w:type="auto"/>
            <w:tcBorders>
              <w:top w:val="nil"/>
              <w:left w:val="nil"/>
              <w:bottom w:val="nil"/>
              <w:right w:val="nil"/>
            </w:tcBorders>
            <w:shd w:val="clear"/>
            <w:noWrap/>
            <w:vAlign w:val="center"/>
          </w:tcPr>
          <w:p w14:paraId="25C7559D">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90</w:t>
            </w:r>
          </w:p>
        </w:tc>
        <w:tc>
          <w:tcPr>
            <w:tcW w:w="0" w:type="auto"/>
            <w:tcBorders>
              <w:top w:val="nil"/>
              <w:left w:val="nil"/>
              <w:bottom w:val="nil"/>
              <w:right w:val="nil"/>
            </w:tcBorders>
            <w:shd w:val="clear"/>
            <w:noWrap/>
            <w:vAlign w:val="center"/>
          </w:tcPr>
          <w:p w14:paraId="07CC3CD4">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80</w:t>
            </w:r>
          </w:p>
        </w:tc>
        <w:tc>
          <w:tcPr>
            <w:tcW w:w="0" w:type="auto"/>
            <w:tcBorders>
              <w:top w:val="nil"/>
              <w:left w:val="nil"/>
              <w:bottom w:val="nil"/>
              <w:right w:val="nil"/>
            </w:tcBorders>
            <w:shd w:val="clear"/>
            <w:noWrap/>
            <w:vAlign w:val="center"/>
          </w:tcPr>
          <w:p w14:paraId="6F21A006">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037CEFA5">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584AA3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6D905F75">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原核重测序（1G）</w:t>
            </w:r>
          </w:p>
        </w:tc>
        <w:tc>
          <w:tcPr>
            <w:tcW w:w="0" w:type="auto"/>
            <w:tcBorders>
              <w:top w:val="nil"/>
              <w:left w:val="nil"/>
              <w:bottom w:val="nil"/>
              <w:right w:val="nil"/>
            </w:tcBorders>
            <w:shd w:val="clear"/>
            <w:noWrap/>
            <w:vAlign w:val="center"/>
          </w:tcPr>
          <w:p w14:paraId="6CD265C1">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250</w:t>
            </w:r>
          </w:p>
        </w:tc>
        <w:tc>
          <w:tcPr>
            <w:tcW w:w="0" w:type="auto"/>
            <w:tcBorders>
              <w:top w:val="nil"/>
              <w:left w:val="nil"/>
              <w:bottom w:val="nil"/>
              <w:right w:val="nil"/>
            </w:tcBorders>
            <w:shd w:val="clear"/>
            <w:noWrap/>
            <w:vAlign w:val="center"/>
          </w:tcPr>
          <w:p w14:paraId="5B875A6E">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220</w:t>
            </w:r>
          </w:p>
        </w:tc>
        <w:tc>
          <w:tcPr>
            <w:tcW w:w="0" w:type="auto"/>
            <w:tcBorders>
              <w:top w:val="nil"/>
              <w:left w:val="nil"/>
              <w:bottom w:val="nil"/>
              <w:right w:val="nil"/>
            </w:tcBorders>
            <w:shd w:val="clear"/>
            <w:noWrap/>
            <w:vAlign w:val="center"/>
          </w:tcPr>
          <w:p w14:paraId="26FF759D">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200</w:t>
            </w:r>
          </w:p>
        </w:tc>
        <w:tc>
          <w:tcPr>
            <w:tcW w:w="0" w:type="auto"/>
            <w:tcBorders>
              <w:top w:val="nil"/>
              <w:left w:val="nil"/>
              <w:bottom w:val="nil"/>
              <w:right w:val="nil"/>
            </w:tcBorders>
            <w:shd w:val="clear"/>
            <w:noWrap/>
            <w:vAlign w:val="center"/>
          </w:tcPr>
          <w:p w14:paraId="7240C03E">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w:t>
            </w:r>
          </w:p>
        </w:tc>
        <w:tc>
          <w:tcPr>
            <w:tcW w:w="0" w:type="auto"/>
            <w:tcBorders>
              <w:top w:val="nil"/>
              <w:left w:val="nil"/>
              <w:bottom w:val="nil"/>
              <w:right w:val="nil"/>
            </w:tcBorders>
            <w:shd w:val="clear"/>
            <w:noWrap/>
            <w:vAlign w:val="center"/>
          </w:tcPr>
          <w:p w14:paraId="64294C9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58AC7C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24ECEAA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真核重测序（3G）</w:t>
            </w:r>
          </w:p>
        </w:tc>
        <w:tc>
          <w:tcPr>
            <w:tcW w:w="0" w:type="auto"/>
            <w:tcBorders>
              <w:top w:val="nil"/>
              <w:left w:val="nil"/>
              <w:bottom w:val="nil"/>
              <w:right w:val="nil"/>
            </w:tcBorders>
            <w:shd w:val="clear"/>
            <w:noWrap/>
            <w:vAlign w:val="center"/>
          </w:tcPr>
          <w:p w14:paraId="4EC5C5B9">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300</w:t>
            </w:r>
          </w:p>
        </w:tc>
        <w:tc>
          <w:tcPr>
            <w:tcW w:w="0" w:type="auto"/>
            <w:tcBorders>
              <w:top w:val="nil"/>
              <w:left w:val="nil"/>
              <w:bottom w:val="nil"/>
              <w:right w:val="nil"/>
            </w:tcBorders>
            <w:shd w:val="clear"/>
            <w:noWrap/>
            <w:vAlign w:val="center"/>
          </w:tcPr>
          <w:p w14:paraId="64376A50">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280</w:t>
            </w:r>
          </w:p>
        </w:tc>
        <w:tc>
          <w:tcPr>
            <w:tcW w:w="0" w:type="auto"/>
            <w:tcBorders>
              <w:top w:val="nil"/>
              <w:left w:val="nil"/>
              <w:bottom w:val="nil"/>
              <w:right w:val="nil"/>
            </w:tcBorders>
            <w:shd w:val="clear"/>
            <w:noWrap/>
            <w:vAlign w:val="center"/>
          </w:tcPr>
          <w:p w14:paraId="2580C91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260</w:t>
            </w:r>
          </w:p>
        </w:tc>
        <w:tc>
          <w:tcPr>
            <w:tcW w:w="0" w:type="auto"/>
            <w:tcBorders>
              <w:top w:val="nil"/>
              <w:left w:val="nil"/>
              <w:bottom w:val="nil"/>
              <w:right w:val="nil"/>
            </w:tcBorders>
            <w:shd w:val="clear"/>
            <w:noWrap/>
            <w:vAlign w:val="center"/>
          </w:tcPr>
          <w:p w14:paraId="1BB71F55">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w:t>
            </w:r>
          </w:p>
        </w:tc>
        <w:tc>
          <w:tcPr>
            <w:tcW w:w="0" w:type="auto"/>
            <w:tcBorders>
              <w:top w:val="nil"/>
              <w:left w:val="nil"/>
              <w:bottom w:val="nil"/>
              <w:right w:val="nil"/>
            </w:tcBorders>
            <w:shd w:val="clear"/>
            <w:noWrap/>
            <w:vAlign w:val="center"/>
          </w:tcPr>
          <w:p w14:paraId="073587DA">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14BFC8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1B9D6B75">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细菌完成图(ONT)</w:t>
            </w:r>
          </w:p>
        </w:tc>
        <w:tc>
          <w:tcPr>
            <w:tcW w:w="0" w:type="auto"/>
            <w:tcBorders>
              <w:top w:val="nil"/>
              <w:left w:val="nil"/>
              <w:bottom w:val="nil"/>
              <w:right w:val="nil"/>
            </w:tcBorders>
            <w:shd w:val="clear"/>
            <w:noWrap/>
            <w:vAlign w:val="center"/>
          </w:tcPr>
          <w:p w14:paraId="3F38E521">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1500</w:t>
            </w:r>
          </w:p>
        </w:tc>
        <w:tc>
          <w:tcPr>
            <w:tcW w:w="0" w:type="auto"/>
            <w:tcBorders>
              <w:top w:val="nil"/>
              <w:left w:val="nil"/>
              <w:bottom w:val="nil"/>
              <w:right w:val="nil"/>
            </w:tcBorders>
            <w:shd w:val="clear"/>
            <w:noWrap/>
            <w:vAlign w:val="center"/>
          </w:tcPr>
          <w:p w14:paraId="3C9ABBE5">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1300</w:t>
            </w:r>
          </w:p>
        </w:tc>
        <w:tc>
          <w:tcPr>
            <w:tcW w:w="0" w:type="auto"/>
            <w:tcBorders>
              <w:top w:val="nil"/>
              <w:left w:val="nil"/>
              <w:bottom w:val="nil"/>
              <w:right w:val="nil"/>
            </w:tcBorders>
            <w:shd w:val="clear"/>
            <w:noWrap/>
            <w:vAlign w:val="center"/>
          </w:tcPr>
          <w:p w14:paraId="79AA506D">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1100</w:t>
            </w:r>
          </w:p>
        </w:tc>
        <w:tc>
          <w:tcPr>
            <w:tcW w:w="0" w:type="auto"/>
            <w:tcBorders>
              <w:top w:val="nil"/>
              <w:left w:val="nil"/>
              <w:bottom w:val="nil"/>
              <w:right w:val="nil"/>
            </w:tcBorders>
            <w:shd w:val="clear"/>
            <w:noWrap/>
            <w:vAlign w:val="center"/>
          </w:tcPr>
          <w:p w14:paraId="5D018BF7">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464C1192">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7197A6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2E0D82D0">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细菌完成图(Pacbio)</w:t>
            </w:r>
          </w:p>
        </w:tc>
        <w:tc>
          <w:tcPr>
            <w:tcW w:w="0" w:type="auto"/>
            <w:tcBorders>
              <w:top w:val="nil"/>
              <w:left w:val="nil"/>
              <w:bottom w:val="nil"/>
              <w:right w:val="nil"/>
            </w:tcBorders>
            <w:shd w:val="clear"/>
            <w:noWrap/>
            <w:vAlign w:val="center"/>
          </w:tcPr>
          <w:p w14:paraId="12155F42">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2800</w:t>
            </w:r>
          </w:p>
        </w:tc>
        <w:tc>
          <w:tcPr>
            <w:tcW w:w="0" w:type="auto"/>
            <w:tcBorders>
              <w:top w:val="nil"/>
              <w:left w:val="nil"/>
              <w:bottom w:val="nil"/>
              <w:right w:val="nil"/>
            </w:tcBorders>
            <w:shd w:val="clear"/>
            <w:noWrap/>
            <w:vAlign w:val="center"/>
          </w:tcPr>
          <w:p w14:paraId="01D2AD6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2500</w:t>
            </w:r>
          </w:p>
        </w:tc>
        <w:tc>
          <w:tcPr>
            <w:tcW w:w="0" w:type="auto"/>
            <w:tcBorders>
              <w:top w:val="nil"/>
              <w:left w:val="nil"/>
              <w:bottom w:val="nil"/>
              <w:right w:val="nil"/>
            </w:tcBorders>
            <w:shd w:val="clear"/>
            <w:noWrap/>
            <w:vAlign w:val="center"/>
          </w:tcPr>
          <w:p w14:paraId="1C312BE3">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2200</w:t>
            </w:r>
          </w:p>
        </w:tc>
        <w:tc>
          <w:tcPr>
            <w:tcW w:w="0" w:type="auto"/>
            <w:tcBorders>
              <w:top w:val="nil"/>
              <w:left w:val="nil"/>
              <w:bottom w:val="nil"/>
              <w:right w:val="nil"/>
            </w:tcBorders>
            <w:shd w:val="clear"/>
            <w:noWrap/>
            <w:vAlign w:val="center"/>
          </w:tcPr>
          <w:p w14:paraId="5B271FAD">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49A7D22A">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7DA69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043E368C">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细菌框架图（1G）</w:t>
            </w:r>
          </w:p>
        </w:tc>
        <w:tc>
          <w:tcPr>
            <w:tcW w:w="0" w:type="auto"/>
            <w:tcBorders>
              <w:top w:val="nil"/>
              <w:left w:val="nil"/>
              <w:bottom w:val="nil"/>
              <w:right w:val="nil"/>
            </w:tcBorders>
            <w:shd w:val="clear"/>
            <w:noWrap/>
            <w:vAlign w:val="center"/>
          </w:tcPr>
          <w:p w14:paraId="436A189E">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280</w:t>
            </w:r>
          </w:p>
        </w:tc>
        <w:tc>
          <w:tcPr>
            <w:tcW w:w="0" w:type="auto"/>
            <w:tcBorders>
              <w:top w:val="nil"/>
              <w:left w:val="nil"/>
              <w:bottom w:val="nil"/>
              <w:right w:val="nil"/>
            </w:tcBorders>
            <w:shd w:val="clear"/>
            <w:noWrap/>
            <w:vAlign w:val="center"/>
          </w:tcPr>
          <w:p w14:paraId="0040891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260</w:t>
            </w:r>
          </w:p>
        </w:tc>
        <w:tc>
          <w:tcPr>
            <w:tcW w:w="0" w:type="auto"/>
            <w:tcBorders>
              <w:top w:val="nil"/>
              <w:left w:val="nil"/>
              <w:bottom w:val="nil"/>
              <w:right w:val="nil"/>
            </w:tcBorders>
            <w:shd w:val="clear"/>
            <w:noWrap/>
            <w:vAlign w:val="center"/>
          </w:tcPr>
          <w:p w14:paraId="47BC1EA3">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230</w:t>
            </w:r>
          </w:p>
        </w:tc>
        <w:tc>
          <w:tcPr>
            <w:tcW w:w="0" w:type="auto"/>
            <w:tcBorders>
              <w:top w:val="nil"/>
              <w:left w:val="nil"/>
              <w:bottom w:val="nil"/>
              <w:right w:val="nil"/>
            </w:tcBorders>
            <w:shd w:val="clear"/>
            <w:noWrap/>
            <w:vAlign w:val="center"/>
          </w:tcPr>
          <w:p w14:paraId="5A57DD9B">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6A7DAF0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08EBF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4BC5E8C7">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真菌框架图（3G）</w:t>
            </w:r>
          </w:p>
        </w:tc>
        <w:tc>
          <w:tcPr>
            <w:tcW w:w="0" w:type="auto"/>
            <w:tcBorders>
              <w:top w:val="nil"/>
              <w:left w:val="nil"/>
              <w:bottom w:val="nil"/>
              <w:right w:val="nil"/>
            </w:tcBorders>
            <w:shd w:val="clear"/>
            <w:noWrap/>
            <w:vAlign w:val="center"/>
          </w:tcPr>
          <w:p w14:paraId="1FA8DC7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500</w:t>
            </w:r>
          </w:p>
        </w:tc>
        <w:tc>
          <w:tcPr>
            <w:tcW w:w="0" w:type="auto"/>
            <w:tcBorders>
              <w:top w:val="nil"/>
              <w:left w:val="nil"/>
              <w:bottom w:val="nil"/>
              <w:right w:val="nil"/>
            </w:tcBorders>
            <w:shd w:val="clear"/>
            <w:noWrap/>
            <w:vAlign w:val="center"/>
          </w:tcPr>
          <w:p w14:paraId="49F98F65">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480</w:t>
            </w:r>
          </w:p>
        </w:tc>
        <w:tc>
          <w:tcPr>
            <w:tcW w:w="0" w:type="auto"/>
            <w:tcBorders>
              <w:top w:val="nil"/>
              <w:left w:val="nil"/>
              <w:bottom w:val="nil"/>
              <w:right w:val="nil"/>
            </w:tcBorders>
            <w:shd w:val="clear"/>
            <w:noWrap/>
            <w:vAlign w:val="center"/>
          </w:tcPr>
          <w:p w14:paraId="769AC68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450</w:t>
            </w:r>
          </w:p>
        </w:tc>
        <w:tc>
          <w:tcPr>
            <w:tcW w:w="0" w:type="auto"/>
            <w:tcBorders>
              <w:top w:val="nil"/>
              <w:left w:val="nil"/>
              <w:bottom w:val="nil"/>
              <w:right w:val="nil"/>
            </w:tcBorders>
            <w:shd w:val="clear"/>
            <w:noWrap/>
            <w:vAlign w:val="center"/>
          </w:tcPr>
          <w:p w14:paraId="08D99114">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150</w:t>
            </w:r>
          </w:p>
        </w:tc>
        <w:tc>
          <w:tcPr>
            <w:tcW w:w="0" w:type="auto"/>
            <w:tcBorders>
              <w:top w:val="nil"/>
              <w:left w:val="nil"/>
              <w:bottom w:val="nil"/>
              <w:right w:val="nil"/>
            </w:tcBorders>
            <w:shd w:val="clear"/>
            <w:noWrap/>
            <w:vAlign w:val="center"/>
          </w:tcPr>
          <w:p w14:paraId="51E62D53">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2AC7F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64F67C3A">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真菌精细图（ONT）（3G）</w:t>
            </w:r>
          </w:p>
        </w:tc>
        <w:tc>
          <w:tcPr>
            <w:tcW w:w="0" w:type="auto"/>
            <w:tcBorders>
              <w:top w:val="nil"/>
              <w:left w:val="nil"/>
              <w:bottom w:val="nil"/>
              <w:right w:val="nil"/>
            </w:tcBorders>
            <w:shd w:val="clear"/>
            <w:noWrap/>
            <w:vAlign w:val="center"/>
          </w:tcPr>
          <w:p w14:paraId="53BD8C9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3000</w:t>
            </w:r>
          </w:p>
        </w:tc>
        <w:tc>
          <w:tcPr>
            <w:tcW w:w="0" w:type="auto"/>
            <w:tcBorders>
              <w:top w:val="nil"/>
              <w:left w:val="nil"/>
              <w:bottom w:val="nil"/>
              <w:right w:val="nil"/>
            </w:tcBorders>
            <w:shd w:val="clear"/>
            <w:noWrap/>
            <w:vAlign w:val="center"/>
          </w:tcPr>
          <w:p w14:paraId="342BE494">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2800</w:t>
            </w:r>
          </w:p>
        </w:tc>
        <w:tc>
          <w:tcPr>
            <w:tcW w:w="0" w:type="auto"/>
            <w:tcBorders>
              <w:top w:val="nil"/>
              <w:left w:val="nil"/>
              <w:bottom w:val="nil"/>
              <w:right w:val="nil"/>
            </w:tcBorders>
            <w:shd w:val="clear"/>
            <w:noWrap/>
            <w:vAlign w:val="center"/>
          </w:tcPr>
          <w:p w14:paraId="05C5B408">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2500</w:t>
            </w:r>
          </w:p>
        </w:tc>
        <w:tc>
          <w:tcPr>
            <w:tcW w:w="0" w:type="auto"/>
            <w:tcBorders>
              <w:top w:val="nil"/>
              <w:left w:val="nil"/>
              <w:bottom w:val="nil"/>
              <w:right w:val="nil"/>
            </w:tcBorders>
            <w:shd w:val="clear"/>
            <w:noWrap/>
            <w:vAlign w:val="center"/>
          </w:tcPr>
          <w:p w14:paraId="041CD11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1000</w:t>
            </w:r>
          </w:p>
        </w:tc>
        <w:tc>
          <w:tcPr>
            <w:tcW w:w="0" w:type="auto"/>
            <w:tcBorders>
              <w:top w:val="nil"/>
              <w:left w:val="nil"/>
              <w:bottom w:val="nil"/>
              <w:right w:val="nil"/>
            </w:tcBorders>
            <w:shd w:val="clear"/>
            <w:noWrap/>
            <w:vAlign w:val="center"/>
          </w:tcPr>
          <w:p w14:paraId="12A4C1C8">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3C9AF6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06AB0A1E">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真菌精细图（PB）（3G）</w:t>
            </w:r>
          </w:p>
        </w:tc>
        <w:tc>
          <w:tcPr>
            <w:tcW w:w="0" w:type="auto"/>
            <w:tcBorders>
              <w:top w:val="nil"/>
              <w:left w:val="nil"/>
              <w:bottom w:val="nil"/>
              <w:right w:val="nil"/>
            </w:tcBorders>
            <w:shd w:val="clear"/>
            <w:noWrap/>
            <w:vAlign w:val="center"/>
          </w:tcPr>
          <w:p w14:paraId="456972AB">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5000</w:t>
            </w:r>
          </w:p>
        </w:tc>
        <w:tc>
          <w:tcPr>
            <w:tcW w:w="0" w:type="auto"/>
            <w:tcBorders>
              <w:top w:val="nil"/>
              <w:left w:val="nil"/>
              <w:bottom w:val="nil"/>
              <w:right w:val="nil"/>
            </w:tcBorders>
            <w:shd w:val="clear"/>
            <w:noWrap/>
            <w:vAlign w:val="center"/>
          </w:tcPr>
          <w:p w14:paraId="44A8AF68">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4800</w:t>
            </w:r>
          </w:p>
        </w:tc>
        <w:tc>
          <w:tcPr>
            <w:tcW w:w="0" w:type="auto"/>
            <w:tcBorders>
              <w:top w:val="nil"/>
              <w:left w:val="nil"/>
              <w:bottom w:val="nil"/>
              <w:right w:val="nil"/>
            </w:tcBorders>
            <w:shd w:val="clear"/>
            <w:noWrap/>
            <w:vAlign w:val="center"/>
          </w:tcPr>
          <w:p w14:paraId="1DBFDF91">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4500</w:t>
            </w:r>
          </w:p>
        </w:tc>
        <w:tc>
          <w:tcPr>
            <w:tcW w:w="0" w:type="auto"/>
            <w:tcBorders>
              <w:top w:val="nil"/>
              <w:left w:val="nil"/>
              <w:bottom w:val="nil"/>
              <w:right w:val="nil"/>
            </w:tcBorders>
            <w:shd w:val="clear"/>
            <w:noWrap/>
            <w:vAlign w:val="center"/>
          </w:tcPr>
          <w:p w14:paraId="42E73DAD">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1500</w:t>
            </w:r>
          </w:p>
        </w:tc>
        <w:tc>
          <w:tcPr>
            <w:tcW w:w="0" w:type="auto"/>
            <w:tcBorders>
              <w:top w:val="nil"/>
              <w:left w:val="nil"/>
              <w:bottom w:val="nil"/>
              <w:right w:val="nil"/>
            </w:tcBorders>
            <w:shd w:val="clear"/>
            <w:noWrap/>
            <w:vAlign w:val="center"/>
          </w:tcPr>
          <w:p w14:paraId="4D01147C">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6D5873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center"/>
          </w:tcPr>
          <w:p w14:paraId="51FA29D9">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三代meta（ONT）（10G）</w:t>
            </w:r>
          </w:p>
        </w:tc>
        <w:tc>
          <w:tcPr>
            <w:tcW w:w="0" w:type="auto"/>
            <w:tcBorders>
              <w:top w:val="nil"/>
              <w:left w:val="nil"/>
              <w:bottom w:val="nil"/>
              <w:right w:val="nil"/>
            </w:tcBorders>
            <w:shd w:val="clear"/>
            <w:noWrap/>
            <w:vAlign w:val="center"/>
          </w:tcPr>
          <w:p w14:paraId="05584D67">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3000</w:t>
            </w:r>
          </w:p>
        </w:tc>
        <w:tc>
          <w:tcPr>
            <w:tcW w:w="0" w:type="auto"/>
            <w:tcBorders>
              <w:top w:val="nil"/>
              <w:left w:val="nil"/>
              <w:bottom w:val="nil"/>
              <w:right w:val="nil"/>
            </w:tcBorders>
            <w:shd w:val="clear"/>
            <w:noWrap/>
            <w:vAlign w:val="center"/>
          </w:tcPr>
          <w:p w14:paraId="47EA7834">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2900</w:t>
            </w:r>
          </w:p>
        </w:tc>
        <w:tc>
          <w:tcPr>
            <w:tcW w:w="0" w:type="auto"/>
            <w:tcBorders>
              <w:top w:val="nil"/>
              <w:left w:val="nil"/>
              <w:bottom w:val="nil"/>
              <w:right w:val="nil"/>
            </w:tcBorders>
            <w:shd w:val="clear"/>
            <w:noWrap/>
            <w:vAlign w:val="center"/>
          </w:tcPr>
          <w:p w14:paraId="225B1156">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2800</w:t>
            </w:r>
          </w:p>
        </w:tc>
        <w:tc>
          <w:tcPr>
            <w:tcW w:w="0" w:type="auto"/>
            <w:tcBorders>
              <w:top w:val="nil"/>
              <w:left w:val="nil"/>
              <w:bottom w:val="nil"/>
              <w:right w:val="nil"/>
            </w:tcBorders>
            <w:shd w:val="clear"/>
            <w:noWrap/>
            <w:vAlign w:val="center"/>
          </w:tcPr>
          <w:p w14:paraId="6C557512">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3FE38A5C">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523AC2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FFFF00"/>
            <w:noWrap/>
            <w:vAlign w:val="center"/>
          </w:tcPr>
          <w:p w14:paraId="09AB2CCF">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二代宏转录组 (非病毒6Gb)</w:t>
            </w:r>
          </w:p>
        </w:tc>
        <w:tc>
          <w:tcPr>
            <w:tcW w:w="0" w:type="auto"/>
            <w:tcBorders>
              <w:top w:val="nil"/>
              <w:left w:val="nil"/>
              <w:bottom w:val="nil"/>
              <w:right w:val="nil"/>
            </w:tcBorders>
            <w:shd w:val="clear"/>
            <w:noWrap/>
            <w:vAlign w:val="center"/>
          </w:tcPr>
          <w:p w14:paraId="324144E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1600</w:t>
            </w:r>
          </w:p>
        </w:tc>
        <w:tc>
          <w:tcPr>
            <w:tcW w:w="0" w:type="auto"/>
            <w:tcBorders>
              <w:top w:val="nil"/>
              <w:left w:val="nil"/>
              <w:bottom w:val="nil"/>
              <w:right w:val="nil"/>
            </w:tcBorders>
            <w:shd w:val="clear"/>
            <w:noWrap/>
            <w:vAlign w:val="center"/>
          </w:tcPr>
          <w:p w14:paraId="766DB33D">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1400</w:t>
            </w:r>
          </w:p>
        </w:tc>
        <w:tc>
          <w:tcPr>
            <w:tcW w:w="0" w:type="auto"/>
            <w:tcBorders>
              <w:top w:val="nil"/>
              <w:left w:val="nil"/>
              <w:bottom w:val="nil"/>
              <w:right w:val="nil"/>
            </w:tcBorders>
            <w:shd w:val="clear"/>
            <w:noWrap/>
            <w:vAlign w:val="center"/>
          </w:tcPr>
          <w:p w14:paraId="0B6E437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1200</w:t>
            </w:r>
          </w:p>
        </w:tc>
        <w:tc>
          <w:tcPr>
            <w:tcW w:w="0" w:type="auto"/>
            <w:tcBorders>
              <w:top w:val="nil"/>
              <w:left w:val="nil"/>
              <w:bottom w:val="nil"/>
              <w:right w:val="nil"/>
            </w:tcBorders>
            <w:shd w:val="clear"/>
            <w:noWrap/>
            <w:vAlign w:val="center"/>
          </w:tcPr>
          <w:p w14:paraId="40433AF9">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31E695AD">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68B91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FFFF00"/>
            <w:noWrap/>
            <w:vAlign w:val="center"/>
          </w:tcPr>
          <w:p w14:paraId="534B2206">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二代宏转录组 (病毒6Gb)</w:t>
            </w:r>
          </w:p>
        </w:tc>
        <w:tc>
          <w:tcPr>
            <w:tcW w:w="0" w:type="auto"/>
            <w:tcBorders>
              <w:top w:val="nil"/>
              <w:left w:val="nil"/>
              <w:bottom w:val="nil"/>
              <w:right w:val="nil"/>
            </w:tcBorders>
            <w:shd w:val="clear"/>
            <w:noWrap/>
            <w:vAlign w:val="center"/>
          </w:tcPr>
          <w:p w14:paraId="72F752D9">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1800</w:t>
            </w:r>
          </w:p>
        </w:tc>
        <w:tc>
          <w:tcPr>
            <w:tcW w:w="0" w:type="auto"/>
            <w:tcBorders>
              <w:top w:val="nil"/>
              <w:left w:val="nil"/>
              <w:bottom w:val="nil"/>
              <w:right w:val="nil"/>
            </w:tcBorders>
            <w:shd w:val="clear"/>
            <w:noWrap/>
            <w:vAlign w:val="center"/>
          </w:tcPr>
          <w:p w14:paraId="2D6654B8">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1600</w:t>
            </w:r>
          </w:p>
        </w:tc>
        <w:tc>
          <w:tcPr>
            <w:tcW w:w="0" w:type="auto"/>
            <w:tcBorders>
              <w:top w:val="nil"/>
              <w:left w:val="nil"/>
              <w:bottom w:val="nil"/>
              <w:right w:val="nil"/>
            </w:tcBorders>
            <w:shd w:val="clear"/>
            <w:noWrap/>
            <w:vAlign w:val="center"/>
          </w:tcPr>
          <w:p w14:paraId="6389717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1400</w:t>
            </w:r>
          </w:p>
        </w:tc>
        <w:tc>
          <w:tcPr>
            <w:tcW w:w="0" w:type="auto"/>
            <w:tcBorders>
              <w:top w:val="nil"/>
              <w:left w:val="nil"/>
              <w:bottom w:val="nil"/>
              <w:right w:val="nil"/>
            </w:tcBorders>
            <w:shd w:val="clear"/>
            <w:noWrap/>
            <w:vAlign w:val="center"/>
          </w:tcPr>
          <w:p w14:paraId="3494FC15">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213E51DF">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r w14:paraId="380AE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FFFF00"/>
            <w:noWrap/>
            <w:vAlign w:val="center"/>
          </w:tcPr>
          <w:p w14:paraId="121DE16F">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原核转录组（3G）</w:t>
            </w:r>
          </w:p>
        </w:tc>
        <w:tc>
          <w:tcPr>
            <w:tcW w:w="0" w:type="auto"/>
            <w:tcBorders>
              <w:top w:val="nil"/>
              <w:left w:val="nil"/>
              <w:bottom w:val="nil"/>
              <w:right w:val="nil"/>
            </w:tcBorders>
            <w:shd w:val="clear"/>
            <w:noWrap/>
            <w:vAlign w:val="center"/>
          </w:tcPr>
          <w:p w14:paraId="495AF67B">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700</w:t>
            </w:r>
          </w:p>
        </w:tc>
        <w:tc>
          <w:tcPr>
            <w:tcW w:w="0" w:type="auto"/>
            <w:tcBorders>
              <w:top w:val="nil"/>
              <w:left w:val="nil"/>
              <w:bottom w:val="nil"/>
              <w:right w:val="nil"/>
            </w:tcBorders>
            <w:shd w:val="clear"/>
            <w:noWrap/>
            <w:vAlign w:val="center"/>
          </w:tcPr>
          <w:p w14:paraId="13730BD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650</w:t>
            </w:r>
          </w:p>
        </w:tc>
        <w:tc>
          <w:tcPr>
            <w:tcW w:w="0" w:type="auto"/>
            <w:tcBorders>
              <w:top w:val="nil"/>
              <w:left w:val="nil"/>
              <w:bottom w:val="nil"/>
              <w:right w:val="nil"/>
            </w:tcBorders>
            <w:shd w:val="clear"/>
            <w:noWrap/>
            <w:vAlign w:val="center"/>
          </w:tcPr>
          <w:p w14:paraId="591CB3FF">
            <w:pPr>
              <w:keepNext w:val="0"/>
              <w:keepLines w:val="0"/>
              <w:widowControl/>
              <w:suppressLineNumbers w:val="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600</w:t>
            </w:r>
          </w:p>
        </w:tc>
        <w:tc>
          <w:tcPr>
            <w:tcW w:w="0" w:type="auto"/>
            <w:tcBorders>
              <w:top w:val="nil"/>
              <w:left w:val="nil"/>
              <w:bottom w:val="nil"/>
              <w:right w:val="nil"/>
            </w:tcBorders>
            <w:shd w:val="clear"/>
            <w:noWrap/>
            <w:vAlign w:val="center"/>
          </w:tcPr>
          <w:p w14:paraId="4A1B287F">
            <w:pPr>
              <w:rPr>
                <w:rFonts w:hint="eastAsia" w:ascii="宋体" w:hAnsi="宋体" w:eastAsia="宋体" w:cs="宋体"/>
                <w:i w:val="0"/>
                <w:iCs w:val="0"/>
                <w:color w:val="000000"/>
                <w:sz w:val="24"/>
                <w:szCs w:val="24"/>
                <w:u w:val="none"/>
              </w:rPr>
            </w:pPr>
          </w:p>
        </w:tc>
        <w:tc>
          <w:tcPr>
            <w:tcW w:w="0" w:type="auto"/>
            <w:tcBorders>
              <w:top w:val="nil"/>
              <w:left w:val="nil"/>
              <w:bottom w:val="nil"/>
              <w:right w:val="nil"/>
            </w:tcBorders>
            <w:shd w:val="clear"/>
            <w:noWrap/>
            <w:vAlign w:val="center"/>
          </w:tcPr>
          <w:p w14:paraId="3BD560CF">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bdr w:val="none" w:color="auto" w:sz="0" w:space="0"/>
                <w:lang w:val="en-US" w:eastAsia="zh-CN" w:bidi="ar"/>
              </w:rPr>
              <w:t>30d-40d</w:t>
            </w:r>
          </w:p>
        </w:tc>
      </w:tr>
    </w:tbl>
    <w:p w14:paraId="4C5CA709">
      <w:pPr>
        <w:rPr>
          <w:rFonts w:hint="default" w:eastAsiaTheme="minorEastAsia"/>
          <w:lang w:val="en-US" w:eastAsia="zh-CN"/>
        </w:rPr>
      </w:pPr>
    </w:p>
    <w:p w14:paraId="00A029E2">
      <w:pPr>
        <w:rPr>
          <w:rFonts w:hint="default" w:eastAsiaTheme="minorEastAsia"/>
          <w:lang w:val="en-US" w:eastAsia="zh-CN"/>
        </w:rPr>
      </w:pPr>
    </w:p>
    <w:p w14:paraId="3C01EF7C">
      <w:pPr>
        <w:rPr>
          <w:rFonts w:hint="default" w:eastAsiaTheme="minorEastAsia"/>
          <w:lang w:val="en-US" w:eastAsia="zh-CN"/>
        </w:rPr>
      </w:pPr>
    </w:p>
    <w:p w14:paraId="05D3AA7C">
      <w:pPr>
        <w:rPr>
          <w:rFonts w:hint="default" w:eastAsiaTheme="minorEastAsia"/>
          <w:lang w:val="en-US" w:eastAsia="zh-CN"/>
        </w:rPr>
      </w:pPr>
    </w:p>
    <w:p w14:paraId="5DA12DBE">
      <w:pPr>
        <w:pStyle w:val="4"/>
      </w:pPr>
      <w:r>
        <w:t>2.</w:t>
      </w:r>
      <w:r>
        <w:rPr>
          <w:rFonts w:hint="eastAsia"/>
          <w:lang w:val="en-US" w:eastAsia="zh-CN"/>
        </w:rPr>
        <w:t>2</w:t>
      </w:r>
      <w:r>
        <w:t xml:space="preserve"> 折扣与促销</w:t>
      </w:r>
    </w:p>
    <w:p w14:paraId="52A98709">
      <w:pPr>
        <w:rPr>
          <w:rFonts w:hint="default" w:eastAsiaTheme="minorEastAsia"/>
          <w:lang w:val="en-US" w:eastAsia="zh-CN"/>
        </w:rPr>
      </w:pPr>
      <w:r>
        <w:rPr>
          <w:rFonts w:hint="eastAsia"/>
          <w:lang w:val="en-US" w:eastAsia="zh-CN"/>
        </w:rPr>
        <w:t>量大可直接联系产品经理</w:t>
      </w:r>
    </w:p>
    <w:p w14:paraId="73F5A00E">
      <w:pPr>
        <w:pStyle w:val="3"/>
      </w:pPr>
      <w:r>
        <w:t>第三部分：文章规划3.</w:t>
      </w:r>
      <w:r>
        <w:rPr>
          <w:rFonts w:hint="eastAsia"/>
          <w:lang w:val="en-US" w:eastAsia="zh-CN"/>
        </w:rPr>
        <w:t>1</w:t>
      </w:r>
      <w:r>
        <w:t xml:space="preserve"> 文章案例分析</w:t>
      </w:r>
    </w:p>
    <w:p w14:paraId="62447BAF">
      <w:pPr>
        <w:numPr>
          <w:numId w:val="0"/>
        </w:numPr>
        <w:spacing w:before="0" w:beforeAutospacing="1" w:after="0" w:afterAutospacing="1"/>
        <w:ind w:left="360" w:leftChars="0"/>
        <w:rPr>
          <w:rFonts w:hint="default" w:eastAsiaTheme="minorEastAsia"/>
          <w:lang w:val="en-US" w:eastAsia="zh-CN"/>
        </w:rPr>
      </w:pPr>
      <w:r>
        <w:rPr>
          <w:rFonts w:hint="eastAsia"/>
          <w:lang w:val="en-US" w:eastAsia="zh-CN"/>
        </w:rPr>
        <w:t>用deepseek自己索取一下试试</w:t>
      </w:r>
    </w:p>
    <w:p w14:paraId="450C2C3E">
      <w:pPr>
        <w:pStyle w:val="3"/>
        <w:rPr>
          <w:rFonts w:hint="eastAsia"/>
          <w:b/>
          <w:lang w:val="en-US" w:eastAsia="zh-CN"/>
        </w:rPr>
      </w:pPr>
      <w:r>
        <w:rPr>
          <w:rFonts w:hint="eastAsia"/>
          <w:b/>
          <w:lang w:val="en-US" w:eastAsia="zh-CN"/>
        </w:rPr>
        <w:t>第四部分：送样建议</w:t>
      </w:r>
    </w:p>
    <w:p w14:paraId="30AEFDFB">
      <w:pPr>
        <w:rPr>
          <w:rFonts w:hint="default"/>
          <w:color w:val="FF0000"/>
          <w:lang w:val="en-US" w:eastAsia="zh-CN"/>
        </w:rPr>
      </w:pPr>
      <w:r>
        <w:rPr>
          <w:rFonts w:hint="eastAsia"/>
          <w:b/>
          <w:color w:val="FF0000"/>
          <w:lang w:val="en-US" w:eastAsia="zh-CN"/>
        </w:rPr>
        <w:t>网址获取</w:t>
      </w:r>
    </w:p>
    <w:p w14:paraId="39CDB4F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00469C"/>
          <w:spacing w:val="0"/>
          <w:sz w:val="24"/>
          <w:szCs w:val="24"/>
          <w:bdr w:val="none" w:color="auto" w:sz="0" w:space="0"/>
          <w:shd w:val="clear" w:fill="FFFFFF"/>
        </w:rPr>
        <w:t>1. 植物样本</w:t>
      </w:r>
      <w:bookmarkStart w:id="0" w:name="_GoBack"/>
      <w:bookmarkEnd w:id="0"/>
    </w:p>
    <w:p w14:paraId="714D6BE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1.1 植物组织样本说明</w:t>
      </w:r>
    </w:p>
    <w:p w14:paraId="09CA8CE0">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360" w:leftChars="0" w:right="0" w:rightChars="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(1)植物主要包括禾本科植物、十字花科植物、常见作物、林木、常见蔬菜和花卉、中药、蕨类或苔藓。</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样本的取材优先选择核酸含量相对较高的组织。幼嫩的组织最佳，如幼叶，幼芽。可送组培苗但不推荐冷冻保存的组织。建议优先采集新鲜组织样品送样，尽量避免送保存过久的组织样本和反复冻融的组织样本。</w:t>
      </w:r>
    </w:p>
    <w:p w14:paraId="5945A11C">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1.2 样本制备运输注意事项</w:t>
      </w:r>
    </w:p>
    <w:p w14:paraId="0AB849E0">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360" w:leftChars="0" w:right="0" w:rightChars="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(1)建议在采集样本之前，将样本置于黑暗环境24 ~ 48 h后再取材。如果需要立即取材，请尽快采集好样本后，迅速置于低温保存或运输，减少植物中化合物的氧化对核酸的影响。</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(2)对于有特殊组织部位要求的样品，客户在送样之前需做好样品分离处理，尽量避免寄送活体植物。</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建议采用带有螺口的冻存管送样，管壁上标明样品名称；自封袋可以留剪刀口后折叠封存；一般不建议离心管送样，不得已用离心管时，离心管口需用封口膜封死。(4)组织样品大小在满足提取总量所需基本要求外，尽量使样品易于取出，具体体现为锡纸折叠整齐有条理，不要团成团；自封袋分类合理有效，不要多余分装；冻存管中样品不宜塞满，如果为多次提取提供样品，建议分装。</w:t>
      </w:r>
    </w:p>
    <w:p w14:paraId="78388C2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spacing w:val="10"/>
          <w:sz w:val="14"/>
          <w:szCs w:val="14"/>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1.3 样本制备方法</w:t>
      </w:r>
    </w:p>
    <w:p w14:paraId="3253BD5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1.3.1 新鲜组织样：</w:t>
      </w:r>
    </w:p>
    <w:p w14:paraId="35BCDB21">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right="0" w:rightChars="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(1)组织取样前准备好足够的冰袋，写好样品名称编号的合适大小的自封袋和锡纸。</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取样时尽量保留叶柄，使用无菌水或75%乙醇擦拭或冲洗干净，用潮湿的吸水性较好的纸或纱布包裹，不要让材料干枯，但不能太湿，以免泡坏样品。材料珍贵的样品，请一片片叶片分开包裹，不要重叠，以防叶片烂毁浪费。</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(3)新鲜材料的运输，从-20℃取出的冰袋不要直接接触样品，以免造成保湿用纸结冰，导致样品局部冻伤。</w:t>
      </w:r>
    </w:p>
    <w:p w14:paraId="5F96A2A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1.3.2 冻存组织样：</w:t>
      </w:r>
    </w:p>
    <w:p w14:paraId="625E5F70">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(1)组织取样前准备好足够的液氮，写好样品名称编号的合适大小的自封袋、锡纸或者冻存管。</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(2)迅速取下合适大小的新鲜的植物组织部位，使用无菌水或75%乙醇擦拭或冲洗干净，再用吸水纸吸干样品表面后,迅速浸没于液氮中。</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(3)将组织样品从液氮取出放入准备好的自封袋、锡纸或者是预冷的冻存管中。再次将样品进行液氮冷冻后放入足量干冰箱寄送或置于-80°C保存。</w:t>
      </w:r>
    </w:p>
    <w:p w14:paraId="0D8B768E">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17C0C7D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1.4 植物组织送样量建议</w:t>
      </w:r>
    </w:p>
    <w:p w14:paraId="72660171">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由于不建议客户取样后常温称重,所以重量可参照该对照关系：0.5 g对应植物为9cm</w:t>
      </w:r>
      <w:r>
        <w:rPr>
          <w:rFonts w:hint="eastAsia" w:ascii="微软雅黑" w:hAnsi="微软雅黑" w:eastAsia="微软雅黑" w:cs="微软雅黑"/>
          <w:i w:val="0"/>
          <w:iCs w:val="0"/>
          <w:caps w:val="0"/>
          <w:color w:val="595757"/>
          <w:spacing w:val="10"/>
          <w:sz w:val="14"/>
          <w:szCs w:val="14"/>
          <w:bdr w:val="none" w:color="auto" w:sz="0" w:space="0"/>
          <w:shd w:val="clear" w:fill="FFFFFF"/>
          <w:vertAlign w:val="baseline"/>
        </w:rPr>
        <w:t>2</w:t>
      </w:r>
      <w:r>
        <w:rPr>
          <w:rFonts w:hint="eastAsia" w:ascii="微软雅黑" w:hAnsi="微软雅黑" w:eastAsia="微软雅黑" w:cs="微软雅黑"/>
          <w:i w:val="0"/>
          <w:iCs w:val="0"/>
          <w:caps w:val="0"/>
          <w:color w:val="595757"/>
          <w:spacing w:val="10"/>
          <w:sz w:val="14"/>
          <w:szCs w:val="14"/>
          <w:bdr w:val="none" w:color="auto" w:sz="0" w:space="0"/>
          <w:shd w:val="clear" w:fill="FFFFFF"/>
        </w:rPr>
        <w:t>叶片，略大于一元硬币大小。</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具体送样量建议 WGS 文库至少 0.2 g，GBS文库至少 0.5 g，RAD文库 至少1 g，总体建议送样 2 g 以上。</w:t>
      </w:r>
    </w:p>
    <w:p w14:paraId="5D32B68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2. 动物样本</w:t>
      </w:r>
    </w:p>
    <w:p w14:paraId="3AA70335">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0843AD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2.1 动物样本说明</w:t>
      </w:r>
    </w:p>
    <w:p w14:paraId="20B16295">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08865EFE">
      <w:pPr>
        <w:keepNext w:val="0"/>
        <w:keepLines w:val="0"/>
        <w:widowControl/>
        <w:numPr>
          <w:ilvl w:val="1"/>
          <w:numId w:val="5"/>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(1)动物主要包括脊椎动物、节肢动物和水产类，涵盖常规的哺乳动物、鸟类、爬行动物以及两栖动物，昆虫和虾蟹类动物等。</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送样需要选择新鲜采集的样本，建议优先采集核酸含量相对较高的组织，尽量避免送保存过久的组织样本和反复冻融的组织样本，特别是动物肝脏，脾脏，肾脏，心脏，脂肪，脑，肿瘤等有较高DNA酶活性的组织。</w:t>
      </w:r>
    </w:p>
    <w:p w14:paraId="3DFBED60">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2A1878A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2.2 样本制备运输注意事项</w:t>
      </w:r>
    </w:p>
    <w:p w14:paraId="1AFEEABF">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(1)对于有特殊组织部位要求的样品，客户在送样之前需做好样品分离、解剖等处理，严禁寄送活体动物。</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(2)样品分割和处理时应在冰上进行，防止样品降解。</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组织样品大小在满足提取总量所需基本要求外，尽量使样品易于取出，具体体现为锡纸折叠整齐有条理，不要团成团；自封袋分类合理有效，不要多余分装；冻存管中样品不宜塞满，达到容量的80%即可。如果为多次提取提供样品，建议根据提取次数分装。</w:t>
      </w:r>
      <w:r>
        <w:rPr>
          <w:rFonts w:hint="eastAsia" w:ascii="微软雅黑" w:hAnsi="微软雅黑" w:eastAsia="微软雅黑" w:cs="微软雅黑"/>
          <w:i w:val="0"/>
          <w:iCs w:val="0"/>
          <w:caps w:val="0"/>
          <w:color w:val="595757"/>
          <w:spacing w:val="10"/>
          <w:sz w:val="14"/>
          <w:szCs w:val="14"/>
          <w:bdr w:val="none" w:color="auto" w:sz="0" w:space="0"/>
          <w:shd w:val="clear" w:fill="FFFFFF"/>
        </w:rPr>
        <w:drawing>
          <wp:inline distT="0" distB="0" distL="114300" distR="114300">
            <wp:extent cx="5273675" cy="3955415"/>
            <wp:effectExtent l="0" t="0" r="9525" b="698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5273675" cy="3955415"/>
                    </a:xfrm>
                    <a:prstGeom prst="rect">
                      <a:avLst/>
                    </a:prstGeom>
                    <a:noFill/>
                    <a:ln w="9525">
                      <a:noFill/>
                    </a:ln>
                  </pic:spPr>
                </pic:pic>
              </a:graphicData>
            </a:graphic>
          </wp:inline>
        </w:drawing>
      </w:r>
    </w:p>
    <w:p w14:paraId="4B2B17D2">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1EC946A3">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2.3 样本制备方法</w:t>
      </w:r>
    </w:p>
    <w:p w14:paraId="3D74196C">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(1)组织取样前准备好足够的液氮、冰袋等，写好样品名称编号的合适大小的自封袋、锡纸或者冻存管，管盖须钻孔（防止管内液氮体积膨胀爆炸），并在冻存管内加满液氮。</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(2)迅速取下适量的新鲜的动物组织，用预冷的生理盐水进行漂洗，以去除血渍和污物，并剔除结缔组织和毛发等非研究组织，将样品分割成50 mg左右的小块（约黄豆大小），立即浸入装有液氮的冻存管中彻底冷冻，再将样品放入足量干冰箱寄送或置于-80℃保存。</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(3)无法使用冻存管采集保存的样品，离体后仍需将样品立即浸入液氮彻底冷冻，再选用合适的容器包装，包装后需再浸入液氮中彻底冷冻一次，最后将样品放入足量干冰箱寄送或置于-80°C保存。</w:t>
      </w:r>
    </w:p>
    <w:p w14:paraId="741E8F63">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2161A81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2.4 特殊样本注意事项</w:t>
      </w:r>
    </w:p>
    <w:p w14:paraId="68576EE1">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0E77DF06">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2.4.1 昆虫样本</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昆虫污染较为严重，需额外进行以下处理：</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(1)饥饿处理：根据物种饥饿耐受情况，饥饿6 ~ 48 h。</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(2)喂食抗生素：昆虫尽量使用广谱抗生素或者近缘物种报道过的无菌品系构建所使用的抗生素种类、浓度，处理天数2 ~ 5 d，可视物种情况而定。</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(3)去除肠道或整个腹部，保留胸部、头部提取。</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(4)表面消毒：75%乙醇浸泡1 ~ 2 min，无菌水漂洗1 ~ 2次，滤纸吸干后速冻。</w:t>
      </w:r>
    </w:p>
    <w:p w14:paraId="6324E04D">
      <w:pPr>
        <w:keepNext w:val="0"/>
        <w:keepLines w:val="0"/>
        <w:widowControl/>
        <w:numPr>
          <w:ilvl w:val="1"/>
          <w:numId w:val="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2.4.2 甲壳动物、软体动物和刺胞动物样本</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(1)甲壳动物（虾类和蟹类等）&amp;软体动物（海绵和海参等）&amp;刺胞动物（珊瑚等）送样前需额外使用75%的乙醇进行漂洗。</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(2)针对刺胞动物，可去除头部和肠道等部位，保留肌肉外壁用于提取。</w:t>
      </w:r>
    </w:p>
    <w:p w14:paraId="57BF35BE">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4E7545A">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2.5 动物样本送样量</w:t>
      </w:r>
    </w:p>
    <w:p w14:paraId="0F1E16D6">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动物组织 WGS 文库样品量应大于 0.1g；RAD-seq文库送样量大于0.5 g；GBS-seq文库送样量大于0.5 g。</w:t>
      </w:r>
    </w:p>
    <w:p w14:paraId="1887F83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3 血液样本</w:t>
      </w:r>
    </w:p>
    <w:p w14:paraId="1B2579FA">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288C930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3.1 血液样本说明</w:t>
      </w:r>
    </w:p>
    <w:p w14:paraId="4BAFAB09">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新鲜血样或是冻存血样均需要使用EDTA抗凝管进行采集并与抗凝剂充分混合，血液样本不建议保存时间过长，新鲜血液不超过24 h，冻存血液不超过1年。</w:t>
      </w:r>
    </w:p>
    <w:p w14:paraId="398DC853">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7A64E73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3.2 血液样本要求</w:t>
      </w:r>
    </w:p>
    <w:p w14:paraId="0C110E42">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tbl>
      <w:tblPr>
        <w:tblW w:w="7700" w:type="dxa"/>
        <w:tblInd w:w="0" w:type="dxa"/>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Layout w:type="autofit"/>
        <w:tblCellMar>
          <w:top w:w="0" w:type="dxa"/>
          <w:left w:w="0" w:type="dxa"/>
          <w:bottom w:w="0" w:type="dxa"/>
          <w:right w:w="0" w:type="dxa"/>
        </w:tblCellMar>
      </w:tblPr>
      <w:tblGrid>
        <w:gridCol w:w="3544"/>
        <w:gridCol w:w="1385"/>
        <w:gridCol w:w="1385"/>
        <w:gridCol w:w="1386"/>
      </w:tblGrid>
      <w:tr w14:paraId="5CD25DEB">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00D914E0">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样本类型</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064C40DE">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WGS</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311F6B3E">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RAD-seq</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2818105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GBS-seq</w:t>
            </w:r>
          </w:p>
        </w:tc>
      </w:tr>
      <w:tr w14:paraId="49232C19">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CD40405">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动物血液（哺乳类）</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AEDDAC8">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1 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8FB637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1 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7B8A9A7">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1 mL</w:t>
            </w:r>
          </w:p>
        </w:tc>
      </w:tr>
      <w:tr w14:paraId="01607565">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7B751E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动物血液（红细胞有核类）</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A6C6388">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0.5 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1A8857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0.5 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56198DA">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 0.5 mL</w:t>
            </w:r>
          </w:p>
        </w:tc>
      </w:tr>
    </w:tbl>
    <w:p w14:paraId="5454EE97">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(1)要求为全血样本，并加入抗凝剂，推荐使用EDTA抗凝的采血管收集样品（由于会影响实验，不能使用肝素抗凝），冷冻后，干冰运输。</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血液样本一定要避免反复冻融，如果血液放置时间过长，或经历过反复冻融，请务必提前沟通，以尽量保证血液样本核酸提取质量。因放置过久或经历过反复冻融的样本经常会发生细胞核破裂，核酸游离于血浆中。加入抗凝剂后的新鲜血液一般可以在4℃放置12 ~ 24 h，但经过速冻后的样本一定要低温保存。</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(3)血液样品应使用塑料材质的采血管送样，不宜装满、达到80%容量即可。应避免使用玻璃材质采血管送样或装液太满，以至冻裂。</w:t>
      </w:r>
      <w:r>
        <w:rPr>
          <w:rFonts w:hint="eastAsia" w:ascii="微软雅黑" w:hAnsi="微软雅黑" w:eastAsia="微软雅黑" w:cs="微软雅黑"/>
          <w:i w:val="0"/>
          <w:iCs w:val="0"/>
          <w:caps w:val="0"/>
          <w:color w:val="595757"/>
          <w:spacing w:val="10"/>
          <w:sz w:val="14"/>
          <w:szCs w:val="14"/>
          <w:bdr w:val="none" w:color="auto" w:sz="0" w:space="0"/>
          <w:shd w:val="clear" w:fill="FFFFFF"/>
        </w:rPr>
        <w:drawing>
          <wp:inline distT="0" distB="0" distL="114300" distR="114300">
            <wp:extent cx="4733925" cy="4667250"/>
            <wp:effectExtent l="0" t="0" r="3175" b="635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5"/>
                    <a:stretch>
                      <a:fillRect/>
                    </a:stretch>
                  </pic:blipFill>
                  <pic:spPr>
                    <a:xfrm>
                      <a:off x="0" y="0"/>
                      <a:ext cx="4733925" cy="46672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595757"/>
          <w:spacing w:val="10"/>
          <w:sz w:val="14"/>
          <w:szCs w:val="14"/>
          <w:bdr w:val="none" w:color="auto" w:sz="0" w:space="0"/>
          <w:shd w:val="clear" w:fill="FFFFFF"/>
        </w:rPr>
        <w:t>(4)干冰寄送：寄送样本时需要足够的干冰，以保证全程低温运输。</w:t>
      </w:r>
    </w:p>
    <w:p w14:paraId="6738C82C">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672CFDA7">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3.3 样本保存要求</w:t>
      </w:r>
    </w:p>
    <w:p w14:paraId="60E75626">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696F8D9A">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p>
    <w:p w14:paraId="4714546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3.3.1 动物或人新鲜血液样本</w:t>
      </w:r>
    </w:p>
    <w:p w14:paraId="1E899008">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当新鲜血液采集后运输并可在5 d内运达时，请参照如下指导：</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(1)用EDTA管采集血液。采集后的血液可放置到采血管混匀仪室温混匀15 min，或手动轻柔缓慢颠倒混匀15次，确保无凝血现象。</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(2)采血用封口膜封口后保存在4℃，使用4℃冰袋运输（请勿使用-20 ℃冰袋）。</w:t>
      </w:r>
    </w:p>
    <w:p w14:paraId="6F0C9E2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3.3.2 鱼血（或水生动物血液）样本</w:t>
      </w:r>
    </w:p>
    <w:p w14:paraId="1BF81604">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新鲜采取的血液，要加抗凝剂，抗凝剂可以根据客户自己平常的研究来确定。采样后，请妥善-80℃保存好，运输到实验室前不能有过冻融。取好的样品一周内送到实验室，超过一周请重新准备样本。</w:t>
      </w:r>
    </w:p>
    <w:p w14:paraId="05FB686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3.3.3 冷冻血液采集及预处理指南</w:t>
      </w:r>
    </w:p>
    <w:p w14:paraId="03BF59F4">
      <w:pPr>
        <w:keepNext w:val="0"/>
        <w:keepLines w:val="0"/>
        <w:widowControl/>
        <w:numPr>
          <w:ilvl w:val="1"/>
          <w:numId w:val="8"/>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推荐将采集后充分抗凝的血液进行分装，以便进行后续储存和运输。分装650 µL ~ 1 mL全血（针对不含有带核红细胞的血液）。一次提取仅需要一管分装血液，推荐额外送样一管作为备份。将血液抽取到EDTA管中，采集后的血液，可放置到采血管混匀仪室温混匀15 min。或手动缓慢混匀15次，保证与抗凝剂的充分混匀，确保无凝血现象。</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将血液进行分装，每个冻存管分装650 µL ~ 1 mL血液。将每份血液迅速放到-80℃冰箱冷冻。如条件不具备的话，最晚在采血后4 d内完成冷冻。</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注：如果血液已经冷冻，切勿为了分装而解冻。可将整管血液送样，如有需要可安排返样。冷冻全血样本需要保证从冷冻之日起，恒定保存在-80℃，没有经历过样本化冻。</w:t>
      </w:r>
    </w:p>
    <w:p w14:paraId="22CC0D48">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195C3B0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3.4 样本运输要求</w:t>
      </w:r>
    </w:p>
    <w:p w14:paraId="4D7ADD07">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CE3675F">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p>
    <w:p w14:paraId="78530C6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3.4.1 新鲜血液打包运输指南：</w:t>
      </w:r>
    </w:p>
    <w:p w14:paraId="4B18A5C9">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(1)将采血管放入密封袋中，塑料袋内放置吸水纸（吸附意外的泄露）。切勿用纸巾包裹采血管。</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(2)使用泡泡纸松松地包裹密封袋。不要用胶带直接包裹或钉密封袋。</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(3)将打包好的采血管放入体积足够的聚苯乙烯泡沫箱中，放入足够的冰袋（4℃），保证运输过程低温。如有需要，加入缓冲材料。使用最快速的运输服务进行运输。</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注：新鲜血液必须在采血5 d内运达。如果不能够在5 d内运达，则需冷冻新鲜血液（参考如下冷冻血液运输指南），EDTA抗凝，5 ~ 10 mL。</w:t>
      </w:r>
    </w:p>
    <w:p w14:paraId="0A61FB8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3.4.2 冷冻血液打包运输指南</w:t>
      </w:r>
    </w:p>
    <w:p w14:paraId="549E5A3B">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(1)分装后的冷冻管口需用封口膜包裹，将所有样品管放到密封袋中。</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(2)用泡泡纸松松地包裹密封袋，不要用胶带直接包裹或钉密封袋。</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(3)使用可放下合适体积的干冰和样品的聚苯乙烯泡沫箱，确保运输过程干冰量足够。使用最快速的运输服务进行运输。</w:t>
      </w:r>
    </w:p>
    <w:p w14:paraId="376B004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4. 细胞样本</w:t>
      </w:r>
    </w:p>
    <w:p w14:paraId="095E7218">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7A9FF38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4.1 细胞样本要求</w:t>
      </w:r>
    </w:p>
    <w:p w14:paraId="6EB65074">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a. 细胞送样量&gt;5*10</w:t>
      </w:r>
      <w:r>
        <w:rPr>
          <w:rFonts w:hint="eastAsia" w:ascii="微软雅黑" w:hAnsi="微软雅黑" w:eastAsia="微软雅黑" w:cs="微软雅黑"/>
          <w:i w:val="0"/>
          <w:iCs w:val="0"/>
          <w:caps w:val="0"/>
          <w:color w:val="595757"/>
          <w:spacing w:val="10"/>
          <w:sz w:val="14"/>
          <w:szCs w:val="14"/>
          <w:bdr w:val="none" w:color="auto" w:sz="0" w:space="0"/>
          <w:shd w:val="clear" w:fill="FFFFFF"/>
          <w:vertAlign w:val="baseline"/>
        </w:rPr>
        <w:t>6</w:t>
      </w:r>
      <w:r>
        <w:rPr>
          <w:rFonts w:hint="eastAsia" w:ascii="微软雅黑" w:hAnsi="微软雅黑" w:eastAsia="微软雅黑" w:cs="微软雅黑"/>
          <w:i w:val="0"/>
          <w:iCs w:val="0"/>
          <w:caps w:val="0"/>
          <w:color w:val="595757"/>
          <w:spacing w:val="10"/>
          <w:sz w:val="14"/>
          <w:szCs w:val="14"/>
          <w:bdr w:val="none" w:color="auto" w:sz="0" w:space="0"/>
          <w:shd w:val="clear" w:fill="FFFFFF"/>
        </w:rPr>
        <w:t> ，优先选择生长对数期细胞，若细胞贴壁培养，需要去除培养基，使用胰酶消化；</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b. PBS悬浮消化后的细胞，转入冻存管，离心去除上清；</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c. 立刻液氮速冻15min，-80保存，干冰保存运输；</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d. 不建议寄送冻存未复苏的细胞</w:t>
      </w:r>
    </w:p>
    <w:p w14:paraId="0E9CD28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5 DNA样本</w:t>
      </w:r>
    </w:p>
    <w:p w14:paraId="1BEC39D1">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A308E6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5.1 核酸样本说明</w:t>
      </w:r>
    </w:p>
    <w:p w14:paraId="6D8BD979">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36D486BB">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p>
    <w:p w14:paraId="1E5043A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5.1.1 核酸样本检测方法</w:t>
      </w:r>
    </w:p>
    <w:p w14:paraId="109D3B4F">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(客户在核酸样本寄送前，需提供样本基本质控结果，常见样本质控包括Qubit®、NanoDropTM、AGE（琼脂糖凝胶电泳）或者Agilent 2100中一种或多种形式的样品分析结果。</w:t>
      </w:r>
    </w:p>
    <w:p w14:paraId="4D1DDE65">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5.1.2 核酸样本检测项目及说明</w:t>
      </w:r>
    </w:p>
    <w:p w14:paraId="48394DFA">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v：体积（Volume），样品（溶液）体积。</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m：总量（Total Mass），DNA/RNA总量。</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c：浓度（Concentration），DNA/RNA浓度。</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OD260/280：OD260/280比值，DNA检测中260与280吸光度值比，反映DNA纯度。</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OD260/230：OD260/230比值，DNA检测中260与230吸光度值比，反映DNA纯度。</w:t>
      </w:r>
    </w:p>
    <w:p w14:paraId="6C2E76D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5.1.3 样品分类</w:t>
      </w:r>
    </w:p>
    <w:p w14:paraId="61B4795D">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Pass：合格，质量满足二代建库要求。</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Fail：样品质量不满足建库测序要求，不建议使用。</w:t>
      </w:r>
    </w:p>
    <w:p w14:paraId="25BAB2BB">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5.1.4 风险与建议</w:t>
      </w:r>
    </w:p>
    <w:p w14:paraId="524BAD62">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总量不足或浓度过低存在以下风险：1、文库构建可能失败；2、文库产量低不能上机测序或测序数据不足；3、影响文库随机性、数据覆盖度偏低。因此对于核酸总量不足、过低或降解的样本，若仍需要建库，则请自行承担责任与风险。</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降解样品：影响文库随机性，可造成duplication偏高等。</w:t>
      </w:r>
    </w:p>
    <w:p w14:paraId="73654BA4">
      <w:pPr>
        <w:keepNext w:val="0"/>
        <w:keepLines w:val="0"/>
        <w:widowControl/>
        <w:numPr>
          <w:ilvl w:val="2"/>
          <w:numId w:val="13"/>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drawing>
          <wp:inline distT="0" distB="0" distL="114300" distR="114300">
            <wp:extent cx="1704975" cy="1838325"/>
            <wp:effectExtent l="0" t="0" r="9525" b="317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6"/>
                    <a:stretch>
                      <a:fillRect/>
                    </a:stretch>
                  </pic:blipFill>
                  <pic:spPr>
                    <a:xfrm>
                      <a:off x="0" y="0"/>
                      <a:ext cx="1704975" cy="1838325"/>
                    </a:xfrm>
                    <a:prstGeom prst="rect">
                      <a:avLst/>
                    </a:prstGeom>
                    <a:noFill/>
                    <a:ln w="9525">
                      <a:noFill/>
                    </a:ln>
                  </pic:spPr>
                </pic:pic>
              </a:graphicData>
            </a:graphic>
          </wp:inline>
        </w:drawing>
      </w:r>
    </w:p>
    <w:p w14:paraId="2F30CA51">
      <w:pPr>
        <w:keepNext w:val="0"/>
        <w:keepLines w:val="0"/>
        <w:widowControl/>
        <w:numPr>
          <w:ilvl w:val="2"/>
          <w:numId w:val="13"/>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drawing>
          <wp:inline distT="0" distB="0" distL="114300" distR="114300">
            <wp:extent cx="304800" cy="304800"/>
            <wp:effectExtent l="0" t="0" r="0" b="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14:paraId="4EE9777E">
      <w:pPr>
        <w:keepNext w:val="0"/>
        <w:keepLines w:val="0"/>
        <w:widowControl/>
        <w:numPr>
          <w:ilvl w:val="2"/>
          <w:numId w:val="13"/>
        </w:numPr>
        <w:suppressLineNumbers w:val="0"/>
        <w:pBdr>
          <w:top w:val="none" w:color="auto" w:sz="0" w:space="0"/>
          <w:left w:val="none" w:color="auto" w:sz="0" w:space="0"/>
          <w:bottom w:val="none" w:color="auto" w:sz="0" w:space="0"/>
          <w:right w:val="none" w:color="auto" w:sz="0" w:space="0"/>
        </w:pBdr>
        <w:tabs>
          <w:tab w:val="left" w:pos="2160"/>
        </w:tabs>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drawing>
          <wp:inline distT="0" distB="0" distL="114300" distR="114300">
            <wp:extent cx="2009775" cy="1800225"/>
            <wp:effectExtent l="0" t="0" r="9525" b="3175"/>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8"/>
                    <a:stretch>
                      <a:fillRect/>
                    </a:stretch>
                  </pic:blipFill>
                  <pic:spPr>
                    <a:xfrm>
                      <a:off x="0" y="0"/>
                      <a:ext cx="2009775" cy="1800225"/>
                    </a:xfrm>
                    <a:prstGeom prst="rect">
                      <a:avLst/>
                    </a:prstGeom>
                    <a:noFill/>
                    <a:ln w="9525">
                      <a:noFill/>
                    </a:ln>
                  </pic:spPr>
                </pic:pic>
              </a:graphicData>
            </a:graphic>
          </wp:inline>
        </w:drawing>
      </w:r>
    </w:p>
    <w:p w14:paraId="35CAB830">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1615E8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5.2 核酸送样浓度建议：</w:t>
      </w:r>
    </w:p>
    <w:p w14:paraId="74A0034C">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(1)WGS 文库送样总量应至少大于 400ng，浓度大于 24ng/μL</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(2)GBS文库送样总量大于300ng，浓度大于10ng/μL</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因部分客户核酸含有杂质、颜色等物质导致会产生大量损失，为保证您的样本一次检测合格并节约宝贵的重送样时间，送样建议量是高于公司判定标准的，请您在核酸量足够的前提下尽量按照送样建议来送样，感谢您的大力支持与配合。</w:t>
      </w:r>
    </w:p>
    <w:p w14:paraId="28B888DF">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5FD42F4">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5.3 核酸质量建议：</w:t>
      </w:r>
    </w:p>
    <w:p w14:paraId="6A226634">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提取的DNA需要无核酶和RNA的污染，DNA浓度测量建议用Qubit测定，最低浓度不低于40 ng/µL；DNA的主带需要大于40 Kb，越大越好；DNA纯度经过Nanodrop检测，A260/280需在1.8 ~ 2.0之间，A260/230在1.9 ~ 2.4之间，NC:QC（样品 NanoDrop 所测浓度与 Qubit 所测浓度比值）在0.95 ~ 3.0之间。</w:t>
      </w:r>
    </w:p>
    <w:p w14:paraId="61B2AC1D">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0EB158A8">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5.4 样品运输：</w:t>
      </w:r>
    </w:p>
    <w:p w14:paraId="7B720E43">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DNA可溶解在TE buffer或ddH</w:t>
      </w:r>
      <w:r>
        <w:rPr>
          <w:rFonts w:hint="eastAsia" w:ascii="微软雅黑" w:hAnsi="微软雅黑" w:eastAsia="微软雅黑" w:cs="微软雅黑"/>
          <w:i w:val="0"/>
          <w:iCs w:val="0"/>
          <w:caps w:val="0"/>
          <w:color w:val="595757"/>
          <w:spacing w:val="10"/>
          <w:sz w:val="14"/>
          <w:szCs w:val="14"/>
          <w:bdr w:val="none" w:color="auto" w:sz="0" w:space="0"/>
          <w:shd w:val="clear" w:fill="FFFFFF"/>
          <w:vertAlign w:val="baseline"/>
        </w:rPr>
        <w:t>2</w:t>
      </w:r>
      <w:r>
        <w:rPr>
          <w:rFonts w:hint="eastAsia" w:ascii="微软雅黑" w:hAnsi="微软雅黑" w:eastAsia="微软雅黑" w:cs="微软雅黑"/>
          <w:i w:val="0"/>
          <w:iCs w:val="0"/>
          <w:caps w:val="0"/>
          <w:color w:val="595757"/>
          <w:spacing w:val="10"/>
          <w:sz w:val="14"/>
          <w:szCs w:val="14"/>
          <w:bdr w:val="none" w:color="auto" w:sz="0" w:space="0"/>
          <w:shd w:val="clear" w:fill="FFFFFF"/>
        </w:rPr>
        <w:t>O中，样品送样前需保持在4℃，碎冰邮寄，或根据具体情况用干冰邮寄，切忌反复冻融；</w:t>
      </w:r>
    </w:p>
    <w:p w14:paraId="72C1AF3B">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65F0A199">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5.5 样本检测：</w:t>
      </w:r>
    </w:p>
    <w:p w14:paraId="609434F2">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对于收到的DNA样品，诺禾致源将用1 µL的DNA去检测浓度（Nanodrop和Qubit分别检测），用200 ng的DNA去上样，用脉冲电泳检测条带大小，如样品不符合建库要求会尽快将结果反馈给客户。</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b/>
          <w:bCs/>
          <w:i w:val="0"/>
          <w:iCs w:val="0"/>
          <w:caps w:val="0"/>
          <w:color w:val="595757"/>
          <w:spacing w:val="10"/>
          <w:sz w:val="14"/>
          <w:szCs w:val="14"/>
          <w:bdr w:val="none" w:color="auto" w:sz="0" w:space="0"/>
          <w:shd w:val="clear" w:fill="FFFFFF"/>
        </w:rPr>
        <w:t>注：含乙醇的DNA样本需提前告知。</w:t>
      </w:r>
    </w:p>
    <w:p w14:paraId="04ED4244">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7B00D0B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5.6 DNA样本文库构建风险：</w:t>
      </w:r>
    </w:p>
    <w:p w14:paraId="422AB18A">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(1)总量不足可能导致：</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  a. 文库构建失败；</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  b. 文库产量低不能上机测序或测序数据量不足；</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  c. 影响文库随机性；</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  d. 导致数据产量和覆盖度偏低；</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(2)样品降解（尤其基因组样品）：影响覆盖均一性和随机性；可造成duplication偏高等。</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(3)含有杂质样本：可能造成文库构建失败，建议纯化后送样。</w:t>
      </w:r>
    </w:p>
    <w:p w14:paraId="412774B0">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6. PCR产物</w:t>
      </w:r>
    </w:p>
    <w:p w14:paraId="4AD3C52C">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6C1DEE6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6.1 组织样本</w:t>
      </w:r>
    </w:p>
    <w:p w14:paraId="11B8DEE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tbl>
      <w:tblPr>
        <w:tblW w:w="7700" w:type="dxa"/>
        <w:tblInd w:w="0" w:type="dxa"/>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Layout w:type="autofit"/>
        <w:tblCellMar>
          <w:top w:w="0" w:type="dxa"/>
          <w:left w:w="0" w:type="dxa"/>
          <w:bottom w:w="0" w:type="dxa"/>
          <w:right w:w="0" w:type="dxa"/>
        </w:tblCellMar>
      </w:tblPr>
      <w:tblGrid>
        <w:gridCol w:w="2915"/>
        <w:gridCol w:w="2282"/>
        <w:gridCol w:w="2503"/>
      </w:tblGrid>
      <w:tr w14:paraId="3BCD4021">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0FCD8C4D">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样本类型</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12977D1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PCR-free文库</w:t>
            </w:r>
            <w:r>
              <w:rPr>
                <w:rFonts w:hint="eastAsia" w:ascii="微软雅黑" w:hAnsi="微软雅黑" w:eastAsia="微软雅黑" w:cs="微软雅黑"/>
                <w:b/>
                <w:bCs/>
                <w:i w:val="0"/>
                <w:iCs w:val="0"/>
                <w:spacing w:val="10"/>
                <w:kern w:val="0"/>
                <w:sz w:val="14"/>
                <w:szCs w:val="14"/>
                <w:bdr w:val="none" w:color="auto" w:sz="0" w:space="0"/>
                <w:lang w:val="en-US" w:eastAsia="zh-CN" w:bidi="ar"/>
              </w:rPr>
              <w:br w:type="textWrapping"/>
            </w:r>
            <w:r>
              <w:rPr>
                <w:rFonts w:hint="eastAsia" w:ascii="微软雅黑" w:hAnsi="微软雅黑" w:eastAsia="微软雅黑" w:cs="微软雅黑"/>
                <w:b/>
                <w:bCs/>
                <w:i w:val="0"/>
                <w:iCs w:val="0"/>
                <w:spacing w:val="10"/>
                <w:kern w:val="0"/>
                <w:sz w:val="14"/>
                <w:szCs w:val="14"/>
                <w:bdr w:val="none" w:color="auto" w:sz="0" w:space="0"/>
                <w:lang w:val="en-US" w:eastAsia="zh-CN" w:bidi="ar"/>
              </w:rPr>
              <w:t>350bp   (基因组)</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4F9895C9">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PCR-free文库</w:t>
            </w:r>
            <w:r>
              <w:rPr>
                <w:rFonts w:hint="eastAsia" w:ascii="微软雅黑" w:hAnsi="微软雅黑" w:eastAsia="微软雅黑" w:cs="微软雅黑"/>
                <w:b/>
                <w:bCs/>
                <w:i w:val="0"/>
                <w:iCs w:val="0"/>
                <w:spacing w:val="10"/>
                <w:kern w:val="0"/>
                <w:sz w:val="14"/>
                <w:szCs w:val="14"/>
                <w:bdr w:val="none" w:color="auto" w:sz="0" w:space="0"/>
                <w:lang w:val="en-US" w:eastAsia="zh-CN" w:bidi="ar"/>
              </w:rPr>
              <w:br w:type="textWrapping"/>
            </w:r>
            <w:r>
              <w:rPr>
                <w:rFonts w:hint="eastAsia" w:ascii="微软雅黑" w:hAnsi="微软雅黑" w:eastAsia="微软雅黑" w:cs="微软雅黑"/>
                <w:b/>
                <w:bCs/>
                <w:i w:val="0"/>
                <w:iCs w:val="0"/>
                <w:spacing w:val="10"/>
                <w:kern w:val="0"/>
                <w:sz w:val="14"/>
                <w:szCs w:val="14"/>
                <w:bdr w:val="none" w:color="auto" w:sz="0" w:space="0"/>
                <w:lang w:val="en-US" w:eastAsia="zh-CN" w:bidi="ar"/>
              </w:rPr>
              <w:t>非350bp （基因组）</w:t>
            </w:r>
          </w:p>
        </w:tc>
      </w:tr>
      <w:tr w14:paraId="527AFBEB">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4F2C9FE">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植物组织</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4C10434">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&gt;3g</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F587144">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&gt;3g</w:t>
            </w:r>
          </w:p>
        </w:tc>
      </w:tr>
      <w:tr w14:paraId="31339A97">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6553418">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动物组织</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0234654">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&gt;1.5g</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091C14B">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&gt;1.5g</w:t>
            </w:r>
          </w:p>
        </w:tc>
      </w:tr>
      <w:tr w14:paraId="6C625038">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4BA5325">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细胞</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C1753EC">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&gt;8*10</w:t>
            </w:r>
            <w:r>
              <w:rPr>
                <w:rFonts w:hint="eastAsia" w:ascii="微软雅黑" w:hAnsi="微软雅黑" w:eastAsia="微软雅黑" w:cs="微软雅黑"/>
                <w:spacing w:val="10"/>
                <w:kern w:val="0"/>
                <w:sz w:val="14"/>
                <w:szCs w:val="14"/>
                <w:bdr w:val="none" w:color="auto" w:sz="0" w:space="0"/>
                <w:vertAlign w:val="baseline"/>
                <w:lang w:val="en-US" w:eastAsia="zh-CN" w:bidi="ar"/>
              </w:rPr>
              <w:t>8</w:t>
            </w:r>
            <w:r>
              <w:rPr>
                <w:rFonts w:hint="eastAsia" w:ascii="微软雅黑" w:hAnsi="微软雅黑" w:eastAsia="微软雅黑" w:cs="微软雅黑"/>
                <w:spacing w:val="10"/>
                <w:kern w:val="0"/>
                <w:sz w:val="14"/>
                <w:szCs w:val="14"/>
                <w:bdr w:val="none" w:color="auto" w:sz="0" w:space="0"/>
                <w:lang w:val="en-US" w:eastAsia="zh-CN" w:bidi="ar"/>
              </w:rPr>
              <w:t>个</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12CCC20">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&gt;&gt;8*10</w:t>
            </w:r>
            <w:r>
              <w:rPr>
                <w:rFonts w:hint="eastAsia" w:ascii="微软雅黑" w:hAnsi="微软雅黑" w:eastAsia="微软雅黑" w:cs="微软雅黑"/>
                <w:spacing w:val="10"/>
                <w:kern w:val="0"/>
                <w:sz w:val="14"/>
                <w:szCs w:val="14"/>
                <w:bdr w:val="none" w:color="auto" w:sz="0" w:space="0"/>
                <w:vertAlign w:val="baseline"/>
                <w:lang w:val="en-US" w:eastAsia="zh-CN" w:bidi="ar"/>
              </w:rPr>
              <w:t>8</w:t>
            </w:r>
            <w:r>
              <w:rPr>
                <w:rFonts w:hint="eastAsia" w:ascii="微软雅黑" w:hAnsi="微软雅黑" w:eastAsia="微软雅黑" w:cs="微软雅黑"/>
                <w:spacing w:val="10"/>
                <w:kern w:val="0"/>
                <w:sz w:val="14"/>
                <w:szCs w:val="14"/>
                <w:bdr w:val="none" w:color="auto" w:sz="0" w:space="0"/>
                <w:lang w:val="en-US" w:eastAsia="zh-CN" w:bidi="ar"/>
              </w:rPr>
              <w:t>个</w:t>
            </w:r>
          </w:p>
        </w:tc>
      </w:tr>
      <w:tr w14:paraId="72C74A6A">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F96BF10">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动物血液(哺乳类)</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D3996C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&gt;5mL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61201AB">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&gt;5mL</w:t>
            </w:r>
          </w:p>
        </w:tc>
      </w:tr>
      <w:tr w14:paraId="085FBFF5">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8613030">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动物血液(红细胞有核类)</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13CF10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&gt;3mL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C31D23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&gt;3mL</w:t>
            </w:r>
          </w:p>
        </w:tc>
      </w:tr>
      <w:tr w14:paraId="32B34CC3">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074525F">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唾液</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51AFEEA">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&gt;10mL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54FF1C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&gt;10mL</w:t>
            </w:r>
          </w:p>
        </w:tc>
      </w:tr>
      <w:tr w14:paraId="24066A1A">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F7ABD15">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菌液(对数生长期)</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7158C0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&gt;5mL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60D5E92">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&gt;5mL</w:t>
            </w:r>
          </w:p>
        </w:tc>
      </w:tr>
      <w:tr w14:paraId="1A4461C6">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18E156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土壤</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AF3F5FA">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3mL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76FC845">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3mL</w:t>
            </w:r>
          </w:p>
        </w:tc>
      </w:tr>
      <w:tr w14:paraId="4D42B6D1">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12FB08C">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粪便、肠道内容物、食糜</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357F71C7">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161E0B0">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&gt;2mL</w:t>
            </w:r>
          </w:p>
        </w:tc>
      </w:tr>
      <w:tr w14:paraId="249A6CB5">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D5E28FF">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瘤胃液</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99D9E9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&gt;2mL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1C23ED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&gt;2mL</w:t>
            </w:r>
          </w:p>
        </w:tc>
      </w:tr>
      <w:tr w14:paraId="692E561A">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0B9E0C8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水体(滤膜)</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D08598A">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直径4cm滤膜3张</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075ACDE">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直径4cm滤膜3张</w:t>
            </w:r>
          </w:p>
        </w:tc>
      </w:tr>
      <w:tr w14:paraId="4400A8DD">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9BCF1E2">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拭子</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2FC8988">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&gt;10个</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96ED979">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&gt;10个</w:t>
            </w:r>
          </w:p>
        </w:tc>
      </w:tr>
    </w:tbl>
    <w:p w14:paraId="3D04FEAD">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412B5025">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08A5039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6.2 核酸样本</w:t>
      </w:r>
    </w:p>
    <w:p w14:paraId="707DADE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a.PCR产物要经过纯化（如胶回收纯化），确保条带单一，无降解，无引物二聚体</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b.送样时使用干冰或冰袋运送</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c.PCR产物构建pcr-free文库时，PCR产物不可以加illumina测序接头（P5、P7序列、搭桥序列）</w:t>
      </w:r>
    </w:p>
    <w:tbl>
      <w:tblPr>
        <w:tblW w:w="7700" w:type="dxa"/>
        <w:tblInd w:w="0" w:type="dxa"/>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Layout w:type="autofit"/>
        <w:tblCellMar>
          <w:top w:w="0" w:type="dxa"/>
          <w:left w:w="0" w:type="dxa"/>
          <w:bottom w:w="0" w:type="dxa"/>
          <w:right w:w="0" w:type="dxa"/>
        </w:tblCellMar>
      </w:tblPr>
      <w:tblGrid>
        <w:gridCol w:w="1923"/>
        <w:gridCol w:w="1000"/>
        <w:gridCol w:w="1179"/>
        <w:gridCol w:w="1000"/>
        <w:gridCol w:w="2598"/>
      </w:tblGrid>
      <w:tr w14:paraId="732F3A70">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782FE395">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文库类型</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160D4D9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浓度</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22FCC9B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体积</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6AB1C70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总量</w:t>
            </w:r>
          </w:p>
        </w:tc>
        <w:tc>
          <w:tcPr>
            <w:tcW w:w="0" w:type="auto"/>
            <w:tcBorders>
              <w:top w:val="single" w:color="C9C9C9" w:sz="4" w:space="0"/>
              <w:left w:val="single" w:color="C9C9C9" w:sz="4" w:space="0"/>
              <w:bottom w:val="single" w:color="C9C9C9" w:sz="4" w:space="0"/>
              <w:right w:val="single" w:color="C9C9C9" w:sz="4" w:space="0"/>
            </w:tcBorders>
            <w:shd w:val="clear"/>
            <w:tcMar>
              <w:top w:w="150" w:type="dxa"/>
              <w:bottom w:w="150" w:type="dxa"/>
            </w:tcMar>
            <w:vAlign w:val="center"/>
          </w:tcPr>
          <w:p w14:paraId="41F5BE0B">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b/>
                <w:bCs/>
                <w:i w:val="0"/>
                <w:iCs w:val="0"/>
                <w:spacing w:val="10"/>
                <w:sz w:val="14"/>
                <w:szCs w:val="14"/>
              </w:rPr>
            </w:pPr>
            <w:r>
              <w:rPr>
                <w:rFonts w:hint="eastAsia" w:ascii="微软雅黑" w:hAnsi="微软雅黑" w:eastAsia="微软雅黑" w:cs="微软雅黑"/>
                <w:b/>
                <w:bCs/>
                <w:i w:val="0"/>
                <w:iCs w:val="0"/>
                <w:spacing w:val="10"/>
                <w:kern w:val="0"/>
                <w:sz w:val="14"/>
                <w:szCs w:val="14"/>
                <w:bdr w:val="none" w:color="auto" w:sz="0" w:space="0"/>
                <w:lang w:val="en-US" w:eastAsia="zh-CN" w:bidi="ar"/>
              </w:rPr>
              <w:t>备注</w:t>
            </w:r>
          </w:p>
        </w:tc>
      </w:tr>
      <w:tr w14:paraId="3B4A2338">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1923" w:type="dxa"/>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FBC146D">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扩增子（pcr产物单建库）</w:t>
            </w:r>
          </w:p>
        </w:tc>
        <w:tc>
          <w:tcPr>
            <w:tcW w:w="1000" w:type="dxa"/>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537FBA4">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w:t>
            </w:r>
          </w:p>
        </w:tc>
        <w:tc>
          <w:tcPr>
            <w:tcW w:w="1059" w:type="dxa"/>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A535CE3">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20μl≤V≤120μl</w:t>
            </w:r>
          </w:p>
        </w:tc>
        <w:tc>
          <w:tcPr>
            <w:tcW w:w="1000" w:type="dxa"/>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44F1122B">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&gt;1500ng</w:t>
            </w:r>
          </w:p>
        </w:tc>
        <w:tc>
          <w:tcPr>
            <w:tcW w:w="0" w:type="auto"/>
            <w:vMerge w:val="restart"/>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603D6D97">
            <w:pPr>
              <w:keepNext w:val="0"/>
              <w:keepLines w:val="0"/>
              <w:widowControl/>
              <w:suppressLineNumbers w:val="0"/>
              <w:spacing w:before="0" w:beforeAutospacing="0" w:after="0" w:afterAutospacing="0" w:line="300" w:lineRule="atLeast"/>
              <w:ind w:left="0" w:right="0"/>
              <w:jc w:val="left"/>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针对核酸有杂质、污染、粘稠、颜色等情况,需要过柱纯化后送样 或者酌情增加送样量</w:t>
            </w:r>
          </w:p>
        </w:tc>
      </w:tr>
      <w:tr w14:paraId="4EDEC34E">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4214988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PCR-free文库 350bp</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BAE60A9">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&gt;24ng/μL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974FEC2">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20μl≤V≤120μl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2E68A556">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&gt;2μg</w:t>
            </w:r>
          </w:p>
        </w:tc>
        <w:tc>
          <w:tcPr>
            <w:tcW w:w="0" w:type="auto"/>
            <w:vMerge w:val="continue"/>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185452B1">
            <w:pPr>
              <w:jc w:val="left"/>
              <w:rPr>
                <w:rFonts w:hint="eastAsia" w:ascii="微软雅黑" w:hAnsi="微软雅黑" w:eastAsia="微软雅黑" w:cs="微软雅黑"/>
                <w:spacing w:val="10"/>
                <w:sz w:val="14"/>
                <w:szCs w:val="14"/>
              </w:rPr>
            </w:pPr>
          </w:p>
        </w:tc>
      </w:tr>
      <w:tr w14:paraId="6EACC8DE">
        <w:tblPrEx>
          <w:tblBorders>
            <w:top w:val="single" w:color="C9C9C9" w:sz="4" w:space="0"/>
            <w:left w:val="single" w:color="C9C9C9" w:sz="4" w:space="0"/>
            <w:bottom w:val="single" w:color="C9C9C9" w:sz="4" w:space="0"/>
            <w:right w:val="single" w:color="C9C9C9" w:sz="4" w:space="0"/>
            <w:insideH w:val="outset" w:color="auto" w:sz="6" w:space="0"/>
            <w:insideV w:val="outset" w:color="auto" w:sz="6" w:space="0"/>
          </w:tblBorders>
          <w:shd w:val="clear"/>
          <w:tblCellMar>
            <w:top w:w="0" w:type="dxa"/>
            <w:left w:w="0" w:type="dxa"/>
            <w:bottom w:w="0" w:type="dxa"/>
            <w:right w:w="0" w:type="dxa"/>
          </w:tblCellMar>
        </w:tblPrEx>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4A143391">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PCR-free文库</w:t>
            </w:r>
            <w:r>
              <w:rPr>
                <w:rFonts w:hint="eastAsia" w:ascii="微软雅黑" w:hAnsi="微软雅黑" w:eastAsia="微软雅黑" w:cs="微软雅黑"/>
                <w:spacing w:val="10"/>
                <w:kern w:val="0"/>
                <w:sz w:val="14"/>
                <w:szCs w:val="14"/>
                <w:bdr w:val="none" w:color="auto" w:sz="0" w:space="0"/>
                <w:lang w:val="en-US" w:eastAsia="zh-CN" w:bidi="ar"/>
              </w:rPr>
              <w:br w:type="textWrapping"/>
            </w:r>
            <w:r>
              <w:rPr>
                <w:rFonts w:hint="eastAsia" w:ascii="微软雅黑" w:hAnsi="微软雅黑" w:eastAsia="微软雅黑" w:cs="微软雅黑"/>
                <w:spacing w:val="10"/>
                <w:kern w:val="0"/>
                <w:sz w:val="14"/>
                <w:szCs w:val="14"/>
                <w:bdr w:val="none" w:color="auto" w:sz="0" w:space="0"/>
                <w:lang w:val="en-US" w:eastAsia="zh-CN" w:bidi="ar"/>
              </w:rPr>
              <w:t>非350bp</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4ABAE5A">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&gt;24ng/μL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532476AC">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20μl≤V≤120μl</w:t>
            </w:r>
          </w:p>
        </w:tc>
        <w:tc>
          <w:tcPr>
            <w:tcW w:w="0" w:type="auto"/>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6ADC66C">
            <w:pPr>
              <w:keepNext w:val="0"/>
              <w:keepLines w:val="0"/>
              <w:widowControl/>
              <w:suppressLineNumbers w:val="0"/>
              <w:spacing w:before="0" w:beforeAutospacing="0" w:after="0" w:afterAutospacing="0" w:line="300" w:lineRule="atLeast"/>
              <w:ind w:left="0" w:right="0"/>
              <w:jc w:val="center"/>
              <w:rPr>
                <w:rFonts w:hint="eastAsia" w:ascii="微软雅黑" w:hAnsi="微软雅黑" w:eastAsia="微软雅黑" w:cs="微软雅黑"/>
                <w:spacing w:val="10"/>
                <w:sz w:val="14"/>
                <w:szCs w:val="14"/>
              </w:rPr>
            </w:pPr>
            <w:r>
              <w:rPr>
                <w:rFonts w:hint="eastAsia" w:ascii="微软雅黑" w:hAnsi="微软雅黑" w:eastAsia="微软雅黑" w:cs="微软雅黑"/>
                <w:spacing w:val="10"/>
                <w:kern w:val="0"/>
                <w:sz w:val="14"/>
                <w:szCs w:val="14"/>
                <w:bdr w:val="none" w:color="auto" w:sz="0" w:space="0"/>
                <w:lang w:val="en-US" w:eastAsia="zh-CN" w:bidi="ar"/>
              </w:rPr>
              <w:t>&gt;5μg</w:t>
            </w:r>
          </w:p>
        </w:tc>
        <w:tc>
          <w:tcPr>
            <w:tcW w:w="0" w:type="auto"/>
            <w:vMerge w:val="continue"/>
            <w:tcBorders>
              <w:top w:val="single" w:color="C9C9C9" w:sz="4" w:space="0"/>
              <w:left w:val="single" w:color="C9C9C9" w:sz="4" w:space="0"/>
              <w:bottom w:val="single" w:color="C9C9C9" w:sz="4" w:space="0"/>
              <w:right w:val="single" w:color="C9C9C9" w:sz="4" w:space="0"/>
            </w:tcBorders>
            <w:shd w:val="clear"/>
            <w:tcMar>
              <w:top w:w="120" w:type="dxa"/>
              <w:left w:w="50" w:type="dxa"/>
              <w:bottom w:w="120" w:type="dxa"/>
            </w:tcMar>
            <w:vAlign w:val="center"/>
          </w:tcPr>
          <w:p w14:paraId="7BD62336">
            <w:pPr>
              <w:jc w:val="left"/>
              <w:rPr>
                <w:rFonts w:hint="eastAsia" w:ascii="微软雅黑" w:hAnsi="微软雅黑" w:eastAsia="微软雅黑" w:cs="微软雅黑"/>
                <w:spacing w:val="10"/>
                <w:sz w:val="14"/>
                <w:szCs w:val="14"/>
              </w:rPr>
            </w:pPr>
          </w:p>
        </w:tc>
      </w:tr>
    </w:tbl>
    <w:p w14:paraId="1B33A326">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0B01BC42">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00" w:afterAutospacing="0"/>
        <w:ind w:left="0" w:right="0"/>
        <w:jc w:val="center"/>
        <w:rPr>
          <w:rFonts w:hint="eastAsia" w:ascii="微软雅黑" w:hAnsi="微软雅黑" w:eastAsia="微软雅黑" w:cs="微软雅黑"/>
          <w:color w:val="00469C"/>
          <w:sz w:val="24"/>
          <w:szCs w:val="24"/>
        </w:rPr>
      </w:pPr>
      <w:r>
        <w:rPr>
          <w:rFonts w:hint="eastAsia" w:ascii="微软雅黑" w:hAnsi="微软雅黑" w:eastAsia="微软雅黑" w:cs="微软雅黑"/>
          <w:i w:val="0"/>
          <w:iCs w:val="0"/>
          <w:caps w:val="0"/>
          <w:color w:val="00469C"/>
          <w:spacing w:val="0"/>
          <w:sz w:val="24"/>
          <w:szCs w:val="24"/>
          <w:bdr w:val="none" w:color="auto" w:sz="0" w:space="0"/>
          <w:shd w:val="clear" w:fill="FFFFFF"/>
        </w:rPr>
        <w:t>7. 样本打包及寄送建议</w:t>
      </w:r>
    </w:p>
    <w:p w14:paraId="72B39B8D">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5A5395AE">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样本的打包</w:t>
      </w:r>
    </w:p>
    <w:p w14:paraId="0C9F0314">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3FB8A26C">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p>
    <w:p w14:paraId="1612D9E6">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核酸样本</w:t>
      </w:r>
    </w:p>
    <w:p w14:paraId="34BBB0A1">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(1)核酸样品建议使用质量好的1.5 mL或2 mL低吸附EP管装载样品，并用封口膜封口。为了防止样品管破裂，或者污染和混乱，请不要使用诸如PCR管、0.5 mL EP管、八联管、96孔板、深孔板等非标准管送样。非标准管不利于样品保存以及后续实验的进行。如有样品使用非标准管制备，还请在送样前自行转管处理。</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(2)为了防止样品运输途中由于干冰挤压而损坏，少于10管的样品建议将EP管放入50 mL离心管，并在50 mL离心管中用棉花或卫生纸固定；大量样品建议将EP管放置在冻存盒中，并在冻存盒外面包裹气泡垫。</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(3)用乙醇沉淀的样品由于运输中会有少量乙醇挥发出，建议将样品管盖用封口膜缠绕4 ~ 5圈。</w:t>
      </w:r>
    </w:p>
    <w:p w14:paraId="110BBE9F">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rPr>
      </w:pPr>
      <w:r>
        <w:rPr>
          <w:rFonts w:hint="eastAsia" w:ascii="微软雅黑" w:hAnsi="微软雅黑" w:eastAsia="微软雅黑" w:cs="微软雅黑"/>
          <w:i w:val="0"/>
          <w:iCs w:val="0"/>
          <w:caps w:val="0"/>
          <w:color w:val="595757"/>
          <w:spacing w:val="10"/>
          <w:sz w:val="14"/>
          <w:szCs w:val="14"/>
          <w:bdr w:val="none" w:color="auto" w:sz="0" w:space="0"/>
          <w:shd w:val="clear" w:fill="FFFFFF"/>
        </w:rPr>
        <w:t>组织样本</w:t>
      </w:r>
    </w:p>
    <w:p w14:paraId="09F760B3">
      <w:pPr>
        <w:keepNext w:val="0"/>
        <w:keepLines w:val="0"/>
        <w:widowControl/>
        <w:numPr>
          <w:ilvl w:val="1"/>
          <w:numId w:val="15"/>
        </w:numPr>
        <w:suppressLineNumbers w:val="0"/>
        <w:pBdr>
          <w:top w:val="none" w:color="auto" w:sz="0" w:space="0"/>
          <w:left w:val="none" w:color="auto" w:sz="0" w:space="0"/>
          <w:bottom w:val="none" w:color="auto" w:sz="0" w:space="0"/>
          <w:right w:val="none" w:color="auto" w:sz="0" w:space="0"/>
        </w:pBdr>
        <w:spacing w:before="0" w:beforeAutospacing="0" w:after="460" w:afterAutospacing="0" w:line="300" w:lineRule="atLeast"/>
        <w:ind w:left="0" w:right="0" w:hanging="360"/>
        <w:jc w:val="left"/>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(1)建议根据送样量使用不同规格带螺纹帽的EP管、冻存管或者离心管装载组织样品，并用封口膜封口。</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(2)为防止样品管在运输过程中受到干冰挤压破裂，最好将样品管放到50 mL离心管或其他支撑物中，并在支撑物里添加棉花或卫生纸缓冲。大量样品建议将EP管放置在冻存盒中，并在冻存盒外面包裹气泡垫。</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(3)使用锡箔纸、自封袋装载的样品，为防止运输中受挤压破损，建议将锡箔纸折叠整齐装在自封袋中，在样品包装外再用气泡垫包好并固定。</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(4)对于血液样品，建议采用5 ~ 10 mL塑料抗凝采血管装载，为了防止运输过程中采血管因挤压而损坏，需要将每支采血管管身用气泡垫包好，然后放置到塑料或纸质包装盒中。</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(5)为方便处理和保存，组织样品送样量请不要超过建议送样量的5倍（特殊的得率较低的样品除外）。</w:t>
      </w:r>
    </w:p>
    <w:p w14:paraId="3B1F2633">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p>
    <w:p w14:paraId="7F478C7D">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00" w:lineRule="atLeast"/>
        <w:ind w:left="0" w:right="0"/>
        <w:jc w:val="both"/>
        <w:rPr>
          <w:rFonts w:hint="eastAsia" w:ascii="微软雅黑" w:hAnsi="微软雅黑" w:eastAsia="微软雅黑" w:cs="微软雅黑"/>
          <w:b/>
          <w:bCs/>
        </w:rPr>
      </w:pPr>
      <w:r>
        <w:rPr>
          <w:rFonts w:hint="eastAsia" w:ascii="微软雅黑" w:hAnsi="微软雅黑" w:eastAsia="微软雅黑" w:cs="微软雅黑"/>
          <w:b/>
          <w:bCs/>
          <w:i w:val="0"/>
          <w:iCs w:val="0"/>
          <w:caps w:val="0"/>
          <w:color w:val="595757"/>
          <w:spacing w:val="10"/>
          <w:sz w:val="14"/>
          <w:szCs w:val="14"/>
          <w:bdr w:val="none" w:color="auto" w:sz="0" w:space="0"/>
          <w:shd w:val="clear" w:fill="FFFFFF"/>
        </w:rPr>
        <w:t>样本的名称标识</w:t>
      </w:r>
    </w:p>
    <w:p w14:paraId="523D11F8">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jc w:val="both"/>
        <w:rPr>
          <w:rFonts w:hint="eastAsia" w:ascii="微软雅黑" w:hAnsi="微软雅黑" w:eastAsia="微软雅黑" w:cs="微软雅黑"/>
          <w:spacing w:val="10"/>
          <w:sz w:val="14"/>
          <w:szCs w:val="14"/>
        </w:rPr>
      </w:pPr>
      <w:r>
        <w:rPr>
          <w:rFonts w:hint="eastAsia" w:ascii="微软雅黑" w:hAnsi="微软雅黑" w:eastAsia="微软雅黑" w:cs="微软雅黑"/>
          <w:i w:val="0"/>
          <w:iCs w:val="0"/>
          <w:caps w:val="0"/>
          <w:color w:val="595757"/>
          <w:spacing w:val="10"/>
          <w:sz w:val="14"/>
          <w:szCs w:val="14"/>
          <w:bdr w:val="none" w:color="auto" w:sz="0" w:space="0"/>
          <w:shd w:val="clear" w:fill="FFFFFF"/>
        </w:rPr>
        <w:t>(1)所有的样品必须具有清晰的标记，并且简洁明了。</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(2)使用锡箔纸包装的组织样品建议在锡箔纸内外均标记样品名称，并将锡箔纸放在自封袋中，自封袋外面再标记上样品名称，防止锡箔纸上样品名称模糊引起样品混乱。</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(3)使用乙醇沉淀的核酸样品，由于挥发出的乙醇会使Mark笔的标记模糊，建议用油性笔将样品名称写在标签纸上，然后用透明胶带将标签纸粘贴在样品管壁上，并缠绕2 ~ 3圈。</w:t>
      </w:r>
      <w:r>
        <w:rPr>
          <w:rFonts w:hint="eastAsia" w:ascii="微软雅黑" w:hAnsi="微软雅黑" w:eastAsia="微软雅黑" w:cs="微软雅黑"/>
          <w:i w:val="0"/>
          <w:iCs w:val="0"/>
          <w:caps w:val="0"/>
          <w:color w:val="595757"/>
          <w:spacing w:val="10"/>
          <w:sz w:val="14"/>
          <w:szCs w:val="14"/>
          <w:bdr w:val="none" w:color="auto" w:sz="0" w:space="0"/>
          <w:shd w:val="clear" w:fill="FFFFFF"/>
        </w:rPr>
        <w:br w:type="textWrapping"/>
      </w:r>
      <w:r>
        <w:rPr>
          <w:rFonts w:hint="eastAsia" w:ascii="微软雅黑" w:hAnsi="微软雅黑" w:eastAsia="微软雅黑" w:cs="微软雅黑"/>
          <w:i w:val="0"/>
          <w:iCs w:val="0"/>
          <w:caps w:val="0"/>
          <w:color w:val="595757"/>
          <w:spacing w:val="10"/>
          <w:sz w:val="14"/>
          <w:szCs w:val="14"/>
          <w:bdr w:val="none" w:color="auto" w:sz="0" w:space="0"/>
          <w:shd w:val="clear" w:fill="FFFFFF"/>
        </w:rPr>
        <w:t>(4)样品名称建议使用“字母+数字”命名方式标注在管盖。其他信息如日期、浓度、物种等可标注在管壁。所有标注内容需与《样品信息单》保持一致。</w:t>
      </w:r>
    </w:p>
    <w:p w14:paraId="73283CD8">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2CE20E"/>
    <w:multiLevelType w:val="multilevel"/>
    <w:tmpl w:val="952CE2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9738430"/>
    <w:multiLevelType w:val="multilevel"/>
    <w:tmpl w:val="99738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3939934"/>
    <w:multiLevelType w:val="multilevel"/>
    <w:tmpl w:val="B39399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4B0CF8E"/>
    <w:multiLevelType w:val="singleLevel"/>
    <w:tmpl w:val="C4B0CF8E"/>
    <w:lvl w:ilvl="0" w:tentative="0">
      <w:start w:val="1"/>
      <w:numFmt w:val="bullet"/>
      <w:lvlText w:val=""/>
      <w:lvlJc w:val="left"/>
      <w:pPr>
        <w:ind w:left="720" w:hanging="360"/>
      </w:pPr>
      <w:rPr>
        <w:rFonts w:hint="default" w:ascii="Symbol" w:hAnsi="Symbol" w:cs="Symbol"/>
        <w:sz w:val="20"/>
      </w:rPr>
    </w:lvl>
  </w:abstractNum>
  <w:abstractNum w:abstractNumId="4">
    <w:nsid w:val="C9AAF8B0"/>
    <w:multiLevelType w:val="multilevel"/>
    <w:tmpl w:val="C9AAF8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AB9FFD6"/>
    <w:multiLevelType w:val="multilevel"/>
    <w:tmpl w:val="FAB9FF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E059A84"/>
    <w:multiLevelType w:val="singleLevel"/>
    <w:tmpl w:val="FE059A84"/>
    <w:lvl w:ilvl="0" w:tentative="0">
      <w:start w:val="1"/>
      <w:numFmt w:val="bullet"/>
      <w:lvlText w:val=""/>
      <w:lvlJc w:val="left"/>
      <w:pPr>
        <w:ind w:left="720" w:hanging="360"/>
      </w:pPr>
      <w:rPr>
        <w:rFonts w:hint="default" w:ascii="Symbol" w:hAnsi="Symbol" w:cs="Symbol"/>
        <w:sz w:val="20"/>
      </w:rPr>
    </w:lvl>
  </w:abstractNum>
  <w:abstractNum w:abstractNumId="7">
    <w:nsid w:val="03D16163"/>
    <w:multiLevelType w:val="singleLevel"/>
    <w:tmpl w:val="03D16163"/>
    <w:lvl w:ilvl="0" w:tentative="0">
      <w:start w:val="1"/>
      <w:numFmt w:val="bullet"/>
      <w:lvlText w:val=""/>
      <w:lvlJc w:val="left"/>
      <w:pPr>
        <w:ind w:left="720" w:hanging="360"/>
      </w:pPr>
      <w:rPr>
        <w:rFonts w:hint="default" w:ascii="Symbol" w:hAnsi="Symbol" w:cs="Symbol"/>
        <w:sz w:val="20"/>
      </w:rPr>
    </w:lvl>
  </w:abstractNum>
  <w:abstractNum w:abstractNumId="8">
    <w:nsid w:val="4D44426E"/>
    <w:multiLevelType w:val="multilevel"/>
    <w:tmpl w:val="4D4442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06B0528"/>
    <w:multiLevelType w:val="multilevel"/>
    <w:tmpl w:val="506B05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3"/>
  </w:num>
  <w:num w:numId="3">
    <w:abstractNumId w:val="6"/>
  </w:num>
  <w:num w:numId="4">
    <w:abstractNumId w:val="2"/>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EC0A79"/>
    <w:rsid w:val="1DCB4E4A"/>
    <w:rsid w:val="21584C46"/>
    <w:rsid w:val="260D24A3"/>
    <w:rsid w:val="336D27D3"/>
    <w:rsid w:val="3B1874C8"/>
    <w:rsid w:val="40490124"/>
    <w:rsid w:val="43F62371"/>
    <w:rsid w:val="44735770"/>
    <w:rsid w:val="46C67C72"/>
    <w:rsid w:val="48BD16AF"/>
    <w:rsid w:val="4B1D6435"/>
    <w:rsid w:val="4B3043BA"/>
    <w:rsid w:val="4E404914"/>
    <w:rsid w:val="54992FD0"/>
    <w:rsid w:val="5B8D3163"/>
    <w:rsid w:val="5BA04C44"/>
    <w:rsid w:val="63BC45E5"/>
    <w:rsid w:val="6832131A"/>
    <w:rsid w:val="6BC524A5"/>
    <w:rsid w:val="77040325"/>
    <w:rsid w:val="78054355"/>
    <w:rsid w:val="784A620C"/>
    <w:rsid w:val="78E71CAD"/>
    <w:rsid w:val="78F32400"/>
    <w:rsid w:val="7DAE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NUL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15</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2025-03-11T02:33:46Z</dcterms:created>
  <dc:creator>wangl</dc:creator>
  <cp:lastModifiedBy>傲天</cp:lastModifiedBy>
  <dcterms:modified xsi:type="dcterms:W3CDTF">2025-03-13T08:24:53Z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eyJoZGlkIjoiYmZmODNlZWFkOGE0NjIzYTk0MjdjMjNjNTFkYmZjOGEiLCJ1c2VySWQiOiIyMTAyMTk0OTMifQ==</vt:lpwstr>
  </property>
  <property fmtid="{D5CDD505-2E9C-101B-9397-08002B2CF9AE}" pid="4" name="ICV">
    <vt:lpwstr>387BB7240B4C4978A1D096313B8CC4FA_12</vt:lpwstr>
  </property>
</Properties>
</file>