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TraceSynthesis Tutorial Materials Guide</w:t>
      </w:r>
    </w:p>
    <w:p>
      <w:pPr>
        <w:jc w:val="center"/>
      </w:pPr>
      <w:r>
        <w:rPr>
          <w:i/>
        </w:rPr>
        <w:t>Companion materials for the TraceSynthesis tutorial manuscript</w:t>
      </w:r>
    </w:p>
    <w:p>
      <w:r>
        <w:rPr>
          <w:b/>
        </w:rPr>
        <w:t>Purpose. This package provides the materials used to illustrate the TraceSynthesis workflow in the tutorial manuscript. It includes the coding sheet and two sample extraction workbooks so readers can inspect the output structure and, if they wish, reproduce the examples using source articles obtained through the publishers or their own institutional access.</w:t>
      </w:r>
      <w:r/>
    </w:p>
    <w:p>
      <w:r>
        <w:rPr>
          <w:b/>
        </w:rPr>
        <w:t>Software version. The example outputs in this package were generated with TraceSynthesis version 4.3, released on October 1, 2026. TraceSynthesis is actively maintained. Available models and provider integrations may change over time, and later releases may include changes intended to reduce processing time and API cost. Results generated with later versions, different models, or different extraction settings may therefore differ from the archived examples provided here.</w:t>
      </w:r>
      <w:r/>
    </w:p>
    <w:p>
      <w:pPr>
        <w:pStyle w:val="Heading1"/>
      </w:pPr>
      <w:r>
        <w:t>Files Included</w:t>
      </w:r>
    </w:p>
    <w:p>
      <w:pPr>
        <w:ind w:left="288" w:hanging="288"/>
      </w:pPr>
      <w:r>
        <w:rPr>
          <w:b/>
        </w:rPr>
        <w:t xml:space="preserve">• </w:t>
      </w:r>
      <w:r>
        <w:rPr>
          <w:b/>
        </w:rPr>
        <w:t>Coding_Sheet_TraceSynthesis_Ready.xlsx</w:t>
      </w:r>
      <w:r>
        <w:t xml:space="preserve"> — The coding sheet used for the worked examples. It contains 37 coding items covering study identification, study characteristics, qualitative and quantitative information, group-level numerical results, and review notes. The sheet includes item definitions/instructions, response options where applicable, and single/multiple-selection rules.</w:t>
      </w:r>
    </w:p>
    <w:p>
      <w:pPr>
        <w:ind w:left="288" w:hanging="288"/>
      </w:pPr>
      <w:r>
        <w:rPr>
          <w:b/>
        </w:rPr>
        <w:t>• Sample_Result_1.xlsx — Example TraceSynthesis output for the Saritepeci and Yildiz Durak (2024) article.</w:t>
      </w:r>
      <w:r>
        <w:rPr>
          <w:b/>
        </w:rPr>
      </w:r>
      <w:r/>
    </w:p>
    <w:p>
      <w:pPr>
        <w:ind w:left="288" w:hanging="288"/>
      </w:pPr>
      <w:r>
        <w:rPr>
          <w:b/>
        </w:rPr>
        <w:t>• Sample_Result_2.xlsx — Example TraceSynthesis output for the Cao (2024) article.</w:t>
      </w:r>
      <w:r>
        <w:rPr>
          <w:b/>
        </w:rPr>
      </w:r>
      <w:r/>
    </w:p>
    <w:p>
      <w:pPr>
        <w:pStyle w:val="Heading1"/>
      </w:pPr>
      <w:r>
        <w:t>How to Read the Example Output Files</w:t>
      </w:r>
    </w:p>
    <w:p>
      <w:r>
        <w:t>Each sample result workbook contains several worksheets. The main worksheets are summarized below.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vAlign w:val="center"/>
          </w:tcPr>
          <w:p>
            <w:r>
              <w:rPr>
                <w:b/>
              </w:rPr>
              <w:t>Worksheet</w:t>
            </w:r>
          </w:p>
        </w:tc>
        <w:tc>
          <w:tcPr>
            <w:tcW w:type="dxa" w:w="4824"/>
            <w:vAlign w:val="center"/>
          </w:tcPr>
          <w:p>
            <w:r>
              <w:rPr>
                <w:b/>
              </w:rPr>
              <w:t>Purpose</w:t>
            </w:r>
          </w:p>
        </w:tc>
      </w:tr>
      <w:tr>
        <w:tc>
          <w:tcPr>
            <w:tcW w:type="dxa" w:w="4824"/>
          </w:tcPr>
          <w:p>
            <w:r>
              <w:t>results</w:t>
            </w:r>
          </w:p>
        </w:tc>
        <w:tc>
          <w:tcPr>
            <w:tcW w:type="dxa" w:w="4824"/>
          </w:tcPr>
          <w:p>
            <w:r>
              <w:t>Coding-item-level extraction results, including the extracted value, extraction type, supporting explanation/evidence, human-review fields, and final value.</w:t>
            </w:r>
          </w:p>
        </w:tc>
      </w:tr>
      <w:tr>
        <w:tc>
          <w:tcPr>
            <w:tcW w:type="dxa" w:w="4824"/>
          </w:tcPr>
          <w:p>
            <w:r>
              <w:t>structured_data</w:t>
            </w:r>
          </w:p>
        </w:tc>
        <w:tc>
          <w:tcPr>
            <w:tcW w:type="dxa" w:w="4824"/>
          </w:tcPr>
          <w:p>
            <w:r>
              <w:t>Detailed structured source records retained from the document. This sheet may include information beyond the final coding items and should be filtered before analysis.</w:t>
            </w:r>
          </w:p>
        </w:tc>
      </w:tr>
      <w:tr>
        <w:tc>
          <w:tcPr>
            <w:tcW w:type="dxa" w:w="4824"/>
          </w:tcPr>
          <w:p>
            <w:r>
              <w:t>numeric_values</w:t>
            </w:r>
          </w:p>
        </w:tc>
        <w:tc>
          <w:tcPr>
            <w:tcW w:type="dxa" w:w="4824"/>
          </w:tcPr>
          <w:p>
            <w:r>
              <w:t>Readable numeric observations matched to source structure, with one value per row where applicable.</w:t>
            </w:r>
          </w:p>
        </w:tc>
      </w:tr>
      <w:tr>
        <w:tc>
          <w:tcPr>
            <w:tcW w:type="dxa" w:w="4824"/>
          </w:tcPr>
          <w:p>
            <w:r>
              <w:t>page_coverage</w:t>
            </w:r>
          </w:p>
        </w:tc>
        <w:tc>
          <w:tcPr>
            <w:tcW w:type="dxa" w:w="4824"/>
          </w:tcPr>
          <w:p>
            <w:r>
              <w:t>Information about document/page processing and coverage that can help identify limitations in what was available to the extraction process.</w:t>
            </w:r>
          </w:p>
        </w:tc>
      </w:tr>
      <w:tr>
        <w:tc>
          <w:tcPr>
            <w:tcW w:type="dxa" w:w="4824"/>
          </w:tcPr>
          <w:p>
            <w:r>
              <w:t>definitions</w:t>
            </w:r>
          </w:p>
        </w:tc>
        <w:tc>
          <w:tcPr>
            <w:tcW w:type="dxa" w:w="4824"/>
          </w:tcPr>
          <w:p>
            <w:r>
              <w:t>Definitions and labels identified for groups, measures, time points, and related document concepts.</w:t>
            </w:r>
          </w:p>
        </w:tc>
      </w:tr>
      <w:tr>
        <w:tc>
          <w:tcPr>
            <w:tcW w:type="dxa" w:w="4824"/>
          </w:tcPr>
          <w:p>
            <w:r>
              <w:t>read_me</w:t>
            </w:r>
          </w:p>
        </w:tc>
        <w:tc>
          <w:tcPr>
            <w:tcW w:type="dxa" w:w="4824"/>
          </w:tcPr>
          <w:p>
            <w:r>
              <w:t>Important cautions for interpreting raw outputs, diagnostic checks, missing values, and human-review fields.</w:t>
            </w:r>
          </w:p>
        </w:tc>
      </w:tr>
    </w:tbl>
    <w:p>
      <w:r>
        <w:rPr>
          <w:b/>
        </w:rPr>
        <w:t xml:space="preserve">Important. </w:t>
      </w:r>
      <w:r>
        <w:t>The example files contain model-generated and diagnostic information that still requires researcher review. A quotation match, model recheck, or structured numeric match should not be treated as independent confirmation of correctness. The tutorial workflow is designed around human verification of the final coded data.</w:t>
      </w:r>
    </w:p>
    <w:p>
      <w:pPr>
        <w:pStyle w:val="Heading1"/>
      </w:pPr>
      <w:r>
        <w:t>Run Settings for the Archived Examples</w:t>
      </w:r>
    </w:p>
    <w:p>
      <w:r>
        <w:t>Both archived examples were generated using the same default extraction settings in TraceSynthesis v4.3. The model was GPT-4.1, document reading was set to Text + Table + Page Image, temperature was 0.2, reads per study was 1, and coding items per request was 8.</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tcPr>
          <w:p>
            <w:r>
              <w:t>Setting</w:t>
            </w:r>
          </w:p>
        </w:tc>
        <w:tc>
          <w:tcPr>
            <w:tcW w:type="dxa" w:w="3216"/>
          </w:tcPr>
          <w:p>
            <w:r>
              <w:t>Sample result 1</w:t>
            </w:r>
          </w:p>
        </w:tc>
        <w:tc>
          <w:tcPr>
            <w:tcW w:type="dxa" w:w="3216"/>
          </w:tcPr>
          <w:p>
            <w:r>
              <w:t>Sample result 2</w:t>
            </w:r>
          </w:p>
        </w:tc>
      </w:tr>
      <w:tr>
        <w:tc>
          <w:tcPr>
            <w:tcW w:type="dxa" w:w="3216"/>
          </w:tcPr>
          <w:p>
            <w:r>
              <w:t>TraceSynthesis version</w:t>
            </w:r>
          </w:p>
        </w:tc>
        <w:tc>
          <w:tcPr>
            <w:tcW w:type="dxa" w:w="3216"/>
          </w:tcPr>
          <w:p>
            <w:r>
              <w:t>4.3 (released October 1, 2026)</w:t>
            </w:r>
          </w:p>
        </w:tc>
        <w:tc>
          <w:tcPr>
            <w:tcW w:type="dxa" w:w="3216"/>
          </w:tcPr>
          <w:p>
            <w:r>
              <w:t>4.3 (released October 1, 2026)</w:t>
            </w:r>
          </w:p>
        </w:tc>
      </w:tr>
      <w:tr>
        <w:tc>
          <w:tcPr>
            <w:tcW w:type="dxa" w:w="3216"/>
          </w:tcPr>
          <w:p>
            <w:r>
              <w:t>Model / provider</w:t>
            </w:r>
          </w:p>
        </w:tc>
        <w:tc>
          <w:tcPr>
            <w:tcW w:type="dxa" w:w="3216"/>
          </w:tcPr>
          <w:p>
            <w:r>
              <w:t>GPT-4.1 / OpenAI</w:t>
            </w:r>
          </w:p>
        </w:tc>
        <w:tc>
          <w:tcPr>
            <w:tcW w:type="dxa" w:w="3216"/>
          </w:tcPr>
          <w:p>
            <w:r>
              <w:t>GPT-4.1 / OpenAI</w:t>
            </w:r>
          </w:p>
        </w:tc>
      </w:tr>
      <w:tr>
        <w:tc>
          <w:tcPr>
            <w:tcW w:type="dxa" w:w="3216"/>
          </w:tcPr>
          <w:p>
            <w:r>
              <w:t>Document reading</w:t>
            </w:r>
          </w:p>
        </w:tc>
        <w:tc>
          <w:tcPr>
            <w:tcW w:type="dxa" w:w="3216"/>
          </w:tcPr>
          <w:p>
            <w:r>
              <w:t>Text + Table + Page Image</w:t>
            </w:r>
          </w:p>
        </w:tc>
        <w:tc>
          <w:tcPr>
            <w:tcW w:type="dxa" w:w="3216"/>
          </w:tcPr>
          <w:p>
            <w:r>
              <w:t>Text + Table + Page Image</w:t>
            </w:r>
          </w:p>
        </w:tc>
      </w:tr>
      <w:tr>
        <w:tc>
          <w:tcPr>
            <w:tcW w:type="dxa" w:w="3216"/>
          </w:tcPr>
          <w:p>
            <w:r>
              <w:t>Temperature</w:t>
            </w:r>
          </w:p>
        </w:tc>
        <w:tc>
          <w:tcPr>
            <w:tcW w:type="dxa" w:w="3216"/>
          </w:tcPr>
          <w:p>
            <w:r>
              <w:t>0.2 (default)</w:t>
            </w:r>
          </w:p>
        </w:tc>
        <w:tc>
          <w:tcPr>
            <w:tcW w:type="dxa" w:w="3216"/>
          </w:tcPr>
          <w:p>
            <w:r>
              <w:t>0.2 (default)</w:t>
            </w:r>
          </w:p>
        </w:tc>
      </w:tr>
      <w:tr>
        <w:tc>
          <w:tcPr>
            <w:tcW w:type="dxa" w:w="3216"/>
          </w:tcPr>
          <w:p>
            <w:r>
              <w:t>Reads per study</w:t>
            </w:r>
          </w:p>
        </w:tc>
        <w:tc>
          <w:tcPr>
            <w:tcW w:type="dxa" w:w="3216"/>
          </w:tcPr>
          <w:p>
            <w:r>
              <w:t>1 (default)</w:t>
            </w:r>
          </w:p>
        </w:tc>
        <w:tc>
          <w:tcPr>
            <w:tcW w:type="dxa" w:w="3216"/>
          </w:tcPr>
          <w:p>
            <w:r>
              <w:t>1 (default)</w:t>
            </w:r>
          </w:p>
        </w:tc>
      </w:tr>
      <w:tr>
        <w:tc>
          <w:tcPr>
            <w:tcW w:type="dxa" w:w="3216"/>
          </w:tcPr>
          <w:p>
            <w:r>
              <w:t>Coding items per request</w:t>
            </w:r>
          </w:p>
        </w:tc>
        <w:tc>
          <w:tcPr>
            <w:tcW w:type="dxa" w:w="3216"/>
          </w:tcPr>
          <w:p>
            <w:r>
              <w:t>8 (default)</w:t>
            </w:r>
          </w:p>
        </w:tc>
        <w:tc>
          <w:tcPr>
            <w:tcW w:type="dxa" w:w="3216"/>
          </w:tcPr>
          <w:p>
            <w:r>
              <w:t>8 (default)</w:t>
            </w:r>
          </w:p>
        </w:tc>
      </w:tr>
    </w:tbl>
    <w:p>
      <w:r>
        <w:rPr>
          <w:b/>
        </w:rPr>
        <w:t>Note. The two sample workbooks are provided as test examples that readers can inspect directly. To run a new extraction or reproduce these examples in the live application, users need to provide their own API key for the selected model provider. Because TraceSynthesis is updated over time, the live application may not exactly match version 4.3 when these materials are accessed.</w:t>
      </w:r>
      <w:r/>
    </w:p>
    <w:p>
      <w:pPr>
        <w:pStyle w:val="Heading1"/>
        <w:pageBreakBefore/>
      </w:pPr>
      <w:r>
        <w:t>Source Articles Used for the Worked Examples</w:t>
      </w:r>
    </w:p>
    <w:p>
      <w:r>
        <w:t>The full-text source articles are not redistributed as part of this package. Readers can locate the articles using the citations and DOI links below and obtain the full text through the publisher or their institutional access.</w:t>
      </w:r>
    </w:p>
    <w:p>
      <w:pPr>
        <w:ind w:left="432" w:hanging="432"/>
      </w:pPr>
      <w:r>
        <w:t>Saritepeci, M., &amp; Yildiz Durak, H. (2024). Effectiveness of artificial intelligence integration in design-based learning on design thinking mindset, creative and reflective thinking skills: An experimental study. Education and Information Technologies, 29, 25175–25209. https://doi.org/10.1007/s10639-024-12829-2</w:t>
      </w:r>
    </w:p>
    <w:p>
      <w:pPr>
        <w:ind w:left="432" w:hanging="432"/>
      </w:pPr>
      <w:r>
        <w:t>Cao, X. (2024). Case study of China’s compulsory education system: AI apps and extracurricular dance learning. International Journal of Human–Computer Interaction, 40(13), 3419–3426. https://doi.org/10.1080/10447318.2023.2188539</w:t>
      </w:r>
    </w:p>
    <w:p>
      <w:pPr>
        <w:pStyle w:val="Heading1"/>
      </w:pPr>
      <w:r>
        <w:t>Using These Materials</w:t>
      </w:r>
    </w:p>
    <w:p>
      <w:pPr>
        <w:ind w:left="288" w:hanging="288"/>
      </w:pPr>
      <w:r>
        <w:t xml:space="preserve">• </w:t>
      </w:r>
      <w:r>
        <w:t>Open the coding sheet to review how extraction targets, definitions, response options, and selection rules were specified.</w:t>
      </w:r>
    </w:p>
    <w:p>
      <w:pPr>
        <w:ind w:left="288" w:hanging="288"/>
      </w:pPr>
      <w:r>
        <w:t>• Obtain one of the source articles using the DOI above and run it through the current TraceSynthesis application with the documented settings if you wish to reproduce the workflow. Running a new extraction requires your own API key for the selected model provider.</w:t>
      </w:r>
      <w:r/>
    </w:p>
    <w:p>
      <w:pPr>
        <w:ind w:left="288" w:hanging="288"/>
      </w:pPr>
      <w:r>
        <w:t xml:space="preserve">• </w:t>
      </w:r>
      <w:r>
        <w:t>Compare the new output with the archived example. Exact outputs may differ across models, provider updates, software versions, and repeated model runs.</w:t>
      </w:r>
    </w:p>
    <w:p>
      <w:pPr>
        <w:ind w:left="288" w:hanging="288"/>
      </w:pPr>
      <w:r>
        <w:t xml:space="preserve">• </w:t>
      </w:r>
      <w:r>
        <w:t>Use the evidence links, diagnostic information, and human-review fields to inspect and verify extracted values before using them in a final dataset.</w:t>
      </w:r>
    </w:p>
    <w:p>
      <w:pPr>
        <w:pStyle w:val="Heading1"/>
      </w:pPr>
      <w:r>
        <w:t>Live Application</w:t>
      </w:r>
    </w:p>
    <w:p>
      <w:r>
        <w:t>TraceSynthesis is freely accessible as a browser-based application at:</w:t>
      </w:r>
    </w:p>
    <w:p>
      <w:pPr>
        <w:ind w:left="288"/>
      </w:pPr>
      <w:r>
        <w:t>https://trace-synthesis-autoextraction.reviewtools.workers.dev/</w:t>
      </w:r>
    </w:p>
    <w:p>
      <w:r>
        <w:rPr>
          <w:b/>
        </w:rPr>
        <w:t>Development note. The development repository is not publicly released. The live application and these tutorial materials are maintained separately. This package documents the tutorial workflow and worked examples without distributing the production source code.</w:t>
      </w: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