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r>
        <w:t>第一部分：工作量估算</w:t>
      </w:r>
    </w:p>
    <w:p>
      <w:pPr>
        <w:pStyle w:val="3"/>
        <w:bidi w:val="0"/>
      </w:pPr>
      <w:r>
        <w:t>1.1 习题 12 参考解答（小组讨论用）</w:t>
      </w:r>
    </w:p>
    <w:p>
      <w:pPr>
        <w:bidi w:val="0"/>
      </w:pPr>
      <w:r>
        <w:t>题目问：能否用"每天产出 300 行代码 / 每月产出 1200 应用点"这种单位时间产出量来度量生产率？</w:t>
      </w:r>
    </w:p>
    <w:p>
      <w:pPr>
        <w:bidi w:val="0"/>
      </w:pPr>
      <w:r>
        <w:t>答：这种度量方式有严重缺陷，不能机械采用。</w:t>
      </w:r>
    </w:p>
    <w:p>
      <w:pPr>
        <w:bidi w:val="0"/>
      </w:pPr>
      <w:r>
        <w:t>① 语言不可比性。 用 Java 写 1000 行的业务逻辑，用 Python 可能 400 行，用 SQL + 声明式框架可能 100 行。按"每天 300 行"来考核，程序员会被迫选啰嗦的语言才能达标。这也是为什么现代估算（COCOMO II、Function Point、Application Point）都倾向于用语言无关的度量单位——应用点、功能点、用例点。</w:t>
      </w:r>
    </w:p>
    <w:p>
      <w:pPr>
        <w:bidi w:val="0"/>
      </w:pPr>
      <w:r>
        <w:t>② 时序不可比性。 项目前期都在做需求分析、架构设计、数据库建模，这些阶段一行代码都还没写，但投入的工作量并不比编码阶段少。如果硬用 LOC/day 作为 KPI，就会出现"设计阶段生产率为 0"的荒谬结论。更合理的做法是用工作单元（用例、用户故事、应用点）度量，它在设计阶段就能计数。</w:t>
      </w:r>
    </w:p>
    <w:p>
      <w:pPr>
        <w:bidi w:val="0"/>
      </w:pPr>
      <w:r>
        <w:t>③ 目标失真（古德哈特定律）。 一旦 LOC 成为考核指标，程序员会主动堆砌代码：拒绝重构、避免抽象、复制粘贴代替封装。这与软件工程追求的"简洁、可维护"完全背道而驰。</w:t>
      </w:r>
    </w:p>
    <w:p>
      <w:pPr>
        <w:bidi w:val="0"/>
      </w:pPr>
      <w:r>
        <w:rPr>
          <w:rFonts w:hint="eastAsia"/>
          <w:lang w:val="en-US" w:eastAsia="zh-CN"/>
        </w:rPr>
        <w:t>总结</w:t>
      </w:r>
      <w:r>
        <w:t>： 生产率应该用可工作的功能/应用点来度量，并结合代码质量（缺陷密度、圈复杂度、重复率）综合评价，而非单一的 LOC 速率。</w:t>
      </w:r>
    </w:p>
    <w:p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5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</w:pPr>
      <w:r>
        <w:t>1.2 人才招聘系统的 COCOMO II 初始工作量估算</w:t>
      </w:r>
    </w:p>
    <w:p>
      <w:pPr>
        <w:bidi w:val="0"/>
        <w:rPr>
          <w:b/>
          <w:bCs/>
        </w:rPr>
      </w:pPr>
      <w:r>
        <w:rPr>
          <w:b/>
          <w:bCs/>
        </w:rPr>
        <w:t>步骤 1：识别屏幕、报表和 3GL 组件</w:t>
      </w:r>
    </w:p>
    <w:p>
      <w:pPr>
        <w:bidi w:val="0"/>
      </w:pPr>
      <w:r>
        <w:t>屏幕（输入交互型，共 23 个）：</w:t>
      </w:r>
    </w:p>
    <w:tbl>
      <w:tblPr>
        <w:tblStyle w:val="1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1285"/>
        <w:gridCol w:w="1285"/>
        <w:gridCol w:w="803"/>
        <w:gridCol w:w="5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名 字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rPr>
                <w:b/>
                <w:bCs/>
              </w:rPr>
              <w:t>屏幕或报表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rPr>
                <w:b/>
                <w:bCs/>
              </w:rPr>
              <w:t>所涉数据表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rPr>
                <w:b/>
                <w:bCs/>
              </w:rPr>
              <w:t>复杂性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rPr>
                <w:b/>
                <w:bCs/>
              </w:rPr>
              <w:t>权值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用户登录 (login)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用户注册 (register)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管理员登录 (admin-login)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地址管理 (address)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安全设置 (security)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推送设置 (push)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分类管理 (classification)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标签管理 (tag)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广告管理 (ad)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公告管理 (notice)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门户首页 (portal)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3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适中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职位搜索 (search)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3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适中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职位详情 (detail)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4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适中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用户中心 (usercenter)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适中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个人信息编辑 (userinfo-edit)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适中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企业信息编辑 (company-edit)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适中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企业岗位发布 (company-post)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3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适中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消息中心 (message)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适中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岗位管理 admin (thing)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4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适中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公司管理 admin (company)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3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适中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简历管理 admin (resume)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3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适中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评论管理 admin (comment)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3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适中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用户管理 admin (user)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3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适中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简历编辑 (resume-edit)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屏幕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5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复杂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3</w:t>
            </w:r>
          </w:p>
        </w:tc>
      </w:tr>
    </w:tbl>
    <w:p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 xml:space="preserve">屏幕权值合计：10×1 + 13×2 + 1×3 =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39</w:t>
      </w:r>
    </w:p>
    <w:p>
      <w:pPr>
        <w:bidi w:val="0"/>
        <w:rPr>
          <w:b/>
          <w:bCs/>
        </w:rPr>
      </w:pPr>
      <w:r>
        <w:rPr>
          <w:b/>
          <w:bCs/>
        </w:rPr>
        <w:t>报表（输出展示型，共 14 个）：</w:t>
      </w:r>
    </w:p>
    <w:tbl>
      <w:tblPr>
        <w:tblStyle w:val="1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05"/>
        <w:gridCol w:w="1285"/>
        <w:gridCol w:w="803"/>
        <w:gridCol w:w="5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rPr>
                <w:b/>
                <w:bCs/>
              </w:rPr>
              <w:t>名 字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rPr>
                <w:b/>
                <w:bCs/>
              </w:rPr>
              <w:t>屏幕或报表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rPr>
                <w:b/>
                <w:bCs/>
              </w:rPr>
              <w:t>复杂性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rPr>
                <w:b/>
                <w:bCs/>
              </w:rPr>
              <w:t>权值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我的投递 (my-thing)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报表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我的发布 (my-post)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报表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我的收藏 (collect-thing)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报表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心愿单 (wish-thing)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报表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粉丝列表 (fans)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报表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关注列表 (follow)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报表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评论列表 (comment user)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报表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积分记录 (score)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报表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登录日志 (loginLog)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报表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操作日志 (opLog)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报表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错误日志 (errorLog)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报表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简单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搜索结果聚合页 (search-content)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报表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适中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管理员仪表盘 (overview)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报表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适中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系统信息 (sysInfo)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报表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适中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5</w:t>
            </w:r>
          </w:p>
        </w:tc>
      </w:tr>
    </w:tbl>
    <w:p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 xml:space="preserve">报表权值合计：11×2 + 3×5 =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37</w:t>
      </w:r>
    </w:p>
    <w:p>
      <w:pPr>
        <w:bidi w:val="0"/>
        <w:rPr>
          <w:b/>
          <w:bCs/>
        </w:rPr>
      </w:pPr>
      <w:r>
        <w:rPr>
          <w:b/>
          <w:bCs/>
        </w:rPr>
        <w:t>3GL 组件（必须用代码实现、无法用屏幕/报表覆盖的复杂逻辑）：</w:t>
      </w: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5"/>
        <w:gridCol w:w="557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组件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权值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JWT 登录态 + 角色权限拦截中间件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10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消息推送 / 站内信实时分发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10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简历附件上传与解析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10</w:t>
            </w:r>
          </w:p>
        </w:tc>
      </w:tr>
    </w:tbl>
    <w:p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3GL 合计：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30</w:t>
      </w:r>
    </w:p>
    <w:p>
      <w:pPr>
        <w:bidi w:val="0"/>
        <w:rPr>
          <w:b/>
          <w:bCs/>
        </w:rPr>
      </w:pPr>
      <w:r>
        <w:rPr>
          <w:b/>
          <w:bCs/>
        </w:rPr>
        <w:t>步骤 2：计算 NAP（New Application Points）</w:t>
      </w:r>
    </w:p>
    <w:p>
      <w:pPr>
        <w:bidi w:val="0"/>
        <w:rPr>
          <w:rFonts w:hint="eastAsia"/>
        </w:rPr>
      </w:pPr>
      <w:r>
        <w:t>NAP = 39 + 37 + 30 = 106</w:t>
      </w:r>
    </w:p>
    <w:p>
      <w:pPr>
        <w:bidi w:val="0"/>
        <w:rPr>
          <w:b/>
          <w:bCs/>
        </w:rPr>
      </w:pPr>
      <w:r>
        <w:rPr>
          <w:b/>
          <w:bCs/>
        </w:rPr>
        <w:t>步骤 3：考虑代码复用率</w:t>
      </w:r>
    </w:p>
    <w:p>
      <w:pPr>
        <w:bidi w:val="0"/>
      </w:pPr>
      <w:r>
        <w:t>项目大量引入 Vue 3、Element Plus、Axios、Pinia、Vue Router、MySQL 驱动等成熟组件，业务外的基础设施基本都是复用。估计代码复用率约 35%：</w:t>
      </w:r>
    </w:p>
    <w:p>
      <w:pPr>
        <w:bidi w:val="0"/>
        <w:rPr>
          <w:b/>
          <w:bCs/>
        </w:rPr>
      </w:pPr>
      <w:r>
        <w:rPr>
          <w:b/>
          <w:bCs/>
        </w:rPr>
        <w:t>步骤 4：确定生产率 PROD（查教材表 3-12）</w:t>
      </w:r>
    </w:p>
    <w:p>
      <w:pPr>
        <w:bidi w:val="0"/>
      </w:pPr>
      <w:r>
        <w:t>团队是大三本科生，Python/Vue 都是半熟手，没有用过专业 CASE 工具（飞书/Git 不算），所以评定为 "低的经验和低的 CASE 成熟度"：</w:t>
      </w:r>
    </w:p>
    <w:p>
      <w:pPr>
        <w:bidi w:val="0"/>
        <w:rPr>
          <w:rFonts w:hint="eastAsia"/>
        </w:rPr>
      </w:pPr>
      <w:r>
        <w:t>PRO= 7</w:t>
      </w:r>
    </w:p>
    <w:p>
      <w:pPr>
        <w:bidi w:val="0"/>
        <w:rPr>
          <w:b/>
          <w:bCs/>
        </w:rPr>
      </w:pPr>
      <w:r>
        <w:rPr>
          <w:b/>
          <w:bCs/>
        </w:rPr>
        <w:t xml:space="preserve">步骤 </w:t>
      </w:r>
      <w:r>
        <w:rPr>
          <w:rFonts w:hint="eastAsia"/>
          <w:b/>
          <w:bCs/>
        </w:rPr>
        <w:t>5</w:t>
      </w:r>
      <w:r>
        <w:rPr>
          <w:b/>
          <w:bCs/>
        </w:rPr>
        <w:t>：用 COCOMO II 早期设计模型做二次验证（教材表 3-16）</w:t>
      </w:r>
    </w:p>
    <w:p>
      <w:pPr>
        <w:bidi w:val="0"/>
      </w:pPr>
      <w:r>
        <w:t>给五个规模因子打分（等级越高分数越低）：</w:t>
      </w: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1"/>
        <w:gridCol w:w="780"/>
        <w:gridCol w:w="542"/>
        <w:gridCol w:w="3435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比例因子</w:t>
            </w:r>
          </w:p>
        </w:tc>
        <w:tc>
          <w:tcPr>
            <w:tcW w:w="0" w:type="auto"/>
            <w:vAlign w:val="center"/>
          </w:tcPr>
          <w:p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评级</w:t>
            </w:r>
          </w:p>
        </w:tc>
        <w:tc>
          <w:tcPr>
            <w:tcW w:w="0" w:type="auto"/>
            <w:vAlign w:val="center"/>
          </w:tcPr>
          <w:p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分值</w:t>
            </w:r>
          </w:p>
        </w:tc>
        <w:tc>
          <w:tcPr>
            <w:tcW w:w="0" w:type="auto"/>
            <w:vAlign w:val="center"/>
          </w:tcPr>
          <w:p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依据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先例性 PREC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低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4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团队首次做完整招聘系统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灵活性 FLEX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高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2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课程作业约束宽松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去除重大风险 RESL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低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4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学生团队缺乏风险评估经验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团队交互过程 TEAM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一般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3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同班同学配合顺畅但无磨合历史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过程成熟度 PMAT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非常低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5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没有正式的过程定义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合计 ΣSF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18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</w:p>
        </w:tc>
      </w:tr>
    </w:tbl>
    <w:p>
      <w:pPr>
        <w:bidi w:val="0"/>
        <w:rPr>
          <w:rFonts w:hint="eastAsia"/>
        </w:rPr>
      </w:pPr>
      <w:r>
        <w:t>E = 0.91 + 0.01 \times 18 = 1.09</w:t>
      </w:r>
    </w:p>
    <w:p>
      <w:pPr>
        <w:bidi w:val="0"/>
        <w:rPr>
          <w:rFonts w:hint="eastAsia"/>
        </w:rPr>
      </w:pPr>
      <w:r>
        <w:t>若按 Vue 前端 ≈ 6 KLOC + Python 后端 ≈ 4 KLOC 估计，Size ≈ 10 KLOC（扣除注释、空行、配置），再考虑成本驱动因子综合调整系数 ≈ 0.</w:t>
      </w:r>
      <w:r>
        <w:rPr>
          <w:rFonts w:hint="eastAsia"/>
        </w:rPr>
        <w:t>8</w:t>
      </w:r>
    </w:p>
    <w:p>
      <w:pPr>
        <w:bidi w:val="0"/>
      </w:pPr>
      <w:r>
        <w:t>两种方法结果差异较大（应用点法给出 10 人月，COCOMO 后体系结构模型给出 29 人月），这在教材里是预料之中的——初始阶段只能用应用点法做粗估，后体系结构模型是在详细设计完成后才精确使用的。</w:t>
      </w:r>
    </w:p>
    <w:p>
      <w:pPr>
        <w:bidi w:val="0"/>
      </w:pPr>
      <w:r>
        <w:t xml:space="preserve">步骤 </w:t>
      </w:r>
      <w:r>
        <w:rPr>
          <w:rFonts w:hint="eastAsia"/>
        </w:rPr>
        <w:t>6</w:t>
      </w:r>
      <w:r>
        <w:t>：最终工作量结论</w:t>
      </w:r>
    </w:p>
    <w:p>
      <w:pPr>
        <w:bidi w:val="0"/>
      </w:pPr>
      <w:r>
        <w:t>结合两种估算取折衷值，并对照你们可行性报告中"8–10 周、4–5 人"的约束倒推：</w:t>
      </w:r>
    </w:p>
    <w:p>
      <w:pPr>
        <w:bidi w:val="0"/>
      </w:pPr>
      <w:r>
        <w:t>项目初始工作量估算为 约 10 人月，对应 4 人团队在 2.5 个月内完成，或 5 人团队在 2 个月内完成。核心功能开发集中在第 3–7 周，第 1–2 周做需求冻结与设计，第 8–10 周做集成测试与答辩准备。这一估算与可行性报告中的 8–10 周开发周期基本吻合。</w:t>
      </w:r>
    </w:p>
    <w:p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6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第二部分：风险管理</w:t>
      </w:r>
    </w:p>
    <w:p>
      <w:pPr>
        <w:pStyle w:val="3"/>
        <w:bidi w:val="0"/>
      </w:pPr>
      <w:r>
        <w:t>2.1 习题 11 参考解答</w:t>
      </w:r>
    </w:p>
    <w:p>
      <w:pPr>
        <w:bidi w:val="0"/>
        <w:rPr>
          <w:b/>
          <w:bCs/>
        </w:rPr>
      </w:pPr>
      <w:r>
        <w:rPr>
          <w:b/>
          <w:bCs/>
        </w:rPr>
        <w:t>题目问三件事：学生项目有哪些风险？风险暴露是什么？用什么技术减轻？</w:t>
      </w:r>
    </w:p>
    <w:p>
      <w:pPr>
        <w:bidi w:val="0"/>
        <w:rPr>
          <w:b w:val="0"/>
          <w:bCs w:val="0"/>
        </w:rPr>
      </w:pPr>
      <w:r>
        <w:rPr>
          <w:b w:val="0"/>
          <w:bCs w:val="0"/>
        </w:rPr>
        <w:t>风险暴露（Risk Exposure） 是风险管理学里的一个量化概念</w:t>
      </w:r>
      <w:r>
        <w:rPr>
          <w:rFonts w:hint="eastAsia"/>
          <w:b w:val="0"/>
          <w:bCs w:val="0"/>
        </w:rPr>
        <w:t>，</w:t>
      </w:r>
      <w:r>
        <w:rPr>
          <w:b w:val="0"/>
          <w:bCs w:val="0"/>
        </w:rPr>
        <w:t>其中 P 是不满意结果发生的概率，L 是一旦发生造成的损失。RE 表示"风险的期望损失值"。例如：某风险发生概率 40%、一旦发生损失 50 人日，则 RE = 0.4 × 50 = 20 人日。项目管理中会按 RE 大小排序处理风险。</w:t>
      </w:r>
    </w:p>
    <w:p>
      <w:pPr>
        <w:pStyle w:val="3"/>
        <w:bidi w:val="0"/>
      </w:pPr>
      <w:r>
        <w:t>2.2 人才招聘系统风险清单（细化）</w:t>
      </w:r>
    </w:p>
    <w:p>
      <w:pPr>
        <w:bidi w:val="0"/>
      </w:pPr>
      <w:r>
        <w:t>在可行性报告已有的三级风险框架基础上，把它扩展成 12 条并量化 RE。概率 P 取 0.1–0.9，损失 L 用"预计拖延人日"表示。</w:t>
      </w:r>
    </w:p>
    <w:tbl>
      <w:tblPr>
        <w:tblStyle w:val="1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"/>
        <w:gridCol w:w="507"/>
        <w:gridCol w:w="5022"/>
        <w:gridCol w:w="440"/>
        <w:gridCol w:w="909"/>
        <w:gridCol w:w="560"/>
        <w:gridCol w:w="5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类别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风险描述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L (人日)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RE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需求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需求冻结后老师/助教评审提出结构性修改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12.5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需求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三类用户权限边界模糊导致反复返工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0.6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9.0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R3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技术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前后端接口契约不统一导致联调故障爆发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0.7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8.4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R4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技术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团队对 Vue 3 Composition API / Python 异步框架不熟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0.6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6.0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R5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技术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简历富文本编辑器 / 文件上传踩组件坑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R6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进度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期中考试 / 其他课程 DDL 挤占开发时间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8.0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R7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进度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设计阶段文档耗时超预算，挤占编码与测试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6.0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R8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质量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测试覆盖不足，答辩时现场出现崩溃 bug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R9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人员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组员分工不均 / 能力差距大导致关键模块卡壳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4.8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R10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人员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组员生病、请假或任务交接断档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R11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集成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Git 冲突频繁、误覆盖代码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R12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部署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MySQL 版本/编码/服务器环境差异导致演示失败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低</w:t>
            </w:r>
          </w:p>
        </w:tc>
      </w:tr>
    </w:tbl>
    <w:p>
      <w:pPr>
        <w:pStyle w:val="3"/>
        <w:bidi w:val="0"/>
      </w:pPr>
      <w:r>
        <w:t>2.3 风险分级与处置门槛</w:t>
      </w:r>
    </w:p>
    <w:p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按 RE 划三档，每档的处理策略不同：</w:t>
      </w:r>
    </w:p>
    <w:p>
      <w:pPr>
        <w:bidi w:val="0"/>
        <w:rPr>
          <w:b/>
          <w:bCs/>
        </w:rPr>
      </w:pPr>
      <w:r>
        <w:rPr>
          <w:b/>
          <w:bCs/>
        </w:rPr>
        <w:t>高风险（RE ≥ 8.0）：R1、R2、R3、R6</w:t>
      </w:r>
    </w:p>
    <w:p>
      <w:pPr>
        <w:bidi w:val="0"/>
      </w:pPr>
      <w:r>
        <w:t>必须写入项目风险登记册，指定 风险负责人；</w:t>
      </w:r>
    </w:p>
    <w:p>
      <w:pPr>
        <w:bidi w:val="0"/>
      </w:pPr>
      <w:r>
        <w:t>每周站会单独汇报一次状态变化；</w:t>
      </w:r>
    </w:p>
    <w:p>
      <w:pPr>
        <w:bidi w:val="0"/>
      </w:pPr>
      <w:r>
        <w:t>每条高风险必须配套完整的 RMMM 三件套（缓解—监控—管理）。</w:t>
      </w:r>
    </w:p>
    <w:p>
      <w:pPr>
        <w:bidi w:val="0"/>
        <w:rPr>
          <w:b/>
          <w:bCs/>
        </w:rPr>
      </w:pPr>
      <w:r>
        <w:rPr>
          <w:b/>
          <w:bCs/>
        </w:rPr>
        <w:t>中风险（4.0 ≤ RE &lt; 8.0）：R4、R5、R7、R8、R9</w:t>
      </w:r>
    </w:p>
    <w:p>
      <w:pPr>
        <w:bidi w:val="0"/>
      </w:pPr>
      <w:r>
        <w:t>登记在案，由对应模块负责人跟踪；</w:t>
      </w:r>
    </w:p>
    <w:p>
      <w:pPr>
        <w:bidi w:val="0"/>
      </w:pPr>
      <w:r>
        <w:t>每两周评审一次；</w:t>
      </w:r>
    </w:p>
    <w:p>
      <w:pPr>
        <w:bidi w:val="0"/>
      </w:pPr>
      <w:r>
        <w:t>若连续两周状态恶化则升级为高风险。</w:t>
      </w:r>
    </w:p>
    <w:p>
      <w:pPr>
        <w:bidi w:val="0"/>
        <w:rPr>
          <w:b/>
          <w:bCs/>
        </w:rPr>
      </w:pPr>
      <w:r>
        <w:rPr>
          <w:b/>
          <w:bCs/>
        </w:rPr>
        <w:t>低风险（RE &lt; 4.0）：R10、R11、R12</w:t>
      </w:r>
    </w:p>
    <w:p>
      <w:pPr>
        <w:bidi w:val="0"/>
      </w:pPr>
      <w:r>
        <w:t>仅保留一份检查清单；</w:t>
      </w:r>
    </w:p>
    <w:p>
      <w:pPr>
        <w:bidi w:val="0"/>
      </w:pPr>
      <w:r>
        <w:t>月度回顾时检查；</w:t>
      </w:r>
    </w:p>
    <w:p>
      <w:pPr>
        <w:bidi w:val="0"/>
      </w:pPr>
      <w:r>
        <w:t>发生后立即响应，不预留专门资源。</w:t>
      </w:r>
    </w:p>
    <w:p>
      <w:pPr>
        <w:pStyle w:val="3"/>
        <w:bidi w:val="0"/>
      </w:pPr>
      <w:r>
        <w:t>2.4 高风险应对预案（RMMM：Mitigation / Monitoring / Management）</w:t>
      </w:r>
    </w:p>
    <w:p>
      <w:pPr>
        <w:bidi w:val="0"/>
      </w:pPr>
      <w:r>
        <w:t>给出四条高风险的完整三件套，可以直接贴进实验报告。</w:t>
      </w:r>
    </w:p>
    <w:p>
      <w:pPr>
        <w:pStyle w:val="3"/>
        <w:bidi w:val="0"/>
      </w:pPr>
      <w:r>
        <w:t>R1 —— 需求结构性变更</w:t>
      </w:r>
    </w:p>
    <w:p>
      <w:pPr>
        <w:numPr>
          <w:ilvl w:val="0"/>
          <w:numId w:val="1"/>
        </w:numPr>
        <w:bidi w:val="0"/>
      </w:pPr>
      <w:r>
        <w:t>Mitigation 缓解：第 2 周末举行一次 SRS 评审会，主动邀请助教审阅；产出《需求规格说明书 v1.0》后全体签字冻结；同时建立《需求变更申请单》模板，任何变更必须走变更控制委员会（CCB = 项目经理 + 技术负责人 + 需求提出人）三方评审。</w:t>
      </w:r>
    </w:p>
    <w:p>
      <w:pPr>
        <w:numPr>
          <w:ilvl w:val="0"/>
          <w:numId w:val="1"/>
        </w:numPr>
        <w:bidi w:val="0"/>
      </w:pPr>
      <w:r>
        <w:t>Monitoring 监控：每周例会最后一项固定议题——"本周有无需求变更提案"；所有变更提案必须在 GitHub Issue 区用 requirement-change 标签公开登记。</w:t>
      </w:r>
    </w:p>
    <w:p>
      <w:pPr>
        <w:numPr>
          <w:ilvl w:val="0"/>
          <w:numId w:val="1"/>
        </w:numPr>
        <w:bidi w:val="0"/>
      </w:pPr>
      <w:r>
        <w:t>Management 应对：若出现结构性变更，立即重新评估工作量并启动"保核心弃外围"策略，按 SRS 第 3.19 节"优先次序和关键程度"分级，从末尾优先级开始砍，保证核心业务闭环不被打断。</w:t>
      </w:r>
    </w:p>
    <w:p>
      <w:pPr>
        <w:pStyle w:val="3"/>
        <w:bidi w:val="0"/>
      </w:pPr>
      <w:r>
        <w:t>R2 —— 三类用户权限边界模糊</w:t>
      </w:r>
    </w:p>
    <w:p>
      <w:pPr>
        <w:numPr>
          <w:ilvl w:val="0"/>
          <w:numId w:val="2"/>
        </w:numPr>
        <w:bidi w:val="0"/>
      </w:pPr>
      <w:r>
        <w:t>Mitigation：在 SDD 里画出完整的 RBAC 权限矩阵（行：个人用户 / 企业用户 / 管理员；列：各功能点；格：允许 / 禁止 / 仅本人可见）；在后端用统一的权限拦截器实现，禁止在 Controller 里零散 if user.role == 'x'。</w:t>
      </w:r>
    </w:p>
    <w:p>
      <w:pPr>
        <w:numPr>
          <w:ilvl w:val="0"/>
          <w:numId w:val="2"/>
        </w:numPr>
        <w:bidi w:val="0"/>
      </w:pPr>
      <w:r>
        <w:t>Monitoring：写一份自动化权限测试脚本（pytest + requests），每次 CI 跑一遍；对每个受保护接口至少覆盖 3 条用例（正确角色、错误角色、未登录）。</w:t>
      </w:r>
    </w:p>
    <w:p>
      <w:pPr>
        <w:numPr>
          <w:ilvl w:val="0"/>
          <w:numId w:val="2"/>
        </w:numPr>
        <w:bidi w:val="0"/>
      </w:pPr>
      <w:r>
        <w:t>Management：若权限体系发现逻辑漏洞，暂停新功能开发 2 天，由后端负责人 + 一名组员结对重构权限层。</w:t>
      </w:r>
    </w:p>
    <w:p>
      <w:pPr>
        <w:pStyle w:val="3"/>
        <w:bidi w:val="0"/>
      </w:pPr>
      <w:r>
        <w:t>R3 —— 前后端接口脱节</w:t>
      </w:r>
    </w:p>
    <w:p>
      <w:pPr>
        <w:numPr>
          <w:ilvl w:val="0"/>
          <w:numId w:val="3"/>
        </w:numPr>
        <w:bidi w:val="0"/>
      </w:pPr>
      <w:r>
        <w:t>Mitigation：第 3 周前产出 OpenAPI 3.0 规范文档（docs/api.yaml），用 Swagger UI 渲染；后端用 FastAPI 或 Flask-Smorest 由代码反向生成文档，保证文档与实现同步；前端开发阶段基于 Mock Service Worker 打桩数据进行开发。</w:t>
      </w:r>
    </w:p>
    <w:p>
      <w:pPr>
        <w:numPr>
          <w:ilvl w:val="0"/>
          <w:numId w:val="3"/>
        </w:numPr>
        <w:bidi w:val="0"/>
      </w:pPr>
      <w:r>
        <w:t>Monitoring：每次后端接口 PR 必须同步更新 api.yaml，CI 跑 Spectral 做规范 lint；每周五下午 1 小时"集成小时"，前后端当场对 3–5 个接口做联调烟雾测试。</w:t>
      </w:r>
    </w:p>
    <w:p>
      <w:pPr>
        <w:numPr>
          <w:ilvl w:val="0"/>
          <w:numId w:val="3"/>
        </w:numPr>
        <w:bidi w:val="0"/>
      </w:pPr>
      <w:r>
        <w:t>Management：若联调时发现接口不匹配，以接口文档为准双方同时修改；严禁"谁声大听谁的"。建立《接口异常登记表》跟踪每次不一致的根因。</w:t>
      </w:r>
    </w:p>
    <w:p>
      <w:pPr>
        <w:pStyle w:val="3"/>
        <w:numPr>
          <w:ilvl w:val="0"/>
          <w:numId w:val="3"/>
        </w:numPr>
        <w:bidi w:val="0"/>
      </w:pPr>
      <w:r>
        <w:t>R6 —— 课业冲突挤占开发时间</w:t>
      </w:r>
    </w:p>
    <w:p>
      <w:pPr>
        <w:numPr>
          <w:ilvl w:val="0"/>
          <w:numId w:val="3"/>
        </w:numPr>
        <w:bidi w:val="0"/>
      </w:pPr>
      <w:r>
        <w:t>Mitigation：学期初把全组成员的期中考试、其他课程大作业 DDL 排到同一张 Gantt 图（飞书文档共享），确保无人成为关键路径上的瓶颈；核心功能开发前置到第 3–6 周，第 7–8 周预留作为缓冲。</w:t>
      </w:r>
    </w:p>
    <w:p>
      <w:pPr>
        <w:numPr>
          <w:ilvl w:val="0"/>
          <w:numId w:val="3"/>
        </w:numPr>
        <w:bidi w:val="0"/>
      </w:pPr>
      <w:r>
        <w:t>Monitoring：使用 GitHub Projects 的燃尽图，每周末更新；连续两周实际完成 &lt; 计划 70% 则触发预警。</w:t>
      </w:r>
    </w:p>
    <w:p>
      <w:pPr>
        <w:numPr>
          <w:ilvl w:val="0"/>
          <w:numId w:val="3"/>
        </w:numPr>
        <w:bidi w:val="0"/>
      </w:pPr>
      <w:r>
        <w:t>Management：触发预警时由 PM 立即重排计划：优先砍掉 P3 级功能（非核心展示类功能），其次考虑延长单次站会时间集中攻坚；必要时与指导老师沟通调整验收范围。</w:t>
      </w:r>
    </w:p>
    <w:p>
      <w:pPr>
        <w:widowControl/>
        <w:spacing w:after="0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7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bidi w:val="0"/>
      </w:pPr>
      <w:r>
        <w:t>第三部分：项目跟踪表模板</w:t>
      </w:r>
    </w:p>
    <w:p>
      <w:pPr>
        <w:pStyle w:val="3"/>
        <w:bidi w:val="0"/>
      </w:pPr>
      <w:r>
        <w:t>里程碑跟踪表：</w:t>
      </w:r>
    </w:p>
    <w:tbl>
      <w:tblPr>
        <w:tblStyle w:val="14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3"/>
        <w:gridCol w:w="1026"/>
        <w:gridCol w:w="1022"/>
        <w:gridCol w:w="1135"/>
        <w:gridCol w:w="31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里程碑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计划日期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实际日期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状态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关键交付物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M1 可行性分析通过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W1 末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W1 末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Apple Color Emoji" w:hAnsi="Apple Color Emoji" w:eastAsia="宋体" w:cs="Apple Color Emoji"/>
                <w:kern w:val="0"/>
                <w:sz w:val="24"/>
                <w14:ligatures w14:val="none"/>
              </w:rPr>
              <w:t>✅</w:t>
            </w: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 xml:space="preserve"> 已完成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FAR.docx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M2 SRS 冻结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W3 末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Apple Color Emoji" w:hAnsi="Apple Color Emoji" w:eastAsia="宋体" w:cs="Apple Color Emoji"/>
                <w:kern w:val="0"/>
                <w:sz w:val="24"/>
                <w14:ligatures w14:val="none"/>
              </w:rPr>
              <w:t>🟡</w:t>
            </w: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 xml:space="preserve"> 进行中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SRS.docx + 接口文档 v0.9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M3 架构评审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W4 末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Apple Color Emoji" w:hAnsi="Apple Color Emoji" w:eastAsia="宋体" w:cs="Apple Color Emoji"/>
                <w:kern w:val="0"/>
                <w:sz w:val="24"/>
                <w14:ligatures w14:val="none"/>
              </w:rPr>
              <w:t>⚪</w:t>
            </w: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 xml:space="preserve"> 未开始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SDD.docx + 数据库 ER 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M4 MVP 可演示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W7 末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Apple Color Emoji" w:hAnsi="Apple Color Emoji" w:eastAsia="宋体" w:cs="Apple Color Emoji"/>
                <w:kern w:val="0"/>
                <w:sz w:val="24"/>
                <w14:ligatures w14:val="none"/>
              </w:rPr>
              <w:t>⚪</w:t>
            </w: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 xml:space="preserve"> 未开始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三端可登录、可完成投递闭环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M5 答辩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W10 末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Apple Color Emoji" w:hAnsi="Apple Color Emoji" w:eastAsia="宋体" w:cs="Apple Color Emoji"/>
                <w:kern w:val="0"/>
                <w:sz w:val="24"/>
                <w14:ligatures w14:val="none"/>
              </w:rPr>
              <w:t>⚪</w:t>
            </w: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 xml:space="preserve"> 未开始</w:t>
            </w:r>
          </w:p>
        </w:tc>
        <w:tc>
          <w:tcPr>
            <w:tcW w:w="0" w:type="auto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完整系统 + 测试报告 + PPT</w:t>
            </w:r>
          </w:p>
        </w:tc>
      </w:tr>
    </w:tbl>
    <w:p>
      <w:pPr>
        <w:bidi w:val="0"/>
      </w:pPr>
      <w:r>
        <w:t>个人工作量周报表：</w:t>
      </w: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42"/>
        <w:gridCol w:w="1161"/>
        <w:gridCol w:w="1161"/>
        <w:gridCol w:w="841"/>
        <w:gridCol w:w="783"/>
        <w:gridCol w:w="1896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周次</w:t>
            </w:r>
          </w:p>
        </w:tc>
        <w:tc>
          <w:tcPr>
            <w:tcW w:w="0" w:type="auto"/>
            <w:vAlign w:val="center"/>
          </w:tcPr>
          <w:p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成员</w:t>
            </w:r>
          </w:p>
        </w:tc>
        <w:tc>
          <w:tcPr>
            <w:tcW w:w="0" w:type="auto"/>
            <w:vAlign w:val="center"/>
          </w:tcPr>
          <w:p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计划任务</w:t>
            </w:r>
          </w:p>
        </w:tc>
        <w:tc>
          <w:tcPr>
            <w:tcW w:w="0" w:type="auto"/>
            <w:vAlign w:val="center"/>
          </w:tcPr>
          <w:p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实际完成</w:t>
            </w:r>
          </w:p>
        </w:tc>
        <w:tc>
          <w:tcPr>
            <w:tcW w:w="0" w:type="auto"/>
            <w:vAlign w:val="center"/>
          </w:tcPr>
          <w:p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工时(h)</w:t>
            </w:r>
          </w:p>
        </w:tc>
        <w:tc>
          <w:tcPr>
            <w:tcW w:w="0" w:type="auto"/>
            <w:vAlign w:val="center"/>
          </w:tcPr>
          <w:p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完成度</w:t>
            </w:r>
          </w:p>
        </w:tc>
        <w:tc>
          <w:tcPr>
            <w:tcW w:w="0" w:type="auto"/>
            <w:vAlign w:val="center"/>
          </w:tcPr>
          <w:p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风险登记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bidi w:val="0"/>
            </w:pPr>
            <w:r>
              <w:t>Wx</w:t>
            </w:r>
          </w:p>
        </w:tc>
        <w:tc>
          <w:tcPr>
            <w:tcW w:w="0" w:type="auto"/>
            <w:vAlign w:val="center"/>
          </w:tcPr>
          <w:p>
            <w:pPr>
              <w:bidi w:val="0"/>
              <w:rPr>
                <w:rFonts w:hint="eastAsia"/>
              </w:rPr>
            </w:pPr>
            <w:r>
              <w:t>X</w:t>
            </w:r>
            <w:r>
              <w:rPr>
                <w:rFonts w:hint="eastAsia"/>
              </w:rPr>
              <w:t>xx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[具体任务]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[完成情况]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%</w:t>
            </w:r>
          </w:p>
        </w:tc>
        <w:tc>
          <w:tcPr>
            <w:tcW w:w="0" w:type="auto"/>
            <w:vAlign w:val="center"/>
          </w:tcPr>
          <w:p>
            <w:pPr>
              <w:bidi w:val="0"/>
            </w:pPr>
            <w:r>
              <w:t>[触发了哪条风险]</w:t>
            </w:r>
          </w:p>
        </w:tc>
      </w:tr>
    </w:tbl>
    <w:p>
      <w:pPr>
        <w:bidi w:val="0"/>
      </w:pPr>
      <w:r>
        <w:pict>
          <v:rect id="_x0000_i1028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Apple Color Emoji">
    <w:altName w:val="Segoe Print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A5792F"/>
    <w:multiLevelType w:val="multilevel"/>
    <w:tmpl w:val="1DA579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2E65865"/>
    <w:multiLevelType w:val="multilevel"/>
    <w:tmpl w:val="32E658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0504DDA"/>
    <w:multiLevelType w:val="multilevel"/>
    <w:tmpl w:val="50504D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NhYzYzNWY2NWM0NWY1ZDUxNmJhNzkxY2JiOWRmNGUifQ=="/>
  </w:docVars>
  <w:rsids>
    <w:rsidRoot w:val="00AC1653"/>
    <w:rsid w:val="007D7C82"/>
    <w:rsid w:val="00AC1653"/>
    <w:rsid w:val="00F74490"/>
    <w:rsid w:val="0CE8253A"/>
    <w:rsid w:val="16CC7C25"/>
    <w:rsid w:val="40EC6CAC"/>
    <w:rsid w:val="4163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after="160" w:line="278" w:lineRule="auto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eastAsia="黑体" w:asciiTheme="majorAscii" w:hAnsiTheme="majorAscii" w:cstheme="majorBidi"/>
      <w:color w:val="000000" w:themeColor="text1"/>
      <w:sz w:val="44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inorEastAsia" w:cstheme="majorBidi"/>
      <w:b/>
      <w:color w:val="000000" w:themeColor="text1"/>
      <w:sz w:val="30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1"/>
    <w:autoRedefine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autoRedefine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autoRedefine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autoRedefine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8"/>
    <w:autoRedefine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autoRedefine/>
    <w:qFormat/>
    <w:uiPriority w:val="22"/>
    <w:rPr>
      <w:b/>
      <w:bCs/>
    </w:rPr>
  </w:style>
  <w:style w:type="character" w:styleId="17">
    <w:name w:val="Emphasis"/>
    <w:basedOn w:val="15"/>
    <w:autoRedefine/>
    <w:qFormat/>
    <w:uiPriority w:val="20"/>
    <w:rPr>
      <w:i/>
      <w:iCs/>
    </w:rPr>
  </w:style>
  <w:style w:type="character" w:styleId="18">
    <w:name w:val="HTML Code"/>
    <w:basedOn w:val="15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标题 1 字符"/>
    <w:basedOn w:val="15"/>
    <w:link w:val="2"/>
    <w:autoRedefine/>
    <w:qFormat/>
    <w:uiPriority w:val="9"/>
    <w:rPr>
      <w:rFonts w:eastAsia="黑体" w:asciiTheme="majorAscii" w:hAnsiTheme="majorAscii" w:cstheme="majorBidi"/>
      <w:color w:val="000000" w:themeColor="text1"/>
      <w:sz w:val="44"/>
      <w:szCs w:val="44"/>
      <w14:textFill>
        <w14:solidFill>
          <w14:schemeClr w14:val="tx1"/>
        </w14:solidFill>
      </w14:textFill>
    </w:rPr>
  </w:style>
  <w:style w:type="character" w:customStyle="1" w:styleId="20">
    <w:name w:val="标题 2 字符"/>
    <w:basedOn w:val="15"/>
    <w:link w:val="3"/>
    <w:autoRedefine/>
    <w:qFormat/>
    <w:uiPriority w:val="9"/>
    <w:rPr>
      <w:rFonts w:asciiTheme="majorAscii" w:hAnsiTheme="majorAscii" w:eastAsiaTheme="minorEastAsia" w:cstheme="majorBidi"/>
      <w:b/>
      <w:color w:val="000000" w:themeColor="text1"/>
      <w:sz w:val="30"/>
      <w:szCs w:val="32"/>
      <w14:textFill>
        <w14:solidFill>
          <w14:schemeClr w14:val="tx1"/>
        </w14:solidFill>
      </w14:textFill>
    </w:rPr>
  </w:style>
  <w:style w:type="character" w:customStyle="1" w:styleId="21">
    <w:name w:val="标题 3 字符"/>
    <w:basedOn w:val="15"/>
    <w:link w:val="4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5"/>
    <w:link w:val="5"/>
    <w:autoRedefine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5"/>
    <w:link w:val="6"/>
    <w:autoRedefine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5"/>
    <w:link w:val="7"/>
    <w:autoRedefine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5"/>
    <w:link w:val="8"/>
    <w:autoRedefine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5"/>
    <w:link w:val="9"/>
    <w:autoRedefine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5"/>
    <w:link w:val="10"/>
    <w:autoRedefine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5"/>
    <w:link w:val="13"/>
    <w:autoRedefine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5"/>
    <w:link w:val="11"/>
    <w:autoRedefine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autoRedefine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5"/>
    <w:link w:val="30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33">
    <w:name w:val="Intense Emphasis"/>
    <w:basedOn w:val="15"/>
    <w:autoRedefine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autoRedefine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5"/>
    <w:link w:val="34"/>
    <w:autoRedefine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5"/>
    <w:autoRedefine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864</Words>
  <Characters>4926</Characters>
  <Lines>41</Lines>
  <Paragraphs>11</Paragraphs>
  <TotalTime>12</TotalTime>
  <ScaleCrop>false</ScaleCrop>
  <LinksUpToDate>false</LinksUpToDate>
  <CharactersWithSpaces>5779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2026-04-17T02:22:00Z</dcterms:created>
  <dc:creator>e57656</dc:creator>
  <cp:lastModifiedBy>唐国智</cp:lastModifiedBy>
  <dcterms:modified xsi:type="dcterms:W3CDTF">2026-04-17T02:40:19Z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580C314FD9A24CA98B3F21527A63D3D1_12</vt:lpwstr>
  </property>
</Properties>
</file>