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7130" w:rsidRPr="007905E7" w:rsidRDefault="00047130" w:rsidP="007905E7">
      <w:pPr>
        <w:pStyle w:val="Heading1"/>
      </w:pPr>
      <w:r>
        <w:t>Baker Hughes is working towards net zero at scale</w:t>
      </w:r>
    </w:p>
    <w:p w:rsidR="00047130" w:rsidRDefault="00047130" w:rsidP="00C32B16">
      <w:r>
        <w:t>Learn more about how energy tech company Baker Hughes is working towards net zero at scale.</w:t>
      </w:r>
    </w:p>
    <w:p w:rsidR="00047130" w:rsidRDefault="00047130" w:rsidP="00C32B16">
      <w:r w:rsidRPr="006A5437">
        <w:rPr>
          <w:sz w:val="16"/>
          <w:szCs w:val="16"/>
        </w:rPr>
        <w:t>https://www.pwc.com/us/en/library/case-studies/baker-hughes.html</w:t>
      </w:r>
      <w:r>
        <w:rPr>
          <w:sz w:val="16"/>
          <w:szCs w:val="16"/>
        </w:rPr>
        <w:t xml:space="preserve">  </w:t>
      </w:r>
      <w:r>
        <w:rPr>
          <w:noProof/>
        </w:rPr>
        <w:drawing>
          <wp:inline distT="0" distB="0" distL="0" distR="0" wp14:anchorId="3B74AECC" wp14:editId="7F4FF626">
            <wp:extent cx="112059" cy="112059"/>
            <wp:effectExtent l="0" t="0" r="2540" b="2540"/>
            <wp:docPr id="1" name="Logo">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 name="Logo">
                      <a:hlinkClick r:id="rId6"/>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Positioning your chief sustainability officer for success</w:t>
      </w:r>
    </w:p>
    <w:p w:rsidR="00047130" w:rsidRDefault="00047130" w:rsidP="00C32B16">
      <w:r>
        <w:t>Sustainability is becoming the defining paradigm for business. Is your leadership team ready?</w:t>
      </w:r>
    </w:p>
    <w:p w:rsidR="00047130" w:rsidRDefault="00047130" w:rsidP="00C32B16">
      <w:r w:rsidRPr="006A5437">
        <w:rPr>
          <w:sz w:val="16"/>
          <w:szCs w:val="16"/>
        </w:rPr>
        <w:t>https://www.pwc.com/us/en/services/esg/ghost/positioning-your-chief-sustainability-officer-for-success.html</w:t>
      </w:r>
      <w:r>
        <w:rPr>
          <w:sz w:val="16"/>
          <w:szCs w:val="16"/>
        </w:rPr>
        <w:t xml:space="preserve">  </w:t>
      </w:r>
      <w:r>
        <w:rPr>
          <w:noProof/>
        </w:rPr>
        <w:drawing>
          <wp:inline distT="0" distB="0" distL="0" distR="0" wp14:anchorId="3B74AECC" wp14:editId="7F4FF626">
            <wp:extent cx="112059" cy="112059"/>
            <wp:effectExtent l="0" t="0" r="2540" b="2540"/>
            <wp:docPr id="2" name="Logo">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Logo">
                      <a:hlinkClick r:id="rId8"/>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Time to get serious about the realities of climate risk</w:t>
      </w:r>
    </w:p>
    <w:p w:rsidR="00047130" w:rsidRDefault="00047130" w:rsidP="00C32B16">
      <w:r>
        <w:t>Climate risk assessment and a better understanding of what changing climate is, can help companies build a robust and effective climate agenda.</w:t>
      </w:r>
    </w:p>
    <w:p w:rsidR="00047130" w:rsidRDefault="00047130" w:rsidP="00C32B16">
      <w:r w:rsidRPr="006A5437">
        <w:rPr>
          <w:sz w:val="16"/>
          <w:szCs w:val="16"/>
        </w:rPr>
        <w:t>https://www.pwc.com/us/en/services/esg/ghost/risks-and-opportunities-of-climate-change-on-business.html</w:t>
      </w:r>
      <w:r>
        <w:rPr>
          <w:sz w:val="16"/>
          <w:szCs w:val="16"/>
        </w:rPr>
        <w:t xml:space="preserve">  </w:t>
      </w:r>
      <w:r>
        <w:rPr>
          <w:noProof/>
        </w:rPr>
        <w:drawing>
          <wp:inline distT="0" distB="0" distL="0" distR="0" wp14:anchorId="3B74AECC" wp14:editId="7F4FF626">
            <wp:extent cx="112059" cy="112059"/>
            <wp:effectExtent l="0" t="0" r="2540" b="2540"/>
            <wp:docPr id="3" name="Logo">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 name="Logo">
                      <a:hlinkClick r:id="rId9"/>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Paying for good for all</w:t>
      </w:r>
    </w:p>
    <w:p w:rsidR="00047130" w:rsidRDefault="00047130" w:rsidP="00C32B16">
      <w:r>
        <w:t>Global research on ESG and reward beyond the boardroom. In this report we outline findings and recommendations to help you do it well.</w:t>
      </w:r>
    </w:p>
    <w:p w:rsidR="00047130" w:rsidRDefault="00047130" w:rsidP="00C32B16">
      <w:r w:rsidRPr="006A5437">
        <w:rPr>
          <w:sz w:val="16"/>
          <w:szCs w:val="16"/>
        </w:rPr>
        <w:t>https://www.pwc.com/us/en/services/esg/ghost/rewarding-esg.html</w:t>
      </w:r>
      <w:r>
        <w:rPr>
          <w:sz w:val="16"/>
          <w:szCs w:val="16"/>
        </w:rPr>
        <w:t xml:space="preserve">  </w:t>
      </w:r>
      <w:r>
        <w:rPr>
          <w:noProof/>
        </w:rPr>
        <w:drawing>
          <wp:inline distT="0" distB="0" distL="0" distR="0" wp14:anchorId="3B74AECC" wp14:editId="7F4FF626">
            <wp:extent cx="112059" cy="112059"/>
            <wp:effectExtent l="0" t="0" r="2540" b="2540"/>
            <wp:docPr id="4" name="Logo">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 name="Logo">
                      <a:hlinkClick r:id="rId10"/>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SEC climate risk disclosures</w:t>
      </w:r>
    </w:p>
    <w:p w:rsidR="00047130" w:rsidRDefault="00047130" w:rsidP="00C32B16">
      <w:r>
        <w:t>What it means for companies and what business leaders should do next, according to Wes Bricker, Vice Chair – US Trust Solutions Co-Leader at PwC.</w:t>
      </w:r>
    </w:p>
    <w:p w:rsidR="00047130" w:rsidRDefault="00047130" w:rsidP="00C32B16">
      <w:r w:rsidRPr="006A5437">
        <w:rPr>
          <w:sz w:val="16"/>
          <w:szCs w:val="16"/>
        </w:rPr>
        <w:t>https://www.pwc.com/us/en/services/esg/ghost/sec-climate-risk-disclosures.html</w:t>
      </w:r>
      <w:r>
        <w:rPr>
          <w:sz w:val="16"/>
          <w:szCs w:val="16"/>
        </w:rPr>
        <w:t xml:space="preserve">  </w:t>
      </w:r>
      <w:r>
        <w:rPr>
          <w:noProof/>
        </w:rPr>
        <w:drawing>
          <wp:inline distT="0" distB="0" distL="0" distR="0" wp14:anchorId="3B74AECC" wp14:editId="7F4FF626">
            <wp:extent cx="112059" cy="112059"/>
            <wp:effectExtent l="0" t="0" r="2540" b="2540"/>
            <wp:docPr id="5" name="Logo">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 name="Logo">
                      <a:hlinkClick r:id="rId11"/>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Maximizing IPO value through ESG equity</w:t>
      </w:r>
    </w:p>
    <w:p w:rsidR="00047130" w:rsidRDefault="00047130" w:rsidP="00C32B16">
      <w:r>
        <w:t>In this new environment, executives need to communicate their company’s ESG performance and strategy in a coherent and transparent manner.</w:t>
      </w:r>
    </w:p>
    <w:p w:rsidR="00047130" w:rsidRDefault="00047130" w:rsidP="00C32B16">
      <w:r w:rsidRPr="006A5437">
        <w:rPr>
          <w:sz w:val="16"/>
          <w:szCs w:val="16"/>
        </w:rPr>
        <w:t>https://www.pwc.com/us/en/services/deals/blog/maximizing-ipo-value-through-esg-equity.html</w:t>
      </w:r>
      <w:r>
        <w:rPr>
          <w:sz w:val="16"/>
          <w:szCs w:val="16"/>
        </w:rPr>
        <w:t xml:space="preserve">  </w:t>
      </w:r>
      <w:r>
        <w:rPr>
          <w:noProof/>
        </w:rPr>
        <w:drawing>
          <wp:inline distT="0" distB="0" distL="0" distR="0" wp14:anchorId="3B74AECC" wp14:editId="7F4FF626">
            <wp:extent cx="112059" cy="112059"/>
            <wp:effectExtent l="0" t="0" r="2540" b="2540"/>
            <wp:docPr id="6" name="Logo">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2" name="Logo">
                      <a:hlinkClick r:id="rId12"/>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Workforce Architect</w:t>
      </w:r>
    </w:p>
    <w:p w:rsidR="00047130" w:rsidRDefault="00047130" w:rsidP="00C32B16">
      <w:r>
        <w:t>Workforce Architect connects HR actions to financial impact so you can evaluate business scenarios and make decisions that align with your long-term goals.</w:t>
      </w:r>
    </w:p>
    <w:p w:rsidR="00047130" w:rsidRDefault="00047130" w:rsidP="00C32B16">
      <w:r w:rsidRPr="006A5437">
        <w:rPr>
          <w:sz w:val="16"/>
          <w:szCs w:val="16"/>
        </w:rPr>
        <w:t>https://www.pwc.com/us/en/products/workforce-architect.html</w:t>
      </w:r>
      <w:r>
        <w:rPr>
          <w:sz w:val="16"/>
          <w:szCs w:val="16"/>
        </w:rPr>
        <w:t xml:space="preserve">  </w:t>
      </w:r>
      <w:r>
        <w:rPr>
          <w:noProof/>
        </w:rPr>
        <w:drawing>
          <wp:inline distT="0" distB="0" distL="0" distR="0" wp14:anchorId="3B74AECC" wp14:editId="7F4FF626">
            <wp:extent cx="112059" cy="112059"/>
            <wp:effectExtent l="0" t="0" r="2540" b="2540"/>
            <wp:docPr id="7" name="Logo">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 name="Logo">
                      <a:hlinkClick r:id="rId13"/>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lastRenderedPageBreak/>
        <w:t>The General Counsel’s role in ESG and the proposed SEC climate-related disclosure rules</w:t>
      </w:r>
    </w:p>
    <w:p w:rsidR="00047130" w:rsidRDefault="00047130" w:rsidP="00C32B16">
      <w:r>
        <w:t>General Counsels have a key role on the governance aspect of the company's Environmental, Social and Governance (ESG) strategy.</w:t>
      </w:r>
    </w:p>
    <w:p w:rsidR="00047130" w:rsidRDefault="00047130" w:rsidP="00C32B16">
      <w:r w:rsidRPr="006A5437">
        <w:rPr>
          <w:sz w:val="16"/>
          <w:szCs w:val="16"/>
        </w:rPr>
        <w:t>https://www.pwc.com/us/en/services/tax/library/general-counsel-esg-role-sec-climate-related-disclosure-rules.html</w:t>
      </w:r>
      <w:r>
        <w:rPr>
          <w:sz w:val="16"/>
          <w:szCs w:val="16"/>
        </w:rPr>
        <w:t xml:space="preserve">  </w:t>
      </w:r>
      <w:r>
        <w:rPr>
          <w:noProof/>
        </w:rPr>
        <w:drawing>
          <wp:inline distT="0" distB="0" distL="0" distR="0" wp14:anchorId="3B74AECC" wp14:editId="7F4FF626">
            <wp:extent cx="112059" cy="112059"/>
            <wp:effectExtent l="0" t="0" r="2540" b="2540"/>
            <wp:docPr id="8" name="Logo">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2" name="Logo">
                      <a:hlinkClick r:id="rId14"/>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Putting ESG in action starts with the G</w:t>
      </w:r>
    </w:p>
    <w:p w:rsidR="00047130" w:rsidRDefault="00047130" w:rsidP="00C32B16">
      <w:r>
        <w:t>Building trust in ESG will require boards to have robust processes and allocate the resources necessary to integrate ESG into strategy and oversight.</w:t>
      </w:r>
    </w:p>
    <w:p w:rsidR="00047130" w:rsidRDefault="00047130" w:rsidP="00C32B16">
      <w:r w:rsidRPr="006A5437">
        <w:rPr>
          <w:sz w:val="16"/>
          <w:szCs w:val="16"/>
        </w:rPr>
        <w:t>https://www.pwc.com/us/en/services/esg/ghost/esg-sec-cyber-environment-leadership-corporate-governance-investing-jamie-gamble.html</w:t>
      </w:r>
      <w:r>
        <w:rPr>
          <w:sz w:val="16"/>
          <w:szCs w:val="16"/>
        </w:rPr>
        <w:t xml:space="preserve">  </w:t>
      </w:r>
      <w:r>
        <w:rPr>
          <w:noProof/>
        </w:rPr>
        <w:drawing>
          <wp:inline distT="0" distB="0" distL="0" distR="0" wp14:anchorId="3B74AECC" wp14:editId="7F4FF626">
            <wp:extent cx="112059" cy="112059"/>
            <wp:effectExtent l="0" t="0" r="2540" b="2540"/>
            <wp:docPr id="9" name="Logo">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2" name="Logo">
                      <a:hlinkClick r:id="rId15"/>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Maximizing IPO value through ESG equity</w:t>
      </w:r>
    </w:p>
    <w:p w:rsidR="00047130" w:rsidRDefault="00047130" w:rsidP="00C32B16">
      <w:r>
        <w:t>In this new environment, executives need to communicate their company’s ESG performance and strategy in a coherent and transparent manner.</w:t>
      </w:r>
    </w:p>
    <w:p w:rsidR="00047130" w:rsidRDefault="00047130" w:rsidP="00C32B16">
      <w:r w:rsidRPr="006A5437">
        <w:rPr>
          <w:sz w:val="16"/>
          <w:szCs w:val="16"/>
        </w:rPr>
        <w:t>https://www.pwc.com/us/en/services/consulting/deals/library/maximizing-ipo-value-through-esg-equity.html</w:t>
      </w:r>
      <w:r>
        <w:rPr>
          <w:sz w:val="16"/>
          <w:szCs w:val="16"/>
        </w:rPr>
        <w:t xml:space="preserve">  </w:t>
      </w:r>
      <w:r>
        <w:rPr>
          <w:noProof/>
        </w:rPr>
        <w:drawing>
          <wp:inline distT="0" distB="0" distL="0" distR="0" wp14:anchorId="3B74AECC" wp14:editId="7F4FF626">
            <wp:extent cx="112059" cy="112059"/>
            <wp:effectExtent l="0" t="0" r="2540" b="2540"/>
            <wp:docPr id="10" name="Logo">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2" name="Logo">
                      <a:hlinkClick r:id="rId16"/>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Greening the tax system: The role of tax in building a green economy</w:t>
      </w:r>
    </w:p>
    <w:p w:rsidR="00047130" w:rsidRDefault="00047130" w:rsidP="00C32B16">
      <w:r>
        <w:t>The first in a series of blogs highlighting recent US developments related to ESG issues for tax professionals.</w:t>
      </w:r>
    </w:p>
    <w:p w:rsidR="00047130" w:rsidRDefault="00047130" w:rsidP="00C32B16">
      <w:r w:rsidRPr="006A5437">
        <w:rPr>
          <w:sz w:val="16"/>
          <w:szCs w:val="16"/>
        </w:rPr>
        <w:t>https://www.pwc.com/us/en/services/trust-solutions/private-company-services/business-perspectives/greening-the-tax-system.html</w:t>
      </w:r>
      <w:r>
        <w:rPr>
          <w:sz w:val="16"/>
          <w:szCs w:val="16"/>
        </w:rPr>
        <w:t xml:space="preserve">  </w:t>
      </w:r>
      <w:r>
        <w:rPr>
          <w:noProof/>
        </w:rPr>
        <w:drawing>
          <wp:inline distT="0" distB="0" distL="0" distR="0" wp14:anchorId="3B74AECC" wp14:editId="7F4FF626">
            <wp:extent cx="112059" cy="112059"/>
            <wp:effectExtent l="0" t="0" r="2540" b="2540"/>
            <wp:docPr id="11" name="Logo">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 name="Logo">
                      <a:hlinkClick r:id="rId17"/>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Purpose driven leadership: the evolving role of ESG metrics in executive compensation plans</w:t>
      </w:r>
    </w:p>
    <w:p w:rsidR="00047130" w:rsidRDefault="00047130" w:rsidP="00C32B16">
      <w:r>
        <w:t>What boards of directors need to know about this fast-growing trend</w:t>
      </w:r>
    </w:p>
    <w:p w:rsidR="00047130" w:rsidRDefault="00047130" w:rsidP="00C32B16">
      <w:r w:rsidRPr="006A5437">
        <w:rPr>
          <w:sz w:val="16"/>
          <w:szCs w:val="16"/>
        </w:rPr>
        <w:t>https://www.pwc.com/us/en/services/governance-insights-center/library/esg-metrics-compensation-plans.html</w:t>
      </w:r>
      <w:r>
        <w:rPr>
          <w:sz w:val="16"/>
          <w:szCs w:val="16"/>
        </w:rPr>
        <w:t xml:space="preserve">  </w:t>
      </w:r>
      <w:r>
        <w:rPr>
          <w:noProof/>
        </w:rPr>
        <w:drawing>
          <wp:inline distT="0" distB="0" distL="0" distR="0" wp14:anchorId="3B74AECC" wp14:editId="7F4FF626">
            <wp:extent cx="112059" cy="112059"/>
            <wp:effectExtent l="0" t="0" r="2540" b="2540"/>
            <wp:docPr id="12" name="Logo">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 name="Logo">
                      <a:hlinkClick r:id="rId18"/>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Women in Work Index 2022</w:t>
      </w:r>
    </w:p>
    <w:p w:rsidR="00047130" w:rsidRDefault="00047130" w:rsidP="00C32B16">
      <w:r>
        <w:t>Building an inclusive workplace in a net zero world.</w:t>
      </w:r>
    </w:p>
    <w:p w:rsidR="00047130" w:rsidRDefault="00047130" w:rsidP="00C32B16">
      <w:r w:rsidRPr="006A5437">
        <w:rPr>
          <w:sz w:val="16"/>
          <w:szCs w:val="16"/>
        </w:rPr>
        <w:t>https://www.pwc.com/us/en/services/esg/ghost/women-in-work-index.html</w:t>
      </w:r>
      <w:r>
        <w:rPr>
          <w:sz w:val="16"/>
          <w:szCs w:val="16"/>
        </w:rPr>
        <w:t xml:space="preserve">  </w:t>
      </w:r>
      <w:r>
        <w:rPr>
          <w:noProof/>
        </w:rPr>
        <w:drawing>
          <wp:inline distT="0" distB="0" distL="0" distR="0" wp14:anchorId="3B74AECC" wp14:editId="7F4FF626">
            <wp:extent cx="112059" cy="112059"/>
            <wp:effectExtent l="0" t="0" r="2540" b="2540"/>
            <wp:docPr id="13" name="Logo">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 name="Logo">
                      <a:hlinkClick r:id="rId19"/>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ESG isn’t just a responsibility. It’s a mindset.</w:t>
      </w:r>
    </w:p>
    <w:p w:rsidR="00047130" w:rsidRDefault="00047130" w:rsidP="00C32B16">
      <w:r>
        <w:t>Businesses today require real-world experience to hardcode ESG principles into growth strategy and operations.</w:t>
      </w:r>
    </w:p>
    <w:p w:rsidR="00047130" w:rsidRDefault="00047130" w:rsidP="00C32B16">
      <w:r w:rsidRPr="006A5437">
        <w:rPr>
          <w:sz w:val="16"/>
          <w:szCs w:val="16"/>
        </w:rPr>
        <w:lastRenderedPageBreak/>
        <w:t>https://www.pwc.com/us/en/the-new-equation/esg.html</w:t>
      </w:r>
      <w:r>
        <w:rPr>
          <w:sz w:val="16"/>
          <w:szCs w:val="16"/>
        </w:rPr>
        <w:t xml:space="preserve">  </w:t>
      </w:r>
      <w:r>
        <w:rPr>
          <w:noProof/>
        </w:rPr>
        <w:drawing>
          <wp:inline distT="0" distB="0" distL="0" distR="0" wp14:anchorId="3B74AECC" wp14:editId="7F4FF626">
            <wp:extent cx="112059" cy="112059"/>
            <wp:effectExtent l="0" t="0" r="2540" b="2540"/>
            <wp:docPr id="14" name="Logo">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2" name="Logo">
                      <a:hlinkClick r:id="rId20"/>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How CISOs and boards can prepare for the new era of cyber transparency</w:t>
      </w:r>
    </w:p>
    <w:p w:rsidR="00047130" w:rsidRDefault="00047130" w:rsidP="00C32B16">
      <w:r>
        <w:t>New SEC proposal for disclosures on cyber incidents, risk management and governance aim for more consistent and comparable reporting.</w:t>
      </w:r>
    </w:p>
    <w:p w:rsidR="00047130" w:rsidRDefault="00047130" w:rsidP="00C32B16">
      <w:r w:rsidRPr="006A5437">
        <w:rPr>
          <w:sz w:val="16"/>
          <w:szCs w:val="16"/>
        </w:rPr>
        <w:t>https://www.pwc.com/us/en/services/consulting/cybersecurity-risk-regulatory/library/sec-cyber-proposed-disclosure.html</w:t>
      </w:r>
      <w:r>
        <w:rPr>
          <w:sz w:val="16"/>
          <w:szCs w:val="16"/>
        </w:rPr>
        <w:t xml:space="preserve">  </w:t>
      </w:r>
      <w:r>
        <w:rPr>
          <w:noProof/>
        </w:rPr>
        <w:drawing>
          <wp:inline distT="0" distB="0" distL="0" distR="0" wp14:anchorId="3B74AECC" wp14:editId="7F4FF626">
            <wp:extent cx="112059" cy="112059"/>
            <wp:effectExtent l="0" t="0" r="2540" b="2540"/>
            <wp:docPr id="15" name="Logo">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2" name="Logo">
                      <a:hlinkClick r:id="rId21"/>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How boards can prepare for the SEC’s climate-related disclosures</w:t>
      </w:r>
    </w:p>
    <w:p w:rsidR="00047130" w:rsidRDefault="00047130" w:rsidP="00C32B16">
      <w:r>
        <w:t>We break down what boards need to know about the recently proposed climate-related disclosures and questions to ask.</w:t>
      </w:r>
    </w:p>
    <w:p w:rsidR="00047130" w:rsidRDefault="00047130" w:rsidP="00C32B16">
      <w:r w:rsidRPr="006A5437">
        <w:rPr>
          <w:sz w:val="16"/>
          <w:szCs w:val="16"/>
        </w:rPr>
        <w:t>https://www.pwc.com/us/en/services/governance-insights-center/library/boards-climate-related-transparency.html</w:t>
      </w:r>
      <w:r>
        <w:rPr>
          <w:sz w:val="16"/>
          <w:szCs w:val="16"/>
        </w:rPr>
        <w:t xml:space="preserve">  </w:t>
      </w:r>
      <w:r>
        <w:rPr>
          <w:noProof/>
        </w:rPr>
        <w:drawing>
          <wp:inline distT="0" distB="0" distL="0" distR="0" wp14:anchorId="3B74AECC" wp14:editId="7F4FF626">
            <wp:extent cx="112059" cy="112059"/>
            <wp:effectExtent l="0" t="0" r="2540" b="2540"/>
            <wp:docPr id="16" name="Logo">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2" name="Logo">
                      <a:hlinkClick r:id="rId22"/>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Next in consumer packaged goods: Creating value amid disruption in 2022 and beyond</w:t>
      </w:r>
    </w:p>
    <w:p w:rsidR="00047130" w:rsidRDefault="00047130" w:rsidP="00C32B16">
      <w:r>
        <w:t>PwC's Next In Consumer Packaged Goods looks into the trends that help CPG companies become well positioned to steer the future of the industry.</w:t>
      </w:r>
    </w:p>
    <w:p w:rsidR="00047130" w:rsidRDefault="00047130" w:rsidP="00C32B16">
      <w:r w:rsidRPr="006A5437">
        <w:rPr>
          <w:sz w:val="16"/>
          <w:szCs w:val="16"/>
        </w:rPr>
        <w:t>https://www.pwc.com/us/en/industries/consumer-markets/library/next-in-cpg-trends.html</w:t>
      </w:r>
      <w:r>
        <w:rPr>
          <w:sz w:val="16"/>
          <w:szCs w:val="16"/>
        </w:rPr>
        <w:t xml:space="preserve">  </w:t>
      </w:r>
      <w:r>
        <w:rPr>
          <w:noProof/>
        </w:rPr>
        <w:drawing>
          <wp:inline distT="0" distB="0" distL="0" distR="0" wp14:anchorId="3B74AECC" wp14:editId="7F4FF626">
            <wp:extent cx="112059" cy="112059"/>
            <wp:effectExtent l="0" t="0" r="2540" b="2540"/>
            <wp:docPr id="17" name="Logo">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2" name="Logo">
                      <a:hlinkClick r:id="rId23"/>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ESG oversight: The corporate director’s guide</w:t>
      </w:r>
    </w:p>
    <w:p w:rsidR="00047130" w:rsidRDefault="00047130" w:rsidP="00C32B16">
      <w:r>
        <w:t>Understanding the board’s role in overseeing environmental, social and governance issues.</w:t>
      </w:r>
    </w:p>
    <w:p w:rsidR="00047130" w:rsidRDefault="00047130" w:rsidP="00C32B16">
      <w:r w:rsidRPr="006A5437">
        <w:rPr>
          <w:sz w:val="16"/>
          <w:szCs w:val="16"/>
        </w:rPr>
        <w:t>https://www.pwc.com/us/en/services/governance-insights-center/library/esg-corporate-directors-guide.html</w:t>
      </w:r>
      <w:r>
        <w:rPr>
          <w:sz w:val="16"/>
          <w:szCs w:val="16"/>
        </w:rPr>
        <w:t xml:space="preserve">  </w:t>
      </w:r>
      <w:r>
        <w:rPr>
          <w:noProof/>
        </w:rPr>
        <w:drawing>
          <wp:inline distT="0" distB="0" distL="0" distR="0" wp14:anchorId="3B74AECC" wp14:editId="7F4FF626">
            <wp:extent cx="112059" cy="112059"/>
            <wp:effectExtent l="0" t="0" r="2540" b="2540"/>
            <wp:docPr id="18" name="Logo">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2" name="Logo">
                      <a:hlinkClick r:id="rId24"/>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Tax is a crucial part of the ESG conversation</w:t>
      </w:r>
    </w:p>
    <w:p w:rsidR="00047130" w:rsidRDefault="00047130" w:rsidP="00C32B16">
      <w:r>
        <w:t>Looking at tax through an ESG lens can help businesses build trust more broadly and demonstrate their commitment to sustainability and social responsibility.</w:t>
      </w:r>
    </w:p>
    <w:p w:rsidR="00047130" w:rsidRDefault="00047130" w:rsidP="00C32B16">
      <w:r w:rsidRPr="006A5437">
        <w:rPr>
          <w:sz w:val="16"/>
          <w:szCs w:val="16"/>
        </w:rPr>
        <w:t>https://www.pwc.com/us/en/services/esg/ghost/tax-is-a-crucial-part-of-esg-reporting.html</w:t>
      </w:r>
      <w:r>
        <w:rPr>
          <w:sz w:val="16"/>
          <w:szCs w:val="16"/>
        </w:rPr>
        <w:t xml:space="preserve">  </w:t>
      </w:r>
      <w:r>
        <w:rPr>
          <w:noProof/>
        </w:rPr>
        <w:drawing>
          <wp:inline distT="0" distB="0" distL="0" distR="0" wp14:anchorId="3B74AECC" wp14:editId="7F4FF626">
            <wp:extent cx="112059" cy="112059"/>
            <wp:effectExtent l="0" t="0" r="2540" b="2540"/>
            <wp:docPr id="19" name="Logo">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2" name="Logo">
                      <a:hlinkClick r:id="rId25"/>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PwC’s US investor survey: The economic realities of ESG</w:t>
      </w:r>
    </w:p>
    <w:p w:rsidR="00047130" w:rsidRDefault="00047130" w:rsidP="00C32B16">
      <w:r>
        <w:t>We highlight the US results of a survey of global investor views on ESG. The results can help US companies focus their ESG efforts where they matter today.</w:t>
      </w:r>
    </w:p>
    <w:p w:rsidR="00047130" w:rsidRDefault="00047130" w:rsidP="00C32B16">
      <w:r w:rsidRPr="006A5437">
        <w:rPr>
          <w:sz w:val="16"/>
          <w:szCs w:val="16"/>
        </w:rPr>
        <w:t>https://www.pwc.com/us/en/services/esg/ghost/the-economic-realities-of-esg.html</w:t>
      </w:r>
      <w:r>
        <w:rPr>
          <w:sz w:val="16"/>
          <w:szCs w:val="16"/>
        </w:rPr>
        <w:t xml:space="preserve">  </w:t>
      </w:r>
      <w:r>
        <w:rPr>
          <w:noProof/>
        </w:rPr>
        <w:drawing>
          <wp:inline distT="0" distB="0" distL="0" distR="0" wp14:anchorId="3B74AECC" wp14:editId="7F4FF626">
            <wp:extent cx="112059" cy="112059"/>
            <wp:effectExtent l="0" t="0" r="2540" b="2540"/>
            <wp:docPr id="20" name="Logo">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2" name="Logo">
                      <a:hlinkClick r:id="rId26"/>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lastRenderedPageBreak/>
        <w:t>SEC climate risk disclosures and your company</w:t>
      </w:r>
    </w:p>
    <w:p w:rsidR="00047130" w:rsidRDefault="00047130" w:rsidP="00C32B16">
      <w:r>
        <w:t>A new SEC rule requires all registrants to disclose information on climate risks. PwC can help you understand what the rule says and what to do next.</w:t>
      </w:r>
    </w:p>
    <w:p w:rsidR="00047130" w:rsidRDefault="00047130" w:rsidP="00C32B16">
      <w:r w:rsidRPr="006A5437">
        <w:rPr>
          <w:sz w:val="16"/>
          <w:szCs w:val="16"/>
        </w:rPr>
        <w:t>https://www.pwc.com/us/en/services/esg/library/sec-climate-disclosures.html</w:t>
      </w:r>
      <w:r>
        <w:rPr>
          <w:sz w:val="16"/>
          <w:szCs w:val="16"/>
        </w:rPr>
        <w:t xml:space="preserve">  </w:t>
      </w:r>
      <w:r>
        <w:rPr>
          <w:noProof/>
        </w:rPr>
        <w:drawing>
          <wp:inline distT="0" distB="0" distL="0" distR="0" wp14:anchorId="3B74AECC" wp14:editId="7F4FF626">
            <wp:extent cx="112059" cy="112059"/>
            <wp:effectExtent l="0" t="0" r="2540" b="2540"/>
            <wp:docPr id="21" name="Logo">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2" name="Logo">
                      <a:hlinkClick r:id="rId27"/>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Reaching net zero: progress and peril analysis</w:t>
      </w:r>
    </w:p>
    <w:p w:rsidR="00047130" w:rsidRDefault="00047130" w:rsidP="00C32B16">
      <w:r>
        <w:t>Reaching net zero is the biggest collective action humanity has ever undertaken. This article explores where we are and aren't gaining momentum toward net zero - and what we can do about it.</w:t>
      </w:r>
    </w:p>
    <w:p w:rsidR="00047130" w:rsidRDefault="00047130" w:rsidP="00C32B16">
      <w:r w:rsidRPr="006A5437">
        <w:rPr>
          <w:sz w:val="16"/>
          <w:szCs w:val="16"/>
        </w:rPr>
        <w:t>https://www.pwc.com/us/en/ghosts/net-zero-progress-and-perils.html</w:t>
      </w:r>
      <w:r>
        <w:rPr>
          <w:sz w:val="16"/>
          <w:szCs w:val="16"/>
        </w:rPr>
        <w:t xml:space="preserve">  </w:t>
      </w:r>
      <w:r>
        <w:rPr>
          <w:noProof/>
        </w:rPr>
        <w:drawing>
          <wp:inline distT="0" distB="0" distL="0" distR="0" wp14:anchorId="3B74AECC" wp14:editId="7F4FF626">
            <wp:extent cx="112059" cy="112059"/>
            <wp:effectExtent l="0" t="0" r="2540" b="2540"/>
            <wp:docPr id="22" name="Logo">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2" name="Logo">
                      <a:hlinkClick r:id="rId28"/>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Make no mistake – global ESG regulations will impact US companies</w:t>
      </w:r>
    </w:p>
    <w:p w:rsidR="00047130" w:rsidRDefault="00047130" w:rsidP="00C32B16">
      <w:r>
        <w:t>The European Commission is addressing corporate behavior through its Sustainable Finance agenda. US companies will be affected by the proposed ESG reporting regulation if they have subsidiaries in Europe. This is not by mistake but by design. It’s time to get ready.</w:t>
      </w:r>
    </w:p>
    <w:p w:rsidR="00047130" w:rsidRDefault="00047130" w:rsidP="00C32B16">
      <w:r w:rsidRPr="006A5437">
        <w:rPr>
          <w:sz w:val="16"/>
          <w:szCs w:val="16"/>
        </w:rPr>
        <w:t>https://www.pwc.com/us/en/ghosts/itl-csrd.html</w:t>
      </w:r>
      <w:r>
        <w:rPr>
          <w:sz w:val="16"/>
          <w:szCs w:val="16"/>
        </w:rPr>
        <w:t xml:space="preserve">  </w:t>
      </w:r>
      <w:r>
        <w:rPr>
          <w:noProof/>
        </w:rPr>
        <w:drawing>
          <wp:inline distT="0" distB="0" distL="0" distR="0" wp14:anchorId="3B74AECC" wp14:editId="7F4FF626">
            <wp:extent cx="112059" cy="112059"/>
            <wp:effectExtent l="0" t="0" r="2540" b="2540"/>
            <wp:docPr id="23" name="Logo">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2" name="Logo">
                      <a:hlinkClick r:id="rId29"/>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Do sweat the small stuff when it comes to inclusion</w:t>
      </w:r>
    </w:p>
    <w:p w:rsidR="00047130" w:rsidRDefault="00047130" w:rsidP="00C32B16">
      <w:r>
        <w:t>Many employees feel that their leaders’ everyday actions don’t match their words. So what can be done to build trust?</w:t>
      </w:r>
    </w:p>
    <w:p w:rsidR="00047130" w:rsidRDefault="00047130" w:rsidP="00C32B16">
      <w:r w:rsidRPr="006A5437">
        <w:rPr>
          <w:sz w:val="16"/>
          <w:szCs w:val="16"/>
        </w:rPr>
        <w:t>https://www.pwc.com/us/en/services/esg/ghost/do-sweat-the-small-stuff-when-it-comes-to-inclusion.html</w:t>
      </w:r>
      <w:r>
        <w:rPr>
          <w:sz w:val="16"/>
          <w:szCs w:val="16"/>
        </w:rPr>
        <w:t xml:space="preserve">  </w:t>
      </w:r>
      <w:r>
        <w:rPr>
          <w:noProof/>
        </w:rPr>
        <w:drawing>
          <wp:inline distT="0" distB="0" distL="0" distR="0" wp14:anchorId="3B74AECC" wp14:editId="7F4FF626">
            <wp:extent cx="112059" cy="112059"/>
            <wp:effectExtent l="0" t="0" r="2540" b="2540"/>
            <wp:docPr id="24" name="Logo">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2" name="Logo">
                      <a:hlinkClick r:id="rId30"/>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ESG oversight: how company size moves the needle</w:t>
      </w:r>
    </w:p>
    <w:p w:rsidR="00047130" w:rsidRDefault="00047130" w:rsidP="00C32B16">
      <w:r>
        <w:t>Understanding risks and opportunities relating to ESG matters is a business imperative for all companies</w:t>
      </w:r>
    </w:p>
    <w:p w:rsidR="00047130" w:rsidRDefault="00047130" w:rsidP="00C32B16">
      <w:r w:rsidRPr="006A5437">
        <w:rPr>
          <w:sz w:val="16"/>
          <w:szCs w:val="16"/>
        </w:rPr>
        <w:t>https://www.pwc.com/us/en/services/governance-insights-center/blog/esg-oversight-company-size.html</w:t>
      </w:r>
      <w:r>
        <w:rPr>
          <w:sz w:val="16"/>
          <w:szCs w:val="16"/>
        </w:rPr>
        <w:t xml:space="preserve">  </w:t>
      </w:r>
      <w:r>
        <w:rPr>
          <w:noProof/>
        </w:rPr>
        <w:drawing>
          <wp:inline distT="0" distB="0" distL="0" distR="0" wp14:anchorId="3B74AECC" wp14:editId="7F4FF626">
            <wp:extent cx="112059" cy="112059"/>
            <wp:effectExtent l="0" t="0" r="2540" b="2540"/>
            <wp:docPr id="25" name="Logo">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2" name="Logo">
                      <a:hlinkClick r:id="rId31"/>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These companies are following through on their promises on diversity, equity, and inclusion</w:t>
      </w:r>
    </w:p>
    <w:p w:rsidR="00047130" w:rsidRDefault="00047130" w:rsidP="00C32B16">
      <w:r>
        <w:t>Despite setbacks, real progress on diversity is being made by companies across the U.S.</w:t>
      </w:r>
    </w:p>
    <w:p w:rsidR="00047130" w:rsidRDefault="00047130" w:rsidP="00C32B16">
      <w:r w:rsidRPr="006A5437">
        <w:rPr>
          <w:sz w:val="16"/>
          <w:szCs w:val="16"/>
        </w:rPr>
        <w:t>https://www.pwc.com/us/en/services/esg/ghost/diversity-pledges-ceo-action-social-justice.html</w:t>
      </w:r>
      <w:r>
        <w:rPr>
          <w:sz w:val="16"/>
          <w:szCs w:val="16"/>
        </w:rPr>
        <w:t xml:space="preserve">  </w:t>
      </w:r>
      <w:r>
        <w:rPr>
          <w:noProof/>
        </w:rPr>
        <w:drawing>
          <wp:inline distT="0" distB="0" distL="0" distR="0" wp14:anchorId="3B74AECC" wp14:editId="7F4FF626">
            <wp:extent cx="112059" cy="112059"/>
            <wp:effectExtent l="0" t="0" r="2540" b="2540"/>
            <wp:docPr id="26" name="Logo">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2" name="Logo">
                      <a:hlinkClick r:id="rId32"/>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The push to net zero emissions: where the board comes in</w:t>
      </w:r>
    </w:p>
    <w:p w:rsidR="00047130" w:rsidRDefault="00047130" w:rsidP="00C32B16">
      <w:r>
        <w:t>Strong corporate governance is critical</w:t>
      </w:r>
    </w:p>
    <w:p w:rsidR="00047130" w:rsidRDefault="00047130" w:rsidP="00C32B16">
      <w:r w:rsidRPr="006A5437">
        <w:rPr>
          <w:sz w:val="16"/>
          <w:szCs w:val="16"/>
        </w:rPr>
        <w:t>https://www.pwc.com/us/en/services/governance-insights-center/library/boards-net-zero-emissions.html</w:t>
      </w:r>
      <w:r>
        <w:rPr>
          <w:sz w:val="16"/>
          <w:szCs w:val="16"/>
        </w:rPr>
        <w:t xml:space="preserve">  </w:t>
      </w:r>
      <w:r>
        <w:rPr>
          <w:noProof/>
        </w:rPr>
        <w:drawing>
          <wp:inline distT="0" distB="0" distL="0" distR="0" wp14:anchorId="3B74AECC" wp14:editId="7F4FF626">
            <wp:extent cx="112059" cy="112059"/>
            <wp:effectExtent l="0" t="0" r="2540" b="2540"/>
            <wp:docPr id="27" name="Logo">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2" name="Logo">
                      <a:hlinkClick r:id="rId33"/>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lastRenderedPageBreak/>
        <w:t>Bristol Myers Squibb’s leadership in global diversity &amp; inclusion</w:t>
      </w:r>
    </w:p>
    <w:p w:rsidR="00047130" w:rsidRDefault="00047130" w:rsidP="00C32B16">
      <w:r>
        <w:t>Bristol Myers Squibb expanded their diversity, inclusion and health equity efforts by producing and sharing their first global D&amp;I strategy report.</w:t>
      </w:r>
    </w:p>
    <w:p w:rsidR="00047130" w:rsidRDefault="00047130" w:rsidP="00C32B16">
      <w:r w:rsidRPr="006A5437">
        <w:rPr>
          <w:sz w:val="16"/>
          <w:szCs w:val="16"/>
        </w:rPr>
        <w:t>https://www.pwc.com/us/en/library/case-studies/bristol-myers-squibb.html</w:t>
      </w:r>
      <w:r>
        <w:rPr>
          <w:sz w:val="16"/>
          <w:szCs w:val="16"/>
        </w:rPr>
        <w:t xml:space="preserve">  </w:t>
      </w:r>
      <w:r>
        <w:rPr>
          <w:noProof/>
        </w:rPr>
        <w:drawing>
          <wp:inline distT="0" distB="0" distL="0" distR="0" wp14:anchorId="3B74AECC" wp14:editId="7F4FF626">
            <wp:extent cx="112059" cy="112059"/>
            <wp:effectExtent l="0" t="0" r="2540" b="2540"/>
            <wp:docPr id="28" name="Logo">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2" name="Logo">
                      <a:hlinkClick r:id="rId34"/>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ESG reporting: Getting started</w:t>
      </w:r>
    </w:p>
    <w:p w:rsidR="00047130" w:rsidRDefault="00047130" w:rsidP="00C32B16">
      <w:r>
        <w:t>A well-executed, well-communicated ESG strategy is key. This is the first in a PwC series taking you step by step on the path to effective ESG disclosure.</w:t>
      </w:r>
    </w:p>
    <w:p w:rsidR="00047130" w:rsidRDefault="00047130" w:rsidP="00C32B16">
      <w:r w:rsidRPr="006A5437">
        <w:rPr>
          <w:sz w:val="16"/>
          <w:szCs w:val="16"/>
        </w:rPr>
        <w:t>https://www.pwc.com/us/en/services/esg/ghost/esg-reporting-getting-started.html</w:t>
      </w:r>
      <w:r>
        <w:rPr>
          <w:sz w:val="16"/>
          <w:szCs w:val="16"/>
        </w:rPr>
        <w:t xml:space="preserve">  </w:t>
      </w:r>
      <w:r>
        <w:rPr>
          <w:noProof/>
        </w:rPr>
        <w:drawing>
          <wp:inline distT="0" distB="0" distL="0" distR="0" wp14:anchorId="3B74AECC" wp14:editId="7F4FF626">
            <wp:extent cx="112059" cy="112059"/>
            <wp:effectExtent l="0" t="0" r="2540" b="2540"/>
            <wp:docPr id="29" name="Logo">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2" name="Logo">
                      <a:hlinkClick r:id="rId35"/>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How the National Retail Federation used digital to get personal</w:t>
      </w:r>
    </w:p>
    <w:p w:rsidR="00047130" w:rsidRDefault="00047130" w:rsidP="00C32B16">
      <w:r>
        <w:t>NRF shifted their business with the help of PwC and Salesforce that created membership growth, increased engagement and time efficiencies for their team.</w:t>
      </w:r>
    </w:p>
    <w:p w:rsidR="00047130" w:rsidRDefault="00047130" w:rsidP="00C32B16">
      <w:r w:rsidRPr="006A5437">
        <w:rPr>
          <w:sz w:val="16"/>
          <w:szCs w:val="16"/>
        </w:rPr>
        <w:t>https://www.pwc.com/us/en/library/case-studies/nrf-salesforce-interview.html</w:t>
      </w:r>
      <w:r>
        <w:rPr>
          <w:sz w:val="16"/>
          <w:szCs w:val="16"/>
        </w:rPr>
        <w:t xml:space="preserve">  </w:t>
      </w:r>
      <w:r>
        <w:rPr>
          <w:noProof/>
        </w:rPr>
        <w:drawing>
          <wp:inline distT="0" distB="0" distL="0" distR="0" wp14:anchorId="3B74AECC" wp14:editId="7F4FF626">
            <wp:extent cx="112059" cy="112059"/>
            <wp:effectExtent l="0" t="0" r="2540" b="2540"/>
            <wp:docPr id="30" name="Logo">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 name="Logo">
                      <a:hlinkClick r:id="rId36"/>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ESG Tax solutions</w:t>
      </w:r>
    </w:p>
    <w:p w:rsidR="00047130" w:rsidRDefault="00047130" w:rsidP="00C32B16">
      <w:r>
        <w:t>PwC can help align your tax and ESG strategies to better solidify deals, maintain public trust and create long-term stakeholder value at your company.</w:t>
      </w:r>
    </w:p>
    <w:p w:rsidR="00047130" w:rsidRDefault="00047130" w:rsidP="00C32B16">
      <w:r w:rsidRPr="006A5437">
        <w:rPr>
          <w:sz w:val="16"/>
          <w:szCs w:val="16"/>
        </w:rPr>
        <w:t>https://www.pwc.com/us/en/services/esg/esg-tax-solutions.html</w:t>
      </w:r>
      <w:r>
        <w:rPr>
          <w:sz w:val="16"/>
          <w:szCs w:val="16"/>
        </w:rPr>
        <w:t xml:space="preserve">  </w:t>
      </w:r>
      <w:r>
        <w:rPr>
          <w:noProof/>
        </w:rPr>
        <w:drawing>
          <wp:inline distT="0" distB="0" distL="0" distR="0" wp14:anchorId="3B74AECC" wp14:editId="7F4FF626">
            <wp:extent cx="112059" cy="112059"/>
            <wp:effectExtent l="0" t="0" r="2540" b="2540"/>
            <wp:docPr id="31" name="Logo">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 name="Logo">
                      <a:hlinkClick r:id="rId37"/>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The need for speed</w:t>
      </w:r>
    </w:p>
    <w:p w:rsidR="00047130" w:rsidRDefault="00047130" w:rsidP="00C32B16">
      <w:r>
        <w:t>Companies can adapt to holiday shopping demand by building up inventory, gaining greater end-to-end supply chain visibility, and utilizing digital supply chain analytics.</w:t>
      </w:r>
    </w:p>
    <w:p w:rsidR="00047130" w:rsidRDefault="00047130" w:rsidP="00C32B16">
      <w:r w:rsidRPr="006A5437">
        <w:rPr>
          <w:sz w:val="16"/>
          <w:szCs w:val="16"/>
        </w:rPr>
        <w:t>https://www.pwc.com/us/en/industries/consumer-markets/library/holiday-season-digital-supply-chain.html</w:t>
      </w:r>
      <w:r>
        <w:rPr>
          <w:sz w:val="16"/>
          <w:szCs w:val="16"/>
        </w:rPr>
        <w:t xml:space="preserve">  </w:t>
      </w:r>
      <w:r>
        <w:rPr>
          <w:noProof/>
        </w:rPr>
        <w:drawing>
          <wp:inline distT="0" distB="0" distL="0" distR="0" wp14:anchorId="3B74AECC" wp14:editId="7F4FF626">
            <wp:extent cx="112059" cy="112059"/>
            <wp:effectExtent l="0" t="0" r="2540" b="2540"/>
            <wp:docPr id="32" name="Logo">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 name="Logo">
                      <a:hlinkClick r:id="rId38"/>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Why tax must be an integral part of a company’s ESG strategy</w:t>
      </w:r>
    </w:p>
    <w:p w:rsidR="00047130" w:rsidRDefault="00047130" w:rsidP="00C32B16">
      <w:r>
        <w:t>In this era when everyone is talking about ESG, it’s important to understand how tax fits into the larger picture. Kathryn Kaminsky discusses how considering tax early and often can provide a strategic advantage for businesses and their stakeholders.</w:t>
      </w:r>
    </w:p>
    <w:p w:rsidR="00047130" w:rsidRDefault="00047130" w:rsidP="00C32B16">
      <w:r w:rsidRPr="006A5437">
        <w:rPr>
          <w:sz w:val="16"/>
          <w:szCs w:val="16"/>
        </w:rPr>
        <w:t>https://www.pwc.com/us/en/ghosts/why-tax-must-be-an-integral-part-of-a-companys-esg-strategy.html</w:t>
      </w:r>
      <w:r>
        <w:rPr>
          <w:sz w:val="16"/>
          <w:szCs w:val="16"/>
        </w:rPr>
        <w:t xml:space="preserve">  </w:t>
      </w:r>
      <w:r>
        <w:rPr>
          <w:noProof/>
        </w:rPr>
        <w:drawing>
          <wp:inline distT="0" distB="0" distL="0" distR="0" wp14:anchorId="3B74AECC" wp14:editId="7F4FF626">
            <wp:extent cx="112059" cy="112059"/>
            <wp:effectExtent l="0" t="0" r="2540" b="2540"/>
            <wp:docPr id="33" name="Logo">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2" name="Logo">
                      <a:hlinkClick r:id="rId39"/>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lastRenderedPageBreak/>
        <w:t>The need for speed</w:t>
      </w:r>
    </w:p>
    <w:p w:rsidR="00047130" w:rsidRDefault="00047130" w:rsidP="00C32B16">
      <w:r>
        <w:t>Companies can adapt to demand by building up inventory, gaining greater end-to-end supply chain visibility, and utilizing digital supply chain analytics.</w:t>
      </w:r>
    </w:p>
    <w:p w:rsidR="00047130" w:rsidRDefault="00047130" w:rsidP="00C32B16">
      <w:r w:rsidRPr="006A5437">
        <w:rPr>
          <w:sz w:val="16"/>
          <w:szCs w:val="16"/>
        </w:rPr>
        <w:t>https://www.pwc.com/us/en/industries/consumer-markets/library/digital-supply-chain.html</w:t>
      </w:r>
      <w:r>
        <w:rPr>
          <w:sz w:val="16"/>
          <w:szCs w:val="16"/>
        </w:rPr>
        <w:t xml:space="preserve">  </w:t>
      </w:r>
      <w:r>
        <w:rPr>
          <w:noProof/>
        </w:rPr>
        <w:drawing>
          <wp:inline distT="0" distB="0" distL="0" distR="0" wp14:anchorId="3B74AECC" wp14:editId="7F4FF626">
            <wp:extent cx="112059" cy="112059"/>
            <wp:effectExtent l="0" t="0" r="2540" b="2540"/>
            <wp:docPr id="34" name="Logo">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2" name="Logo">
                      <a:hlinkClick r:id="rId40"/>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The evolving customer: The future of B2B commerce</w:t>
      </w:r>
    </w:p>
    <w:p w:rsidR="00047130" w:rsidRDefault="00047130" w:rsidP="00C32B16">
      <w:r>
        <w:t>Implement a B2B commerce solution to be ready for future business with PwC and Salesforce.</w:t>
      </w:r>
    </w:p>
    <w:p w:rsidR="00047130" w:rsidRDefault="00047130" w:rsidP="00C32B16">
      <w:r w:rsidRPr="006A5437">
        <w:rPr>
          <w:sz w:val="16"/>
          <w:szCs w:val="16"/>
        </w:rPr>
        <w:t>https://www.pwc.com/us/en/services/alliances/salesforce/future-of-b2b-commerce.html</w:t>
      </w:r>
      <w:r>
        <w:rPr>
          <w:sz w:val="16"/>
          <w:szCs w:val="16"/>
        </w:rPr>
        <w:t xml:space="preserve">  </w:t>
      </w:r>
      <w:r>
        <w:rPr>
          <w:noProof/>
        </w:rPr>
        <w:drawing>
          <wp:inline distT="0" distB="0" distL="0" distR="0" wp14:anchorId="3B74AECC" wp14:editId="7F4FF626">
            <wp:extent cx="112059" cy="112059"/>
            <wp:effectExtent l="0" t="0" r="2540" b="2540"/>
            <wp:docPr id="35" name="Logo">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2" name="Logo">
                      <a:hlinkClick r:id="rId41"/>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ESG - Climate change strategy as a differentiator for talent</w:t>
      </w:r>
    </w:p>
    <w:p w:rsidR="00047130" w:rsidRDefault="00047130" w:rsidP="00C32B16">
      <w:r>
        <w:t>An engaged workforce is critical to turning net zero pledges into action. 3 climate change-related actions to activate, attract, retain key talent.</w:t>
      </w:r>
    </w:p>
    <w:p w:rsidR="00047130" w:rsidRDefault="00047130" w:rsidP="00C32B16">
      <w:r w:rsidRPr="006A5437">
        <w:rPr>
          <w:sz w:val="16"/>
          <w:szCs w:val="16"/>
        </w:rPr>
        <w:t>https://www.pwc.com/us/en/services/esg/library/climate-change-talent-strategy-activation.html</w:t>
      </w:r>
      <w:r>
        <w:rPr>
          <w:sz w:val="16"/>
          <w:szCs w:val="16"/>
        </w:rPr>
        <w:t xml:space="preserve">  </w:t>
      </w:r>
      <w:r>
        <w:rPr>
          <w:noProof/>
        </w:rPr>
        <w:drawing>
          <wp:inline distT="0" distB="0" distL="0" distR="0" wp14:anchorId="3B74AECC" wp14:editId="7F4FF626">
            <wp:extent cx="112059" cy="112059"/>
            <wp:effectExtent l="0" t="0" r="2540" b="2540"/>
            <wp:docPr id="36" name="Logo">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2" name="Logo">
                      <a:hlinkClick r:id="rId42"/>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Consumers want to travel this holiday. But will they?</w:t>
      </w:r>
    </w:p>
    <w:p w:rsidR="00047130" w:rsidRDefault="00047130" w:rsidP="00C32B16">
      <w:r>
        <w:t>More consumers want to travel this holiday. Whether they actually will depends on a variety of interlocking factors, chief among them public health.</w:t>
      </w:r>
    </w:p>
    <w:p w:rsidR="00047130" w:rsidRDefault="00047130" w:rsidP="00C32B16">
      <w:r w:rsidRPr="006A5437">
        <w:rPr>
          <w:sz w:val="16"/>
          <w:szCs w:val="16"/>
        </w:rPr>
        <w:t>https://www.pwc.com/us/en/industries/consumer-markets/library/consumers-want-to-travel-holiday-2021.html</w:t>
      </w:r>
      <w:r>
        <w:rPr>
          <w:sz w:val="16"/>
          <w:szCs w:val="16"/>
        </w:rPr>
        <w:t xml:space="preserve">  </w:t>
      </w:r>
      <w:r>
        <w:rPr>
          <w:noProof/>
        </w:rPr>
        <w:drawing>
          <wp:inline distT="0" distB="0" distL="0" distR="0" wp14:anchorId="3B74AECC" wp14:editId="7F4FF626">
            <wp:extent cx="112059" cy="112059"/>
            <wp:effectExtent l="0" t="0" r="2540" b="2540"/>
            <wp:docPr id="37" name="Logo">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2" name="Logo">
                      <a:hlinkClick r:id="rId43"/>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Insights from sustainability leaders</w:t>
      </w:r>
    </w:p>
    <w:p w:rsidR="00047130" w:rsidRDefault="00047130" w:rsidP="00C32B16">
      <w:r>
        <w:t>PwC surveyed 200+ sustainability leaders to find out what specific steps they are taking to deliver on company decarbonization/net zero ambitions.</w:t>
      </w:r>
    </w:p>
    <w:p w:rsidR="00047130" w:rsidRDefault="00047130" w:rsidP="00C32B16">
      <w:r w:rsidRPr="006A5437">
        <w:rPr>
          <w:sz w:val="16"/>
          <w:szCs w:val="16"/>
        </w:rPr>
        <w:t>https://www.pwc.com/us/en/services/esg/library/sustainability-survey.html</w:t>
      </w:r>
      <w:r>
        <w:rPr>
          <w:sz w:val="16"/>
          <w:szCs w:val="16"/>
        </w:rPr>
        <w:t xml:space="preserve">  </w:t>
      </w:r>
      <w:r>
        <w:rPr>
          <w:noProof/>
        </w:rPr>
        <w:drawing>
          <wp:inline distT="0" distB="0" distL="0" distR="0" wp14:anchorId="3B74AECC" wp14:editId="7F4FF626">
            <wp:extent cx="112059" cy="112059"/>
            <wp:effectExtent l="0" t="0" r="2540" b="2540"/>
            <wp:docPr id="38" name="Logo">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2" name="Logo">
                      <a:hlinkClick r:id="rId44"/>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How Constellation Brands built a better ordering system on AWS</w:t>
      </w:r>
    </w:p>
    <w:p w:rsidR="00047130" w:rsidRDefault="00047130" w:rsidP="00C32B16">
      <w:r>
        <w:t>PwC helped Constellation Brands design, architect and deploy an AWS cloud-based application allowing distributors to quickly process, track and deliver orders.</w:t>
      </w:r>
    </w:p>
    <w:p w:rsidR="00047130" w:rsidRDefault="00047130" w:rsidP="00C32B16">
      <w:r w:rsidRPr="006A5437">
        <w:rPr>
          <w:sz w:val="16"/>
          <w:szCs w:val="16"/>
        </w:rPr>
        <w:t>https://www.pwc.com/us/en/library/case-studies/constellation-brands.html</w:t>
      </w:r>
      <w:r>
        <w:rPr>
          <w:sz w:val="16"/>
          <w:szCs w:val="16"/>
        </w:rPr>
        <w:t xml:space="preserve">  </w:t>
      </w:r>
      <w:r>
        <w:rPr>
          <w:noProof/>
        </w:rPr>
        <w:drawing>
          <wp:inline distT="0" distB="0" distL="0" distR="0" wp14:anchorId="3B74AECC" wp14:editId="7F4FF626">
            <wp:extent cx="112059" cy="112059"/>
            <wp:effectExtent l="0" t="0" r="2540" b="2540"/>
            <wp:docPr id="39" name="Logo">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2" name="Logo">
                      <a:hlinkClick r:id="rId45"/>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Leveraging headless commerce to help boost the online shopping experience</w:t>
      </w:r>
    </w:p>
    <w:p w:rsidR="00047130" w:rsidRDefault="00047130" w:rsidP="00C32B16">
      <w:r>
        <w:t>With headless commerce, organizations can increase engagement with their customers by creating new sales channels without scalability issues.</w:t>
      </w:r>
    </w:p>
    <w:p w:rsidR="00047130" w:rsidRDefault="00047130" w:rsidP="00C32B16">
      <w:r w:rsidRPr="006A5437">
        <w:rPr>
          <w:sz w:val="16"/>
          <w:szCs w:val="16"/>
        </w:rPr>
        <w:lastRenderedPageBreak/>
        <w:t>https://www.pwc.com/us/en/services/alliances/sap-implementation/headless-commerce.html</w:t>
      </w:r>
      <w:r>
        <w:rPr>
          <w:sz w:val="16"/>
          <w:szCs w:val="16"/>
        </w:rPr>
        <w:t xml:space="preserve">  </w:t>
      </w:r>
      <w:r>
        <w:rPr>
          <w:noProof/>
        </w:rPr>
        <w:drawing>
          <wp:inline distT="0" distB="0" distL="0" distR="0" wp14:anchorId="3B74AECC" wp14:editId="7F4FF626">
            <wp:extent cx="112059" cy="112059"/>
            <wp:effectExtent l="0" t="0" r="2540" b="2540"/>
            <wp:docPr id="40" name="Logo">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2" name="Logo">
                      <a:hlinkClick r:id="rId46"/>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A privacy reset — from compliance to trust-building</w:t>
      </w:r>
    </w:p>
    <w:p w:rsidR="00047130" w:rsidRDefault="00047130" w:rsidP="00C32B16">
      <w:r>
        <w:t>To help drive growth and innovation while strengthening customer trust, successful companies put privacy front and center of their business.</w:t>
      </w:r>
    </w:p>
    <w:p w:rsidR="00047130" w:rsidRDefault="00047130" w:rsidP="00C32B16">
      <w:r w:rsidRPr="006A5437">
        <w:rPr>
          <w:sz w:val="16"/>
          <w:szCs w:val="16"/>
        </w:rPr>
        <w:t>https://www.pwc.com/us/en/services/consulting/cybersecurity-privacy-forensics/library/privacy-reset.html</w:t>
      </w:r>
      <w:r>
        <w:rPr>
          <w:sz w:val="16"/>
          <w:szCs w:val="16"/>
        </w:rPr>
        <w:t xml:space="preserve">  </w:t>
      </w:r>
      <w:r>
        <w:rPr>
          <w:noProof/>
        </w:rPr>
        <w:drawing>
          <wp:inline distT="0" distB="0" distL="0" distR="0" wp14:anchorId="3B74AECC" wp14:editId="7F4FF626">
            <wp:extent cx="112059" cy="112059"/>
            <wp:effectExtent l="0" t="0" r="2540" b="2540"/>
            <wp:docPr id="41" name="Logo">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2" name="Logo">
                      <a:hlinkClick r:id="rId47"/>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Here’s who needs to know what for ESG to add value in M&amp;A</w:t>
      </w:r>
    </w:p>
    <w:p w:rsidR="00047130" w:rsidRDefault="00047130" w:rsidP="00C32B16">
      <w:r>
        <w:t>To improve your company’s position in a deal, you’ll need to explain your purpose to customers, shareholders and employees.</w:t>
      </w:r>
    </w:p>
    <w:p w:rsidR="00047130" w:rsidRDefault="00047130" w:rsidP="00C32B16">
      <w:r w:rsidRPr="006A5437">
        <w:rPr>
          <w:sz w:val="16"/>
          <w:szCs w:val="16"/>
        </w:rPr>
        <w:t>https://www.pwc.com/us/en/services/deals/library/environmental-social-governance-adding-value.html</w:t>
      </w:r>
      <w:r>
        <w:rPr>
          <w:sz w:val="16"/>
          <w:szCs w:val="16"/>
        </w:rPr>
        <w:t xml:space="preserve">  </w:t>
      </w:r>
      <w:r>
        <w:rPr>
          <w:noProof/>
        </w:rPr>
        <w:drawing>
          <wp:inline distT="0" distB="0" distL="0" distR="0" wp14:anchorId="3B74AECC" wp14:editId="7F4FF626">
            <wp:extent cx="112059" cy="112059"/>
            <wp:effectExtent l="0" t="0" r="2540" b="2540"/>
            <wp:docPr id="42" name="Logo">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2" name="Logo">
                      <a:hlinkClick r:id="rId48"/>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Insights from PwC’s 2021 Annual Corporate Directors Survey</w:t>
      </w:r>
    </w:p>
    <w:p w:rsidR="00047130" w:rsidRDefault="00047130" w:rsidP="00C32B16">
      <w:r>
        <w:t>The director’s new playbook: Taking on change</w:t>
      </w:r>
    </w:p>
    <w:p w:rsidR="00047130" w:rsidRDefault="00047130" w:rsidP="00C32B16">
      <w:r w:rsidRPr="006A5437">
        <w:rPr>
          <w:sz w:val="16"/>
          <w:szCs w:val="16"/>
        </w:rPr>
        <w:t>https://www.pwc.com/us/en/services/governance-insights-center/library/annual-corporate-directors-survey.html</w:t>
      </w:r>
      <w:r>
        <w:rPr>
          <w:sz w:val="16"/>
          <w:szCs w:val="16"/>
        </w:rPr>
        <w:t xml:space="preserve">  </w:t>
      </w:r>
      <w:r>
        <w:rPr>
          <w:noProof/>
        </w:rPr>
        <w:drawing>
          <wp:inline distT="0" distB="0" distL="0" distR="0" wp14:anchorId="3B74AECC" wp14:editId="7F4FF626">
            <wp:extent cx="112059" cy="112059"/>
            <wp:effectExtent l="0" t="0" r="2540" b="2540"/>
            <wp:docPr id="43" name="Logo">
              <a:hlinkClick xmlns:a="http://schemas.openxmlformats.org/drawingml/2006/main" r:id="rId49"/>
            </wp:docPr>
            <wp:cNvGraphicFramePr/>
            <a:graphic xmlns:a="http://schemas.openxmlformats.org/drawingml/2006/main">
              <a:graphicData uri="http://schemas.openxmlformats.org/drawingml/2006/picture">
                <pic:pic xmlns:pic="http://schemas.openxmlformats.org/drawingml/2006/picture">
                  <pic:nvPicPr>
                    <pic:cNvPr id="2" name="Logo">
                      <a:hlinkClick r:id="rId49"/>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 xml:space="preserve">What's your </w:t>
      </w:r>
      <w:proofErr w:type="spellStart"/>
      <w:r>
        <w:t>dealmaking</w:t>
      </w:r>
      <w:proofErr w:type="spellEnd"/>
      <w:r>
        <w:t xml:space="preserve"> identity?</w:t>
      </w:r>
    </w:p>
    <w:p w:rsidR="00047130" w:rsidRDefault="00047130" w:rsidP="00C32B16">
      <w:r>
        <w:t>To unlock value in deals, understand and invest in these three overlooked elements: culture, purpose and digital acumen.</w:t>
      </w:r>
    </w:p>
    <w:p w:rsidR="00047130" w:rsidRDefault="00047130" w:rsidP="00C32B16">
      <w:r w:rsidRPr="006A5437">
        <w:rPr>
          <w:sz w:val="16"/>
          <w:szCs w:val="16"/>
        </w:rPr>
        <w:t>https://www.pwc.com/us/en/services/deals/dealmaking-identity.html</w:t>
      </w:r>
      <w:r>
        <w:rPr>
          <w:sz w:val="16"/>
          <w:szCs w:val="16"/>
        </w:rPr>
        <w:t xml:space="preserve">  </w:t>
      </w:r>
      <w:r>
        <w:rPr>
          <w:noProof/>
        </w:rPr>
        <w:drawing>
          <wp:inline distT="0" distB="0" distL="0" distR="0" wp14:anchorId="3B74AECC" wp14:editId="7F4FF626">
            <wp:extent cx="112059" cy="112059"/>
            <wp:effectExtent l="0" t="0" r="2540" b="2540"/>
            <wp:docPr id="44" name="Logo">
              <a:hlinkClick xmlns:a="http://schemas.openxmlformats.org/drawingml/2006/main" r:id="rId50"/>
            </wp:docPr>
            <wp:cNvGraphicFramePr/>
            <a:graphic xmlns:a="http://schemas.openxmlformats.org/drawingml/2006/main">
              <a:graphicData uri="http://schemas.openxmlformats.org/drawingml/2006/picture">
                <pic:pic xmlns:pic="http://schemas.openxmlformats.org/drawingml/2006/picture">
                  <pic:nvPicPr>
                    <pic:cNvPr id="2" name="Logo">
                      <a:hlinkClick r:id="rId50"/>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 xml:space="preserve">To unlock value in deals, understand and invest in these three overlooked elements </w:t>
      </w:r>
    </w:p>
    <w:p w:rsidR="00047130" w:rsidRDefault="00047130" w:rsidP="00C32B16">
      <w:r>
        <w:t>The impact of culture, purpose and digital acumen in M&amp;A.</w:t>
      </w:r>
    </w:p>
    <w:p w:rsidR="00047130" w:rsidRDefault="00047130" w:rsidP="00C32B16">
      <w:r w:rsidRPr="006A5437">
        <w:rPr>
          <w:sz w:val="16"/>
          <w:szCs w:val="16"/>
        </w:rPr>
        <w:t>https://www.pwc.com/us/en/services/deals/library/culture-purpose-digital-acumen.html</w:t>
      </w:r>
      <w:r>
        <w:rPr>
          <w:sz w:val="16"/>
          <w:szCs w:val="16"/>
        </w:rPr>
        <w:t xml:space="preserve">  </w:t>
      </w:r>
      <w:r>
        <w:rPr>
          <w:noProof/>
        </w:rPr>
        <w:drawing>
          <wp:inline distT="0" distB="0" distL="0" distR="0" wp14:anchorId="3B74AECC" wp14:editId="7F4FF626">
            <wp:extent cx="112059" cy="112059"/>
            <wp:effectExtent l="0" t="0" r="2540" b="2540"/>
            <wp:docPr id="45" name="Logo">
              <a:hlinkClick xmlns:a="http://schemas.openxmlformats.org/drawingml/2006/main" r:id="rId51"/>
            </wp:docPr>
            <wp:cNvGraphicFramePr/>
            <a:graphic xmlns:a="http://schemas.openxmlformats.org/drawingml/2006/main">
              <a:graphicData uri="http://schemas.openxmlformats.org/drawingml/2006/picture">
                <pic:pic xmlns:pic="http://schemas.openxmlformats.org/drawingml/2006/picture">
                  <pic:nvPicPr>
                    <pic:cNvPr id="2" name="Logo">
                      <a:hlinkClick r:id="rId51"/>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Net Zero Economy Index 2021</w:t>
      </w:r>
    </w:p>
    <w:p w:rsidR="00047130" w:rsidRDefault="00047130" w:rsidP="00C32B16">
      <w:r>
        <w:t>Global decarbonisation was only 2.5% in 2020. Achieving the Paris Agreement goal of limiting warming to 1.5°C and delivering net zero requires more than a five times increase in the rate of global decarbonisation every year, and must start now.</w:t>
      </w:r>
    </w:p>
    <w:p w:rsidR="00047130" w:rsidRDefault="00047130" w:rsidP="00C32B16">
      <w:r w:rsidRPr="006A5437">
        <w:rPr>
          <w:sz w:val="16"/>
          <w:szCs w:val="16"/>
        </w:rPr>
        <w:t>https://www.pwc.com/us/en/ghosts/net-zero-economy-index.html</w:t>
      </w:r>
      <w:r>
        <w:rPr>
          <w:sz w:val="16"/>
          <w:szCs w:val="16"/>
        </w:rPr>
        <w:t xml:space="preserve">  </w:t>
      </w:r>
      <w:r>
        <w:rPr>
          <w:noProof/>
        </w:rPr>
        <w:drawing>
          <wp:inline distT="0" distB="0" distL="0" distR="0" wp14:anchorId="3B74AECC" wp14:editId="7F4FF626">
            <wp:extent cx="112059" cy="112059"/>
            <wp:effectExtent l="0" t="0" r="2540" b="2540"/>
            <wp:docPr id="46" name="Logo">
              <a:hlinkClick xmlns:a="http://schemas.openxmlformats.org/drawingml/2006/main" r:id="rId52"/>
            </wp:docPr>
            <wp:cNvGraphicFramePr/>
            <a:graphic xmlns:a="http://schemas.openxmlformats.org/drawingml/2006/main">
              <a:graphicData uri="http://schemas.openxmlformats.org/drawingml/2006/picture">
                <pic:pic xmlns:pic="http://schemas.openxmlformats.org/drawingml/2006/picture">
                  <pic:nvPicPr>
                    <pic:cNvPr id="2" name="Logo">
                      <a:hlinkClick r:id="rId52"/>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lastRenderedPageBreak/>
        <w:t>From vaccine policy to cybersecurity, trust takes center stage</w:t>
      </w:r>
    </w:p>
    <w:p w:rsidR="00047130" w:rsidRDefault="00047130" w:rsidP="00C32B16">
      <w:r>
        <w:t>More than ever before, consumers want to support businesses they trust and whose purpose aligns with their own.</w:t>
      </w:r>
    </w:p>
    <w:p w:rsidR="00047130" w:rsidRDefault="00047130" w:rsidP="00C32B16">
      <w:r w:rsidRPr="006A5437">
        <w:rPr>
          <w:sz w:val="16"/>
          <w:szCs w:val="16"/>
        </w:rPr>
        <w:t>https://www.pwc.com/us/en/industries/consumer-markets/library/trust-takes-center-stage.html</w:t>
      </w:r>
      <w:r>
        <w:rPr>
          <w:sz w:val="16"/>
          <w:szCs w:val="16"/>
        </w:rPr>
        <w:t xml:space="preserve">  </w:t>
      </w:r>
      <w:r>
        <w:rPr>
          <w:noProof/>
        </w:rPr>
        <w:drawing>
          <wp:inline distT="0" distB="0" distL="0" distR="0" wp14:anchorId="3B74AECC" wp14:editId="7F4FF626">
            <wp:extent cx="112059" cy="112059"/>
            <wp:effectExtent l="0" t="0" r="2540" b="2540"/>
            <wp:docPr id="47" name="Logo">
              <a:hlinkClick xmlns:a="http://schemas.openxmlformats.org/drawingml/2006/main" r:id="rId53"/>
            </wp:docPr>
            <wp:cNvGraphicFramePr/>
            <a:graphic xmlns:a="http://schemas.openxmlformats.org/drawingml/2006/main">
              <a:graphicData uri="http://schemas.openxmlformats.org/drawingml/2006/picture">
                <pic:pic xmlns:pic="http://schemas.openxmlformats.org/drawingml/2006/picture">
                  <pic:nvPicPr>
                    <pic:cNvPr id="2" name="Logo">
                      <a:hlinkClick r:id="rId53"/>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A privacy reset — from compliance to trust-building</w:t>
      </w:r>
    </w:p>
    <w:p w:rsidR="00047130" w:rsidRDefault="00047130" w:rsidP="00C32B16">
      <w:r>
        <w:t>To help drive growth and innovation while strengthening customer trust, successful companies put privacy front and center of their business.</w:t>
      </w:r>
    </w:p>
    <w:p w:rsidR="00047130" w:rsidRDefault="00047130" w:rsidP="00C32B16">
      <w:r w:rsidRPr="006A5437">
        <w:rPr>
          <w:sz w:val="16"/>
          <w:szCs w:val="16"/>
        </w:rPr>
        <w:t>https://www.pwc.com/us/en/services/consulting/cybersecurity-risk-regulatory/library/privacy-reset.html</w:t>
      </w:r>
      <w:r>
        <w:rPr>
          <w:sz w:val="16"/>
          <w:szCs w:val="16"/>
        </w:rPr>
        <w:t xml:space="preserve">  </w:t>
      </w:r>
      <w:r>
        <w:rPr>
          <w:noProof/>
        </w:rPr>
        <w:drawing>
          <wp:inline distT="0" distB="0" distL="0" distR="0" wp14:anchorId="3B74AECC" wp14:editId="7F4FF626">
            <wp:extent cx="112059" cy="112059"/>
            <wp:effectExtent l="0" t="0" r="2540" b="2540"/>
            <wp:docPr id="48" name="Logo">
              <a:hlinkClick xmlns:a="http://schemas.openxmlformats.org/drawingml/2006/main" r:id="rId54"/>
            </wp:docPr>
            <wp:cNvGraphicFramePr/>
            <a:graphic xmlns:a="http://schemas.openxmlformats.org/drawingml/2006/main">
              <a:graphicData uri="http://schemas.openxmlformats.org/drawingml/2006/picture">
                <pic:pic xmlns:pic="http://schemas.openxmlformats.org/drawingml/2006/picture">
                  <pic:nvPicPr>
                    <pic:cNvPr id="2" name="Logo">
                      <a:hlinkClick r:id="rId54"/>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The audit committee’s role in sustainability/ESG oversight</w:t>
      </w:r>
    </w:p>
    <w:p w:rsidR="00047130" w:rsidRDefault="00047130" w:rsidP="00C32B16">
      <w:r>
        <w:t>How audit committees can stay ahead of the curve</w:t>
      </w:r>
    </w:p>
    <w:p w:rsidR="00047130" w:rsidRDefault="00047130" w:rsidP="00C32B16">
      <w:r w:rsidRPr="006A5437">
        <w:rPr>
          <w:sz w:val="16"/>
          <w:szCs w:val="16"/>
        </w:rPr>
        <w:t>https://www.pwc.com/us/en/services/governance-insights-center/library/sustainability-esg-reporting-audit-committees.html</w:t>
      </w:r>
      <w:r>
        <w:rPr>
          <w:sz w:val="16"/>
          <w:szCs w:val="16"/>
        </w:rPr>
        <w:t xml:space="preserve">  </w:t>
      </w:r>
      <w:r>
        <w:rPr>
          <w:noProof/>
        </w:rPr>
        <w:drawing>
          <wp:inline distT="0" distB="0" distL="0" distR="0" wp14:anchorId="3B74AECC" wp14:editId="7F4FF626">
            <wp:extent cx="112059" cy="112059"/>
            <wp:effectExtent l="0" t="0" r="2540" b="2540"/>
            <wp:docPr id="49" name="Logo">
              <a:hlinkClick xmlns:a="http://schemas.openxmlformats.org/drawingml/2006/main" r:id="rId55"/>
            </wp:docPr>
            <wp:cNvGraphicFramePr/>
            <a:graphic xmlns:a="http://schemas.openxmlformats.org/drawingml/2006/main">
              <a:graphicData uri="http://schemas.openxmlformats.org/drawingml/2006/picture">
                <pic:pic xmlns:pic="http://schemas.openxmlformats.org/drawingml/2006/picture">
                  <pic:nvPicPr>
                    <pic:cNvPr id="2" name="Logo">
                      <a:hlinkClick r:id="rId55"/>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Our journey as a responsible business</w:t>
      </w:r>
    </w:p>
    <w:p w:rsidR="00047130" w:rsidRDefault="00047130" w:rsidP="00C32B16">
      <w:r>
        <w:t>Over the past year, PwC worked to not only maintain, but enhance, our commitments as a responsible business leader. From environmental sustainability to pro bono services, learn how our efforts to build trust and make a meaningful difference extend from our people to our communities.</w:t>
      </w:r>
    </w:p>
    <w:p w:rsidR="00047130" w:rsidRDefault="00047130" w:rsidP="00C32B16">
      <w:r w:rsidRPr="006A5437">
        <w:rPr>
          <w:sz w:val="16"/>
          <w:szCs w:val="16"/>
        </w:rPr>
        <w:t>https://www.pwc.com/us/en/about-us/purpose-and-values/purpose-report/corporate-responsibility.html</w:t>
      </w:r>
      <w:r>
        <w:rPr>
          <w:sz w:val="16"/>
          <w:szCs w:val="16"/>
        </w:rPr>
        <w:t xml:space="preserve">  </w:t>
      </w:r>
      <w:r>
        <w:rPr>
          <w:noProof/>
        </w:rPr>
        <w:drawing>
          <wp:inline distT="0" distB="0" distL="0" distR="0" wp14:anchorId="3B74AECC" wp14:editId="7F4FF626">
            <wp:extent cx="112059" cy="112059"/>
            <wp:effectExtent l="0" t="0" r="2540" b="2540"/>
            <wp:docPr id="50" name="Logo">
              <a:hlinkClick xmlns:a="http://schemas.openxmlformats.org/drawingml/2006/main" r:id="rId56"/>
            </wp:docPr>
            <wp:cNvGraphicFramePr/>
            <a:graphic xmlns:a="http://schemas.openxmlformats.org/drawingml/2006/main">
              <a:graphicData uri="http://schemas.openxmlformats.org/drawingml/2006/picture">
                <pic:pic xmlns:pic="http://schemas.openxmlformats.org/drawingml/2006/picture">
                  <pic:nvPicPr>
                    <pic:cNvPr id="2" name="Logo">
                      <a:hlinkClick r:id="rId56"/>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Manhattan Lodging Index: Q2 2021</w:t>
      </w:r>
    </w:p>
    <w:p w:rsidR="00047130" w:rsidRDefault="00047130" w:rsidP="00C32B16">
      <w:r>
        <w:t>As vaccine rollout gained traction, Manhattan began to relax restrictions from the height of the pandemic. Increases in occupancy, average daily rate and revenue per available room accelerated in Q2.</w:t>
      </w:r>
    </w:p>
    <w:p w:rsidR="00047130" w:rsidRDefault="00047130" w:rsidP="00C32B16">
      <w:r w:rsidRPr="006A5437">
        <w:rPr>
          <w:sz w:val="16"/>
          <w:szCs w:val="16"/>
        </w:rPr>
        <w:t>https://www.pwc.com/us/en/industries/hospitality-leisure/manhattan-lodging-index.html</w:t>
      </w:r>
      <w:r>
        <w:rPr>
          <w:sz w:val="16"/>
          <w:szCs w:val="16"/>
        </w:rPr>
        <w:t xml:space="preserve">  </w:t>
      </w:r>
      <w:r>
        <w:rPr>
          <w:noProof/>
        </w:rPr>
        <w:drawing>
          <wp:inline distT="0" distB="0" distL="0" distR="0" wp14:anchorId="3B74AECC" wp14:editId="7F4FF626">
            <wp:extent cx="112059" cy="112059"/>
            <wp:effectExtent l="0" t="0" r="2540" b="2540"/>
            <wp:docPr id="51" name="Logo">
              <a:hlinkClick xmlns:a="http://schemas.openxmlformats.org/drawingml/2006/main" r:id="rId57"/>
            </wp:docPr>
            <wp:cNvGraphicFramePr/>
            <a:graphic xmlns:a="http://schemas.openxmlformats.org/drawingml/2006/main">
              <a:graphicData uri="http://schemas.openxmlformats.org/drawingml/2006/picture">
                <pic:pic xmlns:pic="http://schemas.openxmlformats.org/drawingml/2006/picture">
                  <pic:nvPicPr>
                    <pic:cNvPr id="2" name="Logo">
                      <a:hlinkClick r:id="rId57"/>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Infrastructure Act could redraw the map for transport, logistics and supply chains</w:t>
      </w:r>
    </w:p>
    <w:p w:rsidR="00047130" w:rsidRDefault="00047130" w:rsidP="00C32B16">
      <w:r>
        <w:t>PwC explores what the bipartisan deal for new spending on America’s infrastructure means for the transportation and logistics industry.</w:t>
      </w:r>
    </w:p>
    <w:p w:rsidR="00047130" w:rsidRDefault="00047130" w:rsidP="00C32B16">
      <w:r w:rsidRPr="006A5437">
        <w:rPr>
          <w:sz w:val="16"/>
          <w:szCs w:val="16"/>
        </w:rPr>
        <w:t>https://www.pwc.com/us/en/services/consulting/risk-regulatory/library/infrastructure-investment-jobs-act/modernizing/transportation-and-logistics.html</w:t>
      </w:r>
      <w:r>
        <w:rPr>
          <w:sz w:val="16"/>
          <w:szCs w:val="16"/>
        </w:rPr>
        <w:t xml:space="preserve">  </w:t>
      </w:r>
      <w:r>
        <w:rPr>
          <w:noProof/>
        </w:rPr>
        <w:drawing>
          <wp:inline distT="0" distB="0" distL="0" distR="0" wp14:anchorId="3B74AECC" wp14:editId="7F4FF626">
            <wp:extent cx="112059" cy="112059"/>
            <wp:effectExtent l="0" t="0" r="2540" b="2540"/>
            <wp:docPr id="52" name="Logo">
              <a:hlinkClick xmlns:a="http://schemas.openxmlformats.org/drawingml/2006/main" r:id="rId58"/>
            </wp:docPr>
            <wp:cNvGraphicFramePr/>
            <a:graphic xmlns:a="http://schemas.openxmlformats.org/drawingml/2006/main">
              <a:graphicData uri="http://schemas.openxmlformats.org/drawingml/2006/picture">
                <pic:pic xmlns:pic="http://schemas.openxmlformats.org/drawingml/2006/picture">
                  <pic:nvPicPr>
                    <pic:cNvPr id="2" name="Logo">
                      <a:hlinkClick r:id="rId58"/>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lastRenderedPageBreak/>
        <w:t>Infrastructure Act could invigorate industrials while greening America</w:t>
      </w:r>
    </w:p>
    <w:p w:rsidR="00047130" w:rsidRDefault="00047130" w:rsidP="00C32B16">
      <w:r>
        <w:t>PwC explores what the bipartisan deal for new spending on America’s infrastructure means for the industrial products industry.</w:t>
      </w:r>
    </w:p>
    <w:p w:rsidR="00047130" w:rsidRDefault="00047130" w:rsidP="00C32B16">
      <w:r w:rsidRPr="006A5437">
        <w:rPr>
          <w:sz w:val="16"/>
          <w:szCs w:val="16"/>
        </w:rPr>
        <w:t>https://www.pwc.com/us/en/services/consulting/risk-regulatory/library/infrastructure-investment-jobs-act/modernizing/industrial-products.html</w:t>
      </w:r>
      <w:r>
        <w:rPr>
          <w:sz w:val="16"/>
          <w:szCs w:val="16"/>
        </w:rPr>
        <w:t xml:space="preserve">  </w:t>
      </w:r>
      <w:r>
        <w:rPr>
          <w:noProof/>
        </w:rPr>
        <w:drawing>
          <wp:inline distT="0" distB="0" distL="0" distR="0" wp14:anchorId="3B74AECC" wp14:editId="7F4FF626">
            <wp:extent cx="112059" cy="112059"/>
            <wp:effectExtent l="0" t="0" r="2540" b="2540"/>
            <wp:docPr id="53" name="Logo">
              <a:hlinkClick xmlns:a="http://schemas.openxmlformats.org/drawingml/2006/main" r:id="rId59"/>
            </wp:docPr>
            <wp:cNvGraphicFramePr/>
            <a:graphic xmlns:a="http://schemas.openxmlformats.org/drawingml/2006/main">
              <a:graphicData uri="http://schemas.openxmlformats.org/drawingml/2006/picture">
                <pic:pic xmlns:pic="http://schemas.openxmlformats.org/drawingml/2006/picture">
                  <pic:nvPicPr>
                    <pic:cNvPr id="2" name="Logo">
                      <a:hlinkClick r:id="rId59"/>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UN’s IPCC report tightens focus on climate risks for business: What executives need to know</w:t>
      </w:r>
    </w:p>
    <w:p w:rsidR="00047130" w:rsidRDefault="00047130" w:rsidP="00C32B16">
      <w:r>
        <w:t>The UN report on climate change cites human activity causes. PwC provides a summary and shares where business leaders should focus and act for resiliency.</w:t>
      </w:r>
    </w:p>
    <w:p w:rsidR="00047130" w:rsidRDefault="00047130" w:rsidP="00C32B16">
      <w:r w:rsidRPr="006A5437">
        <w:rPr>
          <w:sz w:val="16"/>
          <w:szCs w:val="16"/>
        </w:rPr>
        <w:t>https://www.pwc.com/us/en/services/esg/library/un-ipcc-report-climate-risks-for-businesses.html</w:t>
      </w:r>
      <w:r>
        <w:rPr>
          <w:sz w:val="16"/>
          <w:szCs w:val="16"/>
        </w:rPr>
        <w:t xml:space="preserve">  </w:t>
      </w:r>
      <w:r>
        <w:rPr>
          <w:noProof/>
        </w:rPr>
        <w:drawing>
          <wp:inline distT="0" distB="0" distL="0" distR="0" wp14:anchorId="3B74AECC" wp14:editId="7F4FF626">
            <wp:extent cx="112059" cy="112059"/>
            <wp:effectExtent l="0" t="0" r="2540" b="2540"/>
            <wp:docPr id="54" name="Logo">
              <a:hlinkClick xmlns:a="http://schemas.openxmlformats.org/drawingml/2006/main" r:id="rId60"/>
            </wp:docPr>
            <wp:cNvGraphicFramePr/>
            <a:graphic xmlns:a="http://schemas.openxmlformats.org/drawingml/2006/main">
              <a:graphicData uri="http://schemas.openxmlformats.org/drawingml/2006/picture">
                <pic:pic xmlns:pic="http://schemas.openxmlformats.org/drawingml/2006/picture">
                  <pic:nvPicPr>
                    <pic:cNvPr id="2" name="Logo">
                      <a:hlinkClick r:id="rId60"/>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Senate approves budget resolution, House returning to consider budget</w:t>
      </w:r>
    </w:p>
    <w:p w:rsidR="00047130" w:rsidRDefault="00047130" w:rsidP="00C32B16">
      <w:r>
        <w:t>The Senate completed action on a fiscal year 2022 budget resolution that would provide reconciliation instructions for up to $3.5 trillion in spending and tax relief provisions</w:t>
      </w:r>
    </w:p>
    <w:p w:rsidR="00047130" w:rsidRDefault="00047130" w:rsidP="00C32B16">
      <w:r w:rsidRPr="006A5437">
        <w:rPr>
          <w:sz w:val="16"/>
          <w:szCs w:val="16"/>
        </w:rPr>
        <w:t>https://www.pwc.com/us/en/services/tax/library/senate-approves-budget-resolution.html</w:t>
      </w:r>
      <w:r>
        <w:rPr>
          <w:sz w:val="16"/>
          <w:szCs w:val="16"/>
        </w:rPr>
        <w:t xml:space="preserve">  </w:t>
      </w:r>
      <w:r>
        <w:rPr>
          <w:noProof/>
        </w:rPr>
        <w:drawing>
          <wp:inline distT="0" distB="0" distL="0" distR="0" wp14:anchorId="3B74AECC" wp14:editId="7F4FF626">
            <wp:extent cx="112059" cy="112059"/>
            <wp:effectExtent l="0" t="0" r="2540" b="2540"/>
            <wp:docPr id="55" name="Logo">
              <a:hlinkClick xmlns:a="http://schemas.openxmlformats.org/drawingml/2006/main" r:id="rId61"/>
            </wp:docPr>
            <wp:cNvGraphicFramePr/>
            <a:graphic xmlns:a="http://schemas.openxmlformats.org/drawingml/2006/main">
              <a:graphicData uri="http://schemas.openxmlformats.org/drawingml/2006/picture">
                <pic:pic xmlns:pic="http://schemas.openxmlformats.org/drawingml/2006/picture">
                  <pic:nvPicPr>
                    <pic:cNvPr id="2" name="Logo">
                      <a:hlinkClick r:id="rId61"/>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The world needs a new type of leader</w:t>
      </w:r>
    </w:p>
    <w:p w:rsidR="00047130" w:rsidRDefault="00047130" w:rsidP="00C32B16">
      <w:r>
        <w:t>How can companies and their boards step up?</w:t>
      </w:r>
    </w:p>
    <w:p w:rsidR="00047130" w:rsidRDefault="00047130" w:rsidP="00C32B16">
      <w:r w:rsidRPr="006A5437">
        <w:rPr>
          <w:sz w:val="16"/>
          <w:szCs w:val="16"/>
        </w:rPr>
        <w:t>https://www.pwc.com/us/en/services/governance-insights-center/blog/crisis-of-leadership.html</w:t>
      </w:r>
      <w:r>
        <w:rPr>
          <w:sz w:val="16"/>
          <w:szCs w:val="16"/>
        </w:rPr>
        <w:t xml:space="preserve">  </w:t>
      </w:r>
      <w:r>
        <w:rPr>
          <w:noProof/>
        </w:rPr>
        <w:drawing>
          <wp:inline distT="0" distB="0" distL="0" distR="0" wp14:anchorId="3B74AECC" wp14:editId="7F4FF626">
            <wp:extent cx="112059" cy="112059"/>
            <wp:effectExtent l="0" t="0" r="2540" b="2540"/>
            <wp:docPr id="56" name="Logo">
              <a:hlinkClick xmlns:a="http://schemas.openxmlformats.org/drawingml/2006/main" r:id="rId62"/>
            </wp:docPr>
            <wp:cNvGraphicFramePr/>
            <a:graphic xmlns:a="http://schemas.openxmlformats.org/drawingml/2006/main">
              <a:graphicData uri="http://schemas.openxmlformats.org/drawingml/2006/picture">
                <pic:pic xmlns:pic="http://schemas.openxmlformats.org/drawingml/2006/picture">
                  <pic:nvPicPr>
                    <pic:cNvPr id="2" name="Logo">
                      <a:hlinkClick r:id="rId62"/>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Supporting business leaders to execute on ESG</w:t>
      </w:r>
    </w:p>
    <w:p w:rsidR="00047130" w:rsidRDefault="00047130" w:rsidP="00C32B16">
      <w:r>
        <w:t>The rising interest in sustainable business practices is undeniable. In this survey, 42% of respondents say their organizations have instituted formal policies around ESG principles while an additional 33% say ESG is being incorporated into decision-making.</w:t>
      </w:r>
    </w:p>
    <w:p w:rsidR="00047130" w:rsidRDefault="00047130" w:rsidP="00C32B16">
      <w:r w:rsidRPr="006A5437">
        <w:rPr>
          <w:sz w:val="16"/>
          <w:szCs w:val="16"/>
        </w:rPr>
        <w:t>https://www.pwc.com/us/en/services/consulting/fit-for-growth/global-treasury-survey/driving-esg.html</w:t>
      </w:r>
      <w:r>
        <w:rPr>
          <w:sz w:val="16"/>
          <w:szCs w:val="16"/>
        </w:rPr>
        <w:t xml:space="preserve">  </w:t>
      </w:r>
      <w:r>
        <w:rPr>
          <w:noProof/>
        </w:rPr>
        <w:drawing>
          <wp:inline distT="0" distB="0" distL="0" distR="0" wp14:anchorId="3B74AECC" wp14:editId="7F4FF626">
            <wp:extent cx="112059" cy="112059"/>
            <wp:effectExtent l="0" t="0" r="2540" b="2540"/>
            <wp:docPr id="57" name="Logo">
              <a:hlinkClick xmlns:a="http://schemas.openxmlformats.org/drawingml/2006/main" r:id="rId63"/>
            </wp:docPr>
            <wp:cNvGraphicFramePr/>
            <a:graphic xmlns:a="http://schemas.openxmlformats.org/drawingml/2006/main">
              <a:graphicData uri="http://schemas.openxmlformats.org/drawingml/2006/picture">
                <pic:pic xmlns:pic="http://schemas.openxmlformats.org/drawingml/2006/picture">
                  <pic:nvPicPr>
                    <pic:cNvPr id="2" name="Logo">
                      <a:hlinkClick r:id="rId63"/>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Funding new infrastructure</w:t>
      </w:r>
    </w:p>
    <w:p w:rsidR="00047130" w:rsidRDefault="00047130" w:rsidP="00C32B16">
      <w:r>
        <w:t>The infrastructure agreement will not require new debt or higher taxes, but draws on unused pandemic relief funds, strengthened tax enforcement for cryptocurrency and other offsets for funding.</w:t>
      </w:r>
    </w:p>
    <w:p w:rsidR="00047130" w:rsidRDefault="00047130" w:rsidP="00C32B16">
      <w:r w:rsidRPr="006A5437">
        <w:rPr>
          <w:sz w:val="16"/>
          <w:szCs w:val="16"/>
        </w:rPr>
        <w:t>https://www.pwc.com/us/en/services/consulting/risk-regulatory/library/infrastructure-investment-jobs-act/funding-new-infrastructure.html</w:t>
      </w:r>
      <w:r>
        <w:rPr>
          <w:sz w:val="16"/>
          <w:szCs w:val="16"/>
        </w:rPr>
        <w:t xml:space="preserve">  </w:t>
      </w:r>
      <w:r>
        <w:rPr>
          <w:noProof/>
        </w:rPr>
        <w:drawing>
          <wp:inline distT="0" distB="0" distL="0" distR="0" wp14:anchorId="3B74AECC" wp14:editId="7F4FF626">
            <wp:extent cx="112059" cy="112059"/>
            <wp:effectExtent l="0" t="0" r="2540" b="2540"/>
            <wp:docPr id="58" name="Logo">
              <a:hlinkClick xmlns:a="http://schemas.openxmlformats.org/drawingml/2006/main" r:id="rId64"/>
            </wp:docPr>
            <wp:cNvGraphicFramePr/>
            <a:graphic xmlns:a="http://schemas.openxmlformats.org/drawingml/2006/main">
              <a:graphicData uri="http://schemas.openxmlformats.org/drawingml/2006/picture">
                <pic:pic xmlns:pic="http://schemas.openxmlformats.org/drawingml/2006/picture">
                  <pic:nvPicPr>
                    <pic:cNvPr id="2" name="Logo">
                      <a:hlinkClick r:id="rId64"/>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lastRenderedPageBreak/>
        <w:t>Decarbonizing America’s infrastructure</w:t>
      </w:r>
    </w:p>
    <w:p w:rsidR="00047130" w:rsidRDefault="00047130" w:rsidP="00C32B16">
      <w:r>
        <w:t>Of the $550 billion in new spending proposed in the Infrastructure Investment and Jobs Act, roughly a third calls for investments in clean energy, power and transport; drinking water systems; weatherizing; and energy efficiency initiatives.</w:t>
      </w:r>
    </w:p>
    <w:p w:rsidR="00047130" w:rsidRDefault="00047130" w:rsidP="00C32B16">
      <w:r w:rsidRPr="006A5437">
        <w:rPr>
          <w:sz w:val="16"/>
          <w:szCs w:val="16"/>
        </w:rPr>
        <w:t>https://www.pwc.com/us/en/services/consulting/risk-regulatory/library/infrastructure-investment-jobs-act/decarbonizing.html</w:t>
      </w:r>
      <w:r>
        <w:rPr>
          <w:sz w:val="16"/>
          <w:szCs w:val="16"/>
        </w:rPr>
        <w:t xml:space="preserve">  </w:t>
      </w:r>
      <w:r>
        <w:rPr>
          <w:noProof/>
        </w:rPr>
        <w:drawing>
          <wp:inline distT="0" distB="0" distL="0" distR="0" wp14:anchorId="3B74AECC" wp14:editId="7F4FF626">
            <wp:extent cx="112059" cy="112059"/>
            <wp:effectExtent l="0" t="0" r="2540" b="2540"/>
            <wp:docPr id="59" name="Logo">
              <a:hlinkClick xmlns:a="http://schemas.openxmlformats.org/drawingml/2006/main" r:id="rId65"/>
            </wp:docPr>
            <wp:cNvGraphicFramePr/>
            <a:graphic xmlns:a="http://schemas.openxmlformats.org/drawingml/2006/main">
              <a:graphicData uri="http://schemas.openxmlformats.org/drawingml/2006/picture">
                <pic:pic xmlns:pic="http://schemas.openxmlformats.org/drawingml/2006/picture">
                  <pic:nvPicPr>
                    <pic:cNvPr id="2" name="Logo">
                      <a:hlinkClick r:id="rId65"/>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Modernizing America’s infrastructure</w:t>
      </w:r>
    </w:p>
    <w:p w:rsidR="00047130" w:rsidRDefault="00047130" w:rsidP="00C32B16">
      <w:r>
        <w:t>The Senate bill puts billions of federal dollars into road, bridge, rail and other modernization projects, with significant implications for businesses that depend on this infrastructure.</w:t>
      </w:r>
    </w:p>
    <w:p w:rsidR="00047130" w:rsidRDefault="00047130" w:rsidP="00C32B16">
      <w:r w:rsidRPr="006A5437">
        <w:rPr>
          <w:sz w:val="16"/>
          <w:szCs w:val="16"/>
        </w:rPr>
        <w:t>https://www.pwc.com/us/en/services/consulting/risk-regulatory/library/infrastructure-investment-jobs-act/modernizing.html</w:t>
      </w:r>
      <w:r>
        <w:rPr>
          <w:sz w:val="16"/>
          <w:szCs w:val="16"/>
        </w:rPr>
        <w:t xml:space="preserve">  </w:t>
      </w:r>
      <w:r>
        <w:rPr>
          <w:noProof/>
        </w:rPr>
        <w:drawing>
          <wp:inline distT="0" distB="0" distL="0" distR="0" wp14:anchorId="3B74AECC" wp14:editId="7F4FF626">
            <wp:extent cx="112059" cy="112059"/>
            <wp:effectExtent l="0" t="0" r="2540" b="2540"/>
            <wp:docPr id="60" name="Logo">
              <a:hlinkClick xmlns:a="http://schemas.openxmlformats.org/drawingml/2006/main" r:id="rId66"/>
            </wp:docPr>
            <wp:cNvGraphicFramePr/>
            <a:graphic xmlns:a="http://schemas.openxmlformats.org/drawingml/2006/main">
              <a:graphicData uri="http://schemas.openxmlformats.org/drawingml/2006/picture">
                <pic:pic xmlns:pic="http://schemas.openxmlformats.org/drawingml/2006/picture">
                  <pic:nvPicPr>
                    <pic:cNvPr id="2" name="Logo">
                      <a:hlinkClick r:id="rId66"/>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Modernizing, decarbonizing and securing America's infrastructure</w:t>
      </w:r>
    </w:p>
    <w:p w:rsidR="00047130" w:rsidRDefault="00047130" w:rsidP="00C32B16">
      <w:r>
        <w:t>PwC explores what the bipartisan deal for new spending on America’s infrastructure means for business.</w:t>
      </w:r>
    </w:p>
    <w:p w:rsidR="00047130" w:rsidRDefault="00047130" w:rsidP="00C32B16">
      <w:r w:rsidRPr="006A5437">
        <w:rPr>
          <w:sz w:val="16"/>
          <w:szCs w:val="16"/>
        </w:rPr>
        <w:t>https://www.pwc.com/us/en/services/consulting/risk-regulatory/library/infrastructure-investment-jobs-act.html</w:t>
      </w:r>
      <w:r>
        <w:rPr>
          <w:sz w:val="16"/>
          <w:szCs w:val="16"/>
        </w:rPr>
        <w:t xml:space="preserve">  </w:t>
      </w:r>
      <w:r>
        <w:rPr>
          <w:noProof/>
        </w:rPr>
        <w:drawing>
          <wp:inline distT="0" distB="0" distL="0" distR="0" wp14:anchorId="3B74AECC" wp14:editId="7F4FF626">
            <wp:extent cx="112059" cy="112059"/>
            <wp:effectExtent l="0" t="0" r="2540" b="2540"/>
            <wp:docPr id="61" name="Logo">
              <a:hlinkClick xmlns:a="http://schemas.openxmlformats.org/drawingml/2006/main" r:id="rId67"/>
            </wp:docPr>
            <wp:cNvGraphicFramePr/>
            <a:graphic xmlns:a="http://schemas.openxmlformats.org/drawingml/2006/main">
              <a:graphicData uri="http://schemas.openxmlformats.org/drawingml/2006/picture">
                <pic:pic xmlns:pic="http://schemas.openxmlformats.org/drawingml/2006/picture">
                  <pic:nvPicPr>
                    <pic:cNvPr id="2" name="Logo">
                      <a:hlinkClick r:id="rId67"/>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Carbon taxes and international trade What are the key issues</w:t>
      </w:r>
    </w:p>
    <w:p w:rsidR="00047130" w:rsidRDefault="00047130" w:rsidP="00C32B16">
      <w:r>
        <w:t>Recent proposals for border adjustments on imports from heavy carbon emitters represent new initiatives to address climate change -- the use of established trade mechanisms.</w:t>
      </w:r>
    </w:p>
    <w:p w:rsidR="00047130" w:rsidRDefault="00047130" w:rsidP="00C32B16">
      <w:r w:rsidRPr="006A5437">
        <w:rPr>
          <w:sz w:val="16"/>
          <w:szCs w:val="16"/>
        </w:rPr>
        <w:t>https://www.pwc.com/us/en/services/tax/library/carbon-taxes-and-international-trade-what-are-the-key-issues.html</w:t>
      </w:r>
      <w:r>
        <w:rPr>
          <w:sz w:val="16"/>
          <w:szCs w:val="16"/>
        </w:rPr>
        <w:t xml:space="preserve">  </w:t>
      </w:r>
      <w:r>
        <w:rPr>
          <w:noProof/>
        </w:rPr>
        <w:drawing>
          <wp:inline distT="0" distB="0" distL="0" distR="0" wp14:anchorId="3B74AECC" wp14:editId="7F4FF626">
            <wp:extent cx="112059" cy="112059"/>
            <wp:effectExtent l="0" t="0" r="2540" b="2540"/>
            <wp:docPr id="62" name="Logo">
              <a:hlinkClick xmlns:a="http://schemas.openxmlformats.org/drawingml/2006/main" r:id="rId68"/>
            </wp:docPr>
            <wp:cNvGraphicFramePr/>
            <a:graphic xmlns:a="http://schemas.openxmlformats.org/drawingml/2006/main">
              <a:graphicData uri="http://schemas.openxmlformats.org/drawingml/2006/picture">
                <pic:pic xmlns:pic="http://schemas.openxmlformats.org/drawingml/2006/picture">
                  <pic:nvPicPr>
                    <pic:cNvPr id="2" name="Logo">
                      <a:hlinkClick r:id="rId68"/>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Boards need to become more diverse. Here’s how to do it.</w:t>
      </w:r>
    </w:p>
    <w:p w:rsidR="00047130" w:rsidRDefault="00047130" w:rsidP="00C32B16">
      <w:r>
        <w:t>Now more than ever, diversity on corporate boards is a business imperative.</w:t>
      </w:r>
    </w:p>
    <w:p w:rsidR="00047130" w:rsidRDefault="00047130" w:rsidP="00C32B16">
      <w:r w:rsidRPr="006A5437">
        <w:rPr>
          <w:sz w:val="16"/>
          <w:szCs w:val="16"/>
        </w:rPr>
        <w:t>https://www.pwc.com/us/en/services/governance-insights-center/blog/increase-board-diversity.html</w:t>
      </w:r>
      <w:r>
        <w:rPr>
          <w:sz w:val="16"/>
          <w:szCs w:val="16"/>
        </w:rPr>
        <w:t xml:space="preserve">  </w:t>
      </w:r>
      <w:r>
        <w:rPr>
          <w:noProof/>
        </w:rPr>
        <w:drawing>
          <wp:inline distT="0" distB="0" distL="0" distR="0" wp14:anchorId="3B74AECC" wp14:editId="7F4FF626">
            <wp:extent cx="112059" cy="112059"/>
            <wp:effectExtent l="0" t="0" r="2540" b="2540"/>
            <wp:docPr id="63" name="Logo">
              <a:hlinkClick xmlns:a="http://schemas.openxmlformats.org/drawingml/2006/main" r:id="rId69"/>
            </wp:docPr>
            <wp:cNvGraphicFramePr/>
            <a:graphic xmlns:a="http://schemas.openxmlformats.org/drawingml/2006/main">
              <a:graphicData uri="http://schemas.openxmlformats.org/drawingml/2006/picture">
                <pic:pic xmlns:pic="http://schemas.openxmlformats.org/drawingml/2006/picture">
                  <pic:nvPicPr>
                    <pic:cNvPr id="2" name="Logo">
                      <a:hlinkClick r:id="rId69"/>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Tap into Tax: How does climate and carbon emissions relate to tax?</w:t>
      </w:r>
    </w:p>
    <w:p w:rsidR="00047130" w:rsidRDefault="00047130" w:rsidP="00C32B16">
      <w:r>
        <w:t>This episode with Scott McCandless (US) will explore the relationship between climate change and tax. We will discuss carbon related tax proposals both in the US and abroad, and how they differ from traditional means of taxation and other carbon pricing systems.</w:t>
      </w:r>
    </w:p>
    <w:p w:rsidR="00047130" w:rsidRDefault="00047130" w:rsidP="00C32B16">
      <w:r w:rsidRPr="006A5437">
        <w:rPr>
          <w:sz w:val="16"/>
          <w:szCs w:val="16"/>
        </w:rPr>
        <w:t>https://www.pwc.com/us/en/services/tax/multimedia-gallery/tap-into-tax-podcasts-climate-carbon-emissions.html</w:t>
      </w:r>
      <w:r>
        <w:rPr>
          <w:sz w:val="16"/>
          <w:szCs w:val="16"/>
        </w:rPr>
        <w:t xml:space="preserve">  </w:t>
      </w:r>
      <w:r>
        <w:rPr>
          <w:noProof/>
        </w:rPr>
        <w:drawing>
          <wp:inline distT="0" distB="0" distL="0" distR="0" wp14:anchorId="3B74AECC" wp14:editId="7F4FF626">
            <wp:extent cx="112059" cy="112059"/>
            <wp:effectExtent l="0" t="0" r="2540" b="2540"/>
            <wp:docPr id="64" name="Logo">
              <a:hlinkClick xmlns:a="http://schemas.openxmlformats.org/drawingml/2006/main" r:id="rId70"/>
            </wp:docPr>
            <wp:cNvGraphicFramePr/>
            <a:graphic xmlns:a="http://schemas.openxmlformats.org/drawingml/2006/main">
              <a:graphicData uri="http://schemas.openxmlformats.org/drawingml/2006/picture">
                <pic:pic xmlns:pic="http://schemas.openxmlformats.org/drawingml/2006/picture">
                  <pic:nvPicPr>
                    <pic:cNvPr id="2" name="Logo">
                      <a:hlinkClick r:id="rId70"/>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lastRenderedPageBreak/>
        <w:t>Modernizing America’s infrastructure</w:t>
      </w:r>
    </w:p>
    <w:p w:rsidR="00047130" w:rsidRDefault="00047130" w:rsidP="00C32B16">
      <w:r>
        <w:t>The Senate bill puts billions of federal dollars into road, bridge, rail and other modernization projects, with significant implications for businesses that depend on this infrastructure.</w:t>
      </w:r>
    </w:p>
    <w:p w:rsidR="00047130" w:rsidRDefault="00047130" w:rsidP="00C32B16">
      <w:r w:rsidRPr="006A5437">
        <w:rPr>
          <w:sz w:val="16"/>
          <w:szCs w:val="16"/>
        </w:rPr>
        <w:t>https://www.pwc.com/us/en/services/consulting/cybersecurity-risk-regulatory/library/infrastructure-investment-jobs-act/modernizing.html</w:t>
      </w:r>
      <w:r>
        <w:rPr>
          <w:sz w:val="16"/>
          <w:szCs w:val="16"/>
        </w:rPr>
        <w:t xml:space="preserve">  </w:t>
      </w:r>
      <w:r>
        <w:rPr>
          <w:noProof/>
        </w:rPr>
        <w:drawing>
          <wp:inline distT="0" distB="0" distL="0" distR="0" wp14:anchorId="3B74AECC" wp14:editId="7F4FF626">
            <wp:extent cx="112059" cy="112059"/>
            <wp:effectExtent l="0" t="0" r="2540" b="2540"/>
            <wp:docPr id="65" name="Logo">
              <a:hlinkClick xmlns:a="http://schemas.openxmlformats.org/drawingml/2006/main" r:id="rId71"/>
            </wp:docPr>
            <wp:cNvGraphicFramePr/>
            <a:graphic xmlns:a="http://schemas.openxmlformats.org/drawingml/2006/main">
              <a:graphicData uri="http://schemas.openxmlformats.org/drawingml/2006/picture">
                <pic:pic xmlns:pic="http://schemas.openxmlformats.org/drawingml/2006/picture">
                  <pic:nvPicPr>
                    <pic:cNvPr id="2" name="Logo">
                      <a:hlinkClick r:id="rId71"/>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Companies are trust leaders. Here’s what that means for corporate boards.</w:t>
      </w:r>
    </w:p>
    <w:p w:rsidR="00047130" w:rsidRDefault="00047130" w:rsidP="00C32B16">
      <w:r>
        <w:t>Let’s take a closer look at what directors need to know.</w:t>
      </w:r>
    </w:p>
    <w:p w:rsidR="00047130" w:rsidRDefault="00047130" w:rsidP="00C32B16">
      <w:r w:rsidRPr="006A5437">
        <w:rPr>
          <w:sz w:val="16"/>
          <w:szCs w:val="16"/>
        </w:rPr>
        <w:t>https://www.pwc.com/us/en/services/governance-insights-center/blog/crisis-institutional-legitimacy.html</w:t>
      </w:r>
      <w:r>
        <w:rPr>
          <w:sz w:val="16"/>
          <w:szCs w:val="16"/>
        </w:rPr>
        <w:t xml:space="preserve">  </w:t>
      </w:r>
      <w:r>
        <w:rPr>
          <w:noProof/>
        </w:rPr>
        <w:drawing>
          <wp:inline distT="0" distB="0" distL="0" distR="0" wp14:anchorId="3B74AECC" wp14:editId="7F4FF626">
            <wp:extent cx="112059" cy="112059"/>
            <wp:effectExtent l="0" t="0" r="2540" b="2540"/>
            <wp:docPr id="66" name="Logo">
              <a:hlinkClick xmlns:a="http://schemas.openxmlformats.org/drawingml/2006/main" r:id="rId72"/>
            </wp:docPr>
            <wp:cNvGraphicFramePr/>
            <a:graphic xmlns:a="http://schemas.openxmlformats.org/drawingml/2006/main">
              <a:graphicData uri="http://schemas.openxmlformats.org/drawingml/2006/picture">
                <pic:pic xmlns:pic="http://schemas.openxmlformats.org/drawingml/2006/picture">
                  <pic:nvPicPr>
                    <pic:cNvPr id="2" name="Logo">
                      <a:hlinkClick r:id="rId72"/>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Sustainability and climate change: Journey to decarbonization</w:t>
      </w:r>
    </w:p>
    <w:p w:rsidR="00047130" w:rsidRDefault="00047130" w:rsidP="00C32B16">
      <w:r>
        <w:t>PwC’s ESG team helps companies move to a climate resilient future with services related to Net zero, decarbonization and sustainability strategies.</w:t>
      </w:r>
    </w:p>
    <w:p w:rsidR="00047130" w:rsidRDefault="00047130" w:rsidP="00C32B16">
      <w:r w:rsidRPr="006A5437">
        <w:rPr>
          <w:sz w:val="16"/>
          <w:szCs w:val="16"/>
        </w:rPr>
        <w:t>https://www.pwc.com/us/en/services/esg/sustainability-climate-decarbonization.html</w:t>
      </w:r>
      <w:r>
        <w:rPr>
          <w:sz w:val="16"/>
          <w:szCs w:val="16"/>
        </w:rPr>
        <w:t xml:space="preserve">  </w:t>
      </w:r>
      <w:r>
        <w:rPr>
          <w:noProof/>
        </w:rPr>
        <w:drawing>
          <wp:inline distT="0" distB="0" distL="0" distR="0" wp14:anchorId="3B74AECC" wp14:editId="7F4FF626">
            <wp:extent cx="112059" cy="112059"/>
            <wp:effectExtent l="0" t="0" r="2540" b="2540"/>
            <wp:docPr id="67" name="Logo">
              <a:hlinkClick xmlns:a="http://schemas.openxmlformats.org/drawingml/2006/main" r:id="rId73"/>
            </wp:docPr>
            <wp:cNvGraphicFramePr/>
            <a:graphic xmlns:a="http://schemas.openxmlformats.org/drawingml/2006/main">
              <a:graphicData uri="http://schemas.openxmlformats.org/drawingml/2006/picture">
                <pic:pic xmlns:pic="http://schemas.openxmlformats.org/drawingml/2006/picture">
                  <pic:nvPicPr>
                    <pic:cNvPr id="2" name="Logo">
                      <a:hlinkClick r:id="rId73"/>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Four tips to guide your D&amp;I reporting journey</w:t>
      </w:r>
    </w:p>
    <w:p w:rsidR="00047130" w:rsidRDefault="00047130" w:rsidP="00C32B16">
      <w:r>
        <w:t>Is your company embarking upon or continuing its D&amp;I journey? PwC offers four tips to guide your commitments, reporting and communications strategy.</w:t>
      </w:r>
    </w:p>
    <w:p w:rsidR="00047130" w:rsidRDefault="00047130" w:rsidP="00C32B16">
      <w:r w:rsidRPr="006A5437">
        <w:rPr>
          <w:sz w:val="16"/>
          <w:szCs w:val="16"/>
        </w:rPr>
        <w:t>https://www.pwc.com/us/en/services/esg/library/journey-to-diversity-and-inclusion-reporting.html</w:t>
      </w:r>
      <w:r>
        <w:rPr>
          <w:sz w:val="16"/>
          <w:szCs w:val="16"/>
        </w:rPr>
        <w:t xml:space="preserve">  </w:t>
      </w:r>
      <w:r>
        <w:rPr>
          <w:noProof/>
        </w:rPr>
        <w:drawing>
          <wp:inline distT="0" distB="0" distL="0" distR="0" wp14:anchorId="3B74AECC" wp14:editId="7F4FF626">
            <wp:extent cx="112059" cy="112059"/>
            <wp:effectExtent l="0" t="0" r="2540" b="2540"/>
            <wp:docPr id="68" name="Logo">
              <a:hlinkClick xmlns:a="http://schemas.openxmlformats.org/drawingml/2006/main" r:id="rId74"/>
            </wp:docPr>
            <wp:cNvGraphicFramePr/>
            <a:graphic xmlns:a="http://schemas.openxmlformats.org/drawingml/2006/main">
              <a:graphicData uri="http://schemas.openxmlformats.org/drawingml/2006/picture">
                <pic:pic xmlns:pic="http://schemas.openxmlformats.org/drawingml/2006/picture">
                  <pic:nvPicPr>
                    <pic:cNvPr id="2" name="Logo">
                      <a:hlinkClick r:id="rId74"/>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Stakeholders are asking questions: How to tell them a credible ESG story</w:t>
      </w:r>
    </w:p>
    <w:p w:rsidR="00047130" w:rsidRDefault="00047130" w:rsidP="00C32B16">
      <w:r>
        <w:t>Is your company's ESG reporting resonating with investors? Is the information you are disclosing consistent, and accurate? PwC shares how to get there.</w:t>
      </w:r>
    </w:p>
    <w:p w:rsidR="00047130" w:rsidRDefault="00047130" w:rsidP="00C32B16">
      <w:r w:rsidRPr="006A5437">
        <w:rPr>
          <w:sz w:val="16"/>
          <w:szCs w:val="16"/>
        </w:rPr>
        <w:t>https://www.pwc.com/us/en/services/esg/library/reporting-for-shareholders.html</w:t>
      </w:r>
      <w:r>
        <w:rPr>
          <w:sz w:val="16"/>
          <w:szCs w:val="16"/>
        </w:rPr>
        <w:t xml:space="preserve">  </w:t>
      </w:r>
      <w:r>
        <w:rPr>
          <w:noProof/>
        </w:rPr>
        <w:drawing>
          <wp:inline distT="0" distB="0" distL="0" distR="0" wp14:anchorId="3B74AECC" wp14:editId="7F4FF626">
            <wp:extent cx="112059" cy="112059"/>
            <wp:effectExtent l="0" t="0" r="2540" b="2540"/>
            <wp:docPr id="69" name="Logo">
              <a:hlinkClick xmlns:a="http://schemas.openxmlformats.org/drawingml/2006/main" r:id="rId75"/>
            </wp:docPr>
            <wp:cNvGraphicFramePr/>
            <a:graphic xmlns:a="http://schemas.openxmlformats.org/drawingml/2006/main">
              <a:graphicData uri="http://schemas.openxmlformats.org/drawingml/2006/picture">
                <pic:pic xmlns:pic="http://schemas.openxmlformats.org/drawingml/2006/picture">
                  <pic:nvPicPr>
                    <pic:cNvPr id="2" name="Logo">
                      <a:hlinkClick r:id="rId75"/>
                    </pic:cNvPr>
                    <pic:cNvPicPr/>
                  </pic:nvPicPr>
                  <pic:blipFill>
                    <a:blip r:embed="rId7"/>
                    <a:stretch>
                      <a:fillRect/>
                    </a:stretch>
                  </pic:blipFill>
                  <pic:spPr>
                    <a:xfrm>
                      <a:off x="0" y="0"/>
                      <a:ext cx="121364" cy="121364"/>
                    </a:xfrm>
                    <a:prstGeom prst="rect">
                      <a:avLst/>
                    </a:prstGeom>
                  </pic:spPr>
                </pic:pic>
              </a:graphicData>
            </a:graphic>
          </wp:inline>
        </w:drawing>
      </w:r>
    </w:p>
    <w:p w:rsidR="00047130" w:rsidRPr="007905E7" w:rsidRDefault="00047130" w:rsidP="007905E7">
      <w:pPr>
        <w:pStyle w:val="Heading1"/>
      </w:pPr>
      <w:r>
        <w:t>ESG podcasts and webcasts</w:t>
      </w:r>
    </w:p>
    <w:p w:rsidR="00047130" w:rsidRDefault="00047130" w:rsidP="00C32B16">
      <w:r>
        <w:t>Have a few minutes to get smart about ESG? Our podcast series and webcasts can help you step forward.</w:t>
      </w:r>
    </w:p>
    <w:p w:rsidR="00047130" w:rsidRDefault="00047130" w:rsidP="00C32B16">
      <w:r w:rsidRPr="006A5437">
        <w:rPr>
          <w:sz w:val="16"/>
          <w:szCs w:val="16"/>
        </w:rPr>
        <w:t>https://www.pwc.com/us/en/services/esg/podcasts-webcasts.html</w:t>
      </w:r>
      <w:r>
        <w:rPr>
          <w:sz w:val="16"/>
          <w:szCs w:val="16"/>
        </w:rPr>
        <w:t xml:space="preserve">  </w:t>
      </w:r>
      <w:r>
        <w:rPr>
          <w:noProof/>
        </w:rPr>
        <w:drawing>
          <wp:inline distT="0" distB="0" distL="0" distR="0" wp14:anchorId="3B74AECC" wp14:editId="7F4FF626">
            <wp:extent cx="112059" cy="112059"/>
            <wp:effectExtent l="0" t="0" r="2540" b="2540"/>
            <wp:docPr id="70" name="Logo">
              <a:hlinkClick xmlns:a="http://schemas.openxmlformats.org/drawingml/2006/main" r:id="rId76"/>
            </wp:docPr>
            <wp:cNvGraphicFramePr/>
            <a:graphic xmlns:a="http://schemas.openxmlformats.org/drawingml/2006/main">
              <a:graphicData uri="http://schemas.openxmlformats.org/drawingml/2006/picture">
                <pic:pic xmlns:pic="http://schemas.openxmlformats.org/drawingml/2006/picture">
                  <pic:nvPicPr>
                    <pic:cNvPr id="2" name="Logo">
                      <a:hlinkClick r:id="rId76"/>
                    </pic:cNvPr>
                    <pic:cNvPicPr/>
                  </pic:nvPicPr>
                  <pic:blipFill>
                    <a:blip r:embed="rId7"/>
                    <a:stretch>
                      <a:fillRect/>
                    </a:stretch>
                  </pic:blipFill>
                  <pic:spPr>
                    <a:xfrm>
                      <a:off x="0" y="0"/>
                      <a:ext cx="121364" cy="121364"/>
                    </a:xfrm>
                    <a:prstGeom prst="rect">
                      <a:avLst/>
                    </a:prstGeom>
                  </pic:spPr>
                </pic:pic>
              </a:graphicData>
            </a:graphic>
          </wp:inline>
        </w:drawing>
      </w:r>
    </w:p>
    <w:p w:rsidR="005A1B06" w:rsidRDefault="00047130"/>
    <w:p w:rsidR="00047130" w:rsidRDefault="00047130"/>
    <w:sectPr w:rsidR="00047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7130" w:rsidRDefault="00047130" w:rsidP="00047130">
      <w:pPr>
        <w:spacing w:after="0" w:line="240" w:lineRule="auto"/>
      </w:pPr>
      <w:r>
        <w:separator/>
      </w:r>
    </w:p>
  </w:endnote>
  <w:endnote w:type="continuationSeparator" w:id="0">
    <w:p w:rsidR="00047130" w:rsidRDefault="00047130" w:rsidP="0004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7130" w:rsidRDefault="00047130" w:rsidP="00047130">
      <w:pPr>
        <w:spacing w:after="0" w:line="240" w:lineRule="auto"/>
      </w:pPr>
      <w:r>
        <w:separator/>
      </w:r>
    </w:p>
  </w:footnote>
  <w:footnote w:type="continuationSeparator" w:id="0">
    <w:p w:rsidR="00047130" w:rsidRDefault="00047130" w:rsidP="00047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30"/>
    <w:rsid w:val="00047130"/>
    <w:rsid w:val="00552E69"/>
    <w:rsid w:val="005C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8BC04"/>
  <w15:chartTrackingRefBased/>
  <w15:docId w15:val="{8272577F-D118-4471-8F45-0298C9A2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047130"/>
    <w:pPr>
      <w:keepNext/>
      <w:keepLines/>
      <w:suppressAutoHyphens/>
      <w:spacing w:before="360" w:after="60" w:line="360" w:lineRule="atLeast"/>
      <w:contextualSpacing/>
      <w:outlineLvl w:val="0"/>
    </w:pPr>
    <w:rPr>
      <w:rFonts w:ascii="Georgia" w:eastAsiaTheme="majorEastAsia" w:hAnsi="Georgia" w:cs="Arial"/>
      <w:b/>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47130"/>
    <w:rPr>
      <w:rFonts w:ascii="Georgia" w:eastAsiaTheme="majorEastAsia" w:hAnsi="Georgia" w:cs="Arial"/>
      <w:b/>
      <w:color w:val="44546A"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pwc.com/us/en/services/esg/ghost/the-economic-realities-of-esg.html" TargetMode="External"/><Relationship Id="rId21" Type="http://schemas.openxmlformats.org/officeDocument/2006/relationships/hyperlink" Target="https://www.pwc.com/us/en/services/consulting/cybersecurity-risk-regulatory/library/sec-cyber-proposed-disclosure.html" TargetMode="External"/><Relationship Id="rId42" Type="http://schemas.openxmlformats.org/officeDocument/2006/relationships/hyperlink" Target="https://www.pwc.com/us/en/services/esg/library/climate-change-talent-strategy-activation.html" TargetMode="External"/><Relationship Id="rId47" Type="http://schemas.openxmlformats.org/officeDocument/2006/relationships/hyperlink" Target="https://www.pwc.com/us/en/services/consulting/cybersecurity-privacy-forensics/library/privacy-reset.html" TargetMode="External"/><Relationship Id="rId63" Type="http://schemas.openxmlformats.org/officeDocument/2006/relationships/hyperlink" Target="https://www.pwc.com/us/en/services/consulting/fit-for-growth/global-treasury-survey/driving-esg.html" TargetMode="External"/><Relationship Id="rId68" Type="http://schemas.openxmlformats.org/officeDocument/2006/relationships/hyperlink" Target="https://www.pwc.com/us/en/services/tax/library/carbon-taxes-and-international-trade-what-are-the-key-issues.html" TargetMode="External"/><Relationship Id="rId16" Type="http://schemas.openxmlformats.org/officeDocument/2006/relationships/hyperlink" Target="https://www.pwc.com/us/en/services/consulting/deals/library/maximizing-ipo-value-through-esg-equity.html" TargetMode="External"/><Relationship Id="rId11" Type="http://schemas.openxmlformats.org/officeDocument/2006/relationships/hyperlink" Target="https://www.pwc.com/us/en/services/esg/ghost/sec-climate-risk-disclosures.html" TargetMode="External"/><Relationship Id="rId24" Type="http://schemas.openxmlformats.org/officeDocument/2006/relationships/hyperlink" Target="https://www.pwc.com/us/en/services/governance-insights-center/library/esg-corporate-directors-guide.html" TargetMode="External"/><Relationship Id="rId32" Type="http://schemas.openxmlformats.org/officeDocument/2006/relationships/hyperlink" Target="https://www.pwc.com/us/en/services/esg/ghost/diversity-pledges-ceo-action-social-justice.html" TargetMode="External"/><Relationship Id="rId37" Type="http://schemas.openxmlformats.org/officeDocument/2006/relationships/hyperlink" Target="https://www.pwc.com/us/en/services/esg/esg-tax-solutions.html" TargetMode="External"/><Relationship Id="rId40" Type="http://schemas.openxmlformats.org/officeDocument/2006/relationships/hyperlink" Target="https://www.pwc.com/us/en/industries/consumer-markets/library/digital-supply-chain.html" TargetMode="External"/><Relationship Id="rId45" Type="http://schemas.openxmlformats.org/officeDocument/2006/relationships/hyperlink" Target="https://www.pwc.com/us/en/library/case-studies/constellation-brands.html" TargetMode="External"/><Relationship Id="rId53" Type="http://schemas.openxmlformats.org/officeDocument/2006/relationships/hyperlink" Target="https://www.pwc.com/us/en/industries/consumer-markets/library/trust-takes-center-stage.html" TargetMode="External"/><Relationship Id="rId58" Type="http://schemas.openxmlformats.org/officeDocument/2006/relationships/hyperlink" Target="https://www.pwc.com/us/en/services/consulting/risk-regulatory/library/infrastructure-investment-jobs-act/modernizing/transportation-and-logistics.html" TargetMode="External"/><Relationship Id="rId66" Type="http://schemas.openxmlformats.org/officeDocument/2006/relationships/hyperlink" Target="https://www.pwc.com/us/en/services/consulting/risk-regulatory/library/infrastructure-investment-jobs-act/modernizing.html" TargetMode="External"/><Relationship Id="rId74" Type="http://schemas.openxmlformats.org/officeDocument/2006/relationships/hyperlink" Target="https://www.pwc.com/us/en/services/esg/library/journey-to-diversity-and-inclusion-reporting.html" TargetMode="External"/><Relationship Id="rId5" Type="http://schemas.openxmlformats.org/officeDocument/2006/relationships/endnotes" Target="endnotes.xml"/><Relationship Id="rId61" Type="http://schemas.openxmlformats.org/officeDocument/2006/relationships/hyperlink" Target="https://www.pwc.com/us/en/services/tax/library/senate-approves-budget-resolution.html" TargetMode="External"/><Relationship Id="rId19" Type="http://schemas.openxmlformats.org/officeDocument/2006/relationships/hyperlink" Target="https://www.pwc.com/us/en/services/esg/ghost/women-in-work-index.html" TargetMode="External"/><Relationship Id="rId14" Type="http://schemas.openxmlformats.org/officeDocument/2006/relationships/hyperlink" Target="https://www.pwc.com/us/en/services/tax/library/general-counsel-esg-role-sec-climate-related-disclosure-rules.html" TargetMode="External"/><Relationship Id="rId22" Type="http://schemas.openxmlformats.org/officeDocument/2006/relationships/hyperlink" Target="https://www.pwc.com/us/en/services/governance-insights-center/library/boards-climate-related-transparency.html" TargetMode="External"/><Relationship Id="rId27" Type="http://schemas.openxmlformats.org/officeDocument/2006/relationships/hyperlink" Target="https://www.pwc.com/us/en/services/esg/library/sec-climate-disclosures.html" TargetMode="External"/><Relationship Id="rId30" Type="http://schemas.openxmlformats.org/officeDocument/2006/relationships/hyperlink" Target="https://www.pwc.com/us/en/services/esg/ghost/do-sweat-the-small-stuff-when-it-comes-to-inclusion.html" TargetMode="External"/><Relationship Id="rId35" Type="http://schemas.openxmlformats.org/officeDocument/2006/relationships/hyperlink" Target="https://www.pwc.com/us/en/services/esg/ghost/esg-reporting-getting-started.html" TargetMode="External"/><Relationship Id="rId43" Type="http://schemas.openxmlformats.org/officeDocument/2006/relationships/hyperlink" Target="https://www.pwc.com/us/en/industries/consumer-markets/library/consumers-want-to-travel-holiday-2021.html" TargetMode="External"/><Relationship Id="rId48" Type="http://schemas.openxmlformats.org/officeDocument/2006/relationships/hyperlink" Target="https://www.pwc.com/us/en/services/deals/library/environmental-social-governance-adding-value.html" TargetMode="External"/><Relationship Id="rId56" Type="http://schemas.openxmlformats.org/officeDocument/2006/relationships/hyperlink" Target="https://www.pwc.com/us/en/about-us/purpose-and-values/purpose-report/corporate-responsibility.html" TargetMode="External"/><Relationship Id="rId64" Type="http://schemas.openxmlformats.org/officeDocument/2006/relationships/hyperlink" Target="https://www.pwc.com/us/en/services/consulting/risk-regulatory/library/infrastructure-investment-jobs-act/funding-new-infrastructure.html" TargetMode="External"/><Relationship Id="rId69" Type="http://schemas.openxmlformats.org/officeDocument/2006/relationships/hyperlink" Target="https://www.pwc.com/us/en/services/governance-insights-center/blog/increase-board-diversity.html" TargetMode="External"/><Relationship Id="rId77" Type="http://schemas.openxmlformats.org/officeDocument/2006/relationships/fontTable" Target="fontTable.xml"/><Relationship Id="rId8" Type="http://schemas.openxmlformats.org/officeDocument/2006/relationships/hyperlink" Target="https://www.pwc.com/us/en/services/esg/ghost/positioning-your-chief-sustainability-officer-for-success.html" TargetMode="External"/><Relationship Id="rId51" Type="http://schemas.openxmlformats.org/officeDocument/2006/relationships/hyperlink" Target="https://www.pwc.com/us/en/services/deals/library/culture-purpose-digital-acumen.html" TargetMode="External"/><Relationship Id="rId72" Type="http://schemas.openxmlformats.org/officeDocument/2006/relationships/hyperlink" Target="https://www.pwc.com/us/en/services/governance-insights-center/blog/crisis-institutional-legitimacy.html" TargetMode="External"/><Relationship Id="rId3" Type="http://schemas.openxmlformats.org/officeDocument/2006/relationships/webSettings" Target="webSettings.xml"/><Relationship Id="rId12" Type="http://schemas.openxmlformats.org/officeDocument/2006/relationships/hyperlink" Target="https://www.pwc.com/us/en/services/deals/blog/maximizing-ipo-value-through-esg-equity.html" TargetMode="External"/><Relationship Id="rId17" Type="http://schemas.openxmlformats.org/officeDocument/2006/relationships/hyperlink" Target="https://www.pwc.com/us/en/services/trust-solutions/private-company-services/business-perspectives/greening-the-tax-system.html" TargetMode="External"/><Relationship Id="rId25" Type="http://schemas.openxmlformats.org/officeDocument/2006/relationships/hyperlink" Target="https://www.pwc.com/us/en/services/esg/ghost/tax-is-a-crucial-part-of-esg-reporting.html" TargetMode="External"/><Relationship Id="rId33" Type="http://schemas.openxmlformats.org/officeDocument/2006/relationships/hyperlink" Target="https://www.pwc.com/us/en/services/governance-insights-center/library/boards-net-zero-emissions.html" TargetMode="External"/><Relationship Id="rId38" Type="http://schemas.openxmlformats.org/officeDocument/2006/relationships/hyperlink" Target="https://www.pwc.com/us/en/industries/consumer-markets/library/holiday-season-digital-supply-chain.html" TargetMode="External"/><Relationship Id="rId46" Type="http://schemas.openxmlformats.org/officeDocument/2006/relationships/hyperlink" Target="https://www.pwc.com/us/en/services/alliances/sap-implementation/headless-commerce.html" TargetMode="External"/><Relationship Id="rId59" Type="http://schemas.openxmlformats.org/officeDocument/2006/relationships/hyperlink" Target="https://www.pwc.com/us/en/services/consulting/risk-regulatory/library/infrastructure-investment-jobs-act/modernizing/industrial-products.html" TargetMode="External"/><Relationship Id="rId67" Type="http://schemas.openxmlformats.org/officeDocument/2006/relationships/hyperlink" Target="https://www.pwc.com/us/en/services/consulting/risk-regulatory/library/infrastructure-investment-jobs-act.html" TargetMode="External"/><Relationship Id="rId20" Type="http://schemas.openxmlformats.org/officeDocument/2006/relationships/hyperlink" Target="https://www.pwc.com/us/en/the-new-equation/esg.html" TargetMode="External"/><Relationship Id="rId41" Type="http://schemas.openxmlformats.org/officeDocument/2006/relationships/hyperlink" Target="https://www.pwc.com/us/en/services/alliances/salesforce/future-of-b2b-commerce.html" TargetMode="External"/><Relationship Id="rId54" Type="http://schemas.openxmlformats.org/officeDocument/2006/relationships/hyperlink" Target="https://www.pwc.com/us/en/services/consulting/cybersecurity-risk-regulatory/library/privacy-reset.html" TargetMode="External"/><Relationship Id="rId62" Type="http://schemas.openxmlformats.org/officeDocument/2006/relationships/hyperlink" Target="https://www.pwc.com/us/en/services/governance-insights-center/blog/crisis-of-leadership.html" TargetMode="External"/><Relationship Id="rId70" Type="http://schemas.openxmlformats.org/officeDocument/2006/relationships/hyperlink" Target="https://www.pwc.com/us/en/services/tax/multimedia-gallery/tap-into-tax-podcasts-climate-carbon-emissions.html" TargetMode="External"/><Relationship Id="rId75" Type="http://schemas.openxmlformats.org/officeDocument/2006/relationships/hyperlink" Target="https://www.pwc.com/us/en/services/esg/library/reporting-for-shareholders.html" TargetMode="External"/><Relationship Id="rId1" Type="http://schemas.openxmlformats.org/officeDocument/2006/relationships/styles" Target="styles.xml"/><Relationship Id="rId6" Type="http://schemas.openxmlformats.org/officeDocument/2006/relationships/hyperlink" Target="https://www.pwc.com/us/en/library/case-studies/baker-hughes.html" TargetMode="External"/><Relationship Id="rId15" Type="http://schemas.openxmlformats.org/officeDocument/2006/relationships/hyperlink" Target="https://www.pwc.com/us/en/services/esg/ghost/esg-sec-cyber-environment-leadership-corporate-governance-investing-jamie-gamble.html" TargetMode="External"/><Relationship Id="rId23" Type="http://schemas.openxmlformats.org/officeDocument/2006/relationships/hyperlink" Target="https://www.pwc.com/us/en/industries/consumer-markets/library/next-in-cpg-trends.html" TargetMode="External"/><Relationship Id="rId28" Type="http://schemas.openxmlformats.org/officeDocument/2006/relationships/hyperlink" Target="https://www.pwc.com/us/en/ghosts/net-zero-progress-and-perils.html" TargetMode="External"/><Relationship Id="rId36" Type="http://schemas.openxmlformats.org/officeDocument/2006/relationships/hyperlink" Target="https://www.pwc.com/us/en/library/case-studies/nrf-salesforce-interview.html" TargetMode="External"/><Relationship Id="rId49" Type="http://schemas.openxmlformats.org/officeDocument/2006/relationships/hyperlink" Target="https://www.pwc.com/us/en/services/governance-insights-center/library/annual-corporate-directors-survey.html" TargetMode="External"/><Relationship Id="rId57" Type="http://schemas.openxmlformats.org/officeDocument/2006/relationships/hyperlink" Target="https://www.pwc.com/us/en/industries/hospitality-leisure/manhattan-lodging-index.html" TargetMode="External"/><Relationship Id="rId10" Type="http://schemas.openxmlformats.org/officeDocument/2006/relationships/hyperlink" Target="https://www.pwc.com/us/en/services/esg/ghost/rewarding-esg.html" TargetMode="External"/><Relationship Id="rId31" Type="http://schemas.openxmlformats.org/officeDocument/2006/relationships/hyperlink" Target="https://www.pwc.com/us/en/services/governance-insights-center/blog/esg-oversight-company-size.html" TargetMode="External"/><Relationship Id="rId44" Type="http://schemas.openxmlformats.org/officeDocument/2006/relationships/hyperlink" Target="https://www.pwc.com/us/en/services/esg/library/sustainability-survey.html" TargetMode="External"/><Relationship Id="rId52" Type="http://schemas.openxmlformats.org/officeDocument/2006/relationships/hyperlink" Target="https://www.pwc.com/us/en/ghosts/net-zero-economy-index.html" TargetMode="External"/><Relationship Id="rId60" Type="http://schemas.openxmlformats.org/officeDocument/2006/relationships/hyperlink" Target="https://www.pwc.com/us/en/services/esg/library/un-ipcc-report-climate-risks-for-businesses.html" TargetMode="External"/><Relationship Id="rId65" Type="http://schemas.openxmlformats.org/officeDocument/2006/relationships/hyperlink" Target="https://www.pwc.com/us/en/services/consulting/risk-regulatory/library/infrastructure-investment-jobs-act/decarbonizing.html" TargetMode="External"/><Relationship Id="rId73" Type="http://schemas.openxmlformats.org/officeDocument/2006/relationships/hyperlink" Target="https://www.pwc.com/us/en/services/esg/sustainability-climate-decarbonization.html" TargetMode="Externa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pwc.com/us/en/services/esg/ghost/risks-and-opportunities-of-climate-change-on-business.html" TargetMode="External"/><Relationship Id="rId13" Type="http://schemas.openxmlformats.org/officeDocument/2006/relationships/hyperlink" Target="https://www.pwc.com/us/en/products/workforce-architect.html" TargetMode="External"/><Relationship Id="rId18" Type="http://schemas.openxmlformats.org/officeDocument/2006/relationships/hyperlink" Target="https://www.pwc.com/us/en/services/governance-insights-center/library/esg-metrics-compensation-plans.html" TargetMode="External"/><Relationship Id="rId39" Type="http://schemas.openxmlformats.org/officeDocument/2006/relationships/hyperlink" Target="https://www.pwc.com/us/en/ghosts/why-tax-must-be-an-integral-part-of-a-companys-esg-strategy.html" TargetMode="External"/><Relationship Id="rId34" Type="http://schemas.openxmlformats.org/officeDocument/2006/relationships/hyperlink" Target="https://www.pwc.com/us/en/library/case-studies/bristol-myers-squibb.html" TargetMode="External"/><Relationship Id="rId50" Type="http://schemas.openxmlformats.org/officeDocument/2006/relationships/hyperlink" Target="https://www.pwc.com/us/en/services/deals/dealmaking-identity.html" TargetMode="External"/><Relationship Id="rId55" Type="http://schemas.openxmlformats.org/officeDocument/2006/relationships/hyperlink" Target="https://www.pwc.com/us/en/services/governance-insights-center/library/sustainability-esg-reporting-audit-committees.html" TargetMode="External"/><Relationship Id="rId76" Type="http://schemas.openxmlformats.org/officeDocument/2006/relationships/hyperlink" Target="https://www.pwc.com/us/en/services/esg/podcasts-webcasts.html" TargetMode="External"/><Relationship Id="rId7" Type="http://schemas.openxmlformats.org/officeDocument/2006/relationships/image" Target="media/image1.png"/><Relationship Id="rId71" Type="http://schemas.openxmlformats.org/officeDocument/2006/relationships/hyperlink" Target="https://www.pwc.com/us/en/services/consulting/cybersecurity-risk-regulatory/library/infrastructure-investment-jobs-act/modernizing.html" TargetMode="External"/><Relationship Id="rId2" Type="http://schemas.openxmlformats.org/officeDocument/2006/relationships/settings" Target="settings.xml"/><Relationship Id="rId29" Type="http://schemas.openxmlformats.org/officeDocument/2006/relationships/hyperlink" Target="https://www.pwc.com/us/en/ghosts/itl-cs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3049</Words>
  <Characters>17384</Characters>
  <Application>Microsoft Office Word</Application>
  <DocSecurity>0</DocSecurity>
  <Lines>144</Lines>
  <Paragraphs>40</Paragraphs>
  <ScaleCrop>false</ScaleCrop>
  <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Colo (US)</dc:creator>
  <cp:keywords/>
  <dc:description/>
  <cp:lastModifiedBy>Juan Colo (US)</cp:lastModifiedBy>
  <cp:revision>1</cp:revision>
  <dcterms:created xsi:type="dcterms:W3CDTF">2022-06-16T21:43:00Z</dcterms:created>
  <dcterms:modified xsi:type="dcterms:W3CDTF">2022-06-16T21:44:00Z</dcterms:modified>
</cp:coreProperties>
</file>