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0"/>
        <w:jc w:val="center"/>
      </w:pPr>
      <w:r>
        <w:rPr>
          <w:rFonts w:ascii="Arial" w:cs="Arial" w:eastAsia="Arial" w:hAnsi="Arial"/>
          <w:b/>
          <w:bCs/>
          <w:color w:val="1F4E79"/>
          <w:sz w:val="28"/>
          <w:szCs w:val="28"/>
        </w:rPr>
        <w:t xml:space="preserve">UNIVERSIDAD TECNOLÓGICA NACIONAL</w:t>
      </w:r>
    </w:p>
    <w:p>
      <w:pPr>
        <w:spacing w:after="60" w:before="0"/>
        <w:jc w:val="center"/>
      </w:pPr>
      <w:r>
        <w:rPr>
          <w:rFonts w:ascii="Arial" w:cs="Arial" w:eastAsia="Arial" w:hAnsi="Arial"/>
          <w:color w:val="2E75B6"/>
          <w:sz w:val="24"/>
          <w:szCs w:val="24"/>
        </w:rPr>
        <w:t xml:space="preserve">Tecnicatura Universitaria en Energías Renovables</w:t>
      </w:r>
    </w:p>
    <w:p>
      <w:pPr>
        <w:spacing w:after="60" w:before="0"/>
        <w:jc w:val="center"/>
      </w:pPr>
      <w:r>
        <w:rPr>
          <w:rFonts w:ascii="Arial" w:cs="Arial" w:eastAsia="Arial" w:hAnsi="Arial"/>
          <w:color w:val="2E75B6"/>
          <w:sz w:val="24"/>
          <w:szCs w:val="24"/>
        </w:rPr>
        <w:t xml:space="preserve">Biología General</w:t>
      </w:r>
    </w:p>
    <w:p>
      <w:pPr>
        <w:pBdr>
          <w:bottom w:val="single" w:color="2E75B6" w:sz="4" w:space="1"/>
        </w:pBdr>
        <w:spacing w:after="60" w:before="60"/>
      </w:pPr>
      <w:r>
        <w:t xml:space="preserve"/>
      </w:r>
    </w:p>
    <w:p>
      <w:r>
        <w:t xml:space="preserve"/>
      </w:r>
    </w:p>
    <w:p>
      <w:pPr>
        <w:spacing w:after="120" w:before="120"/>
        <w:jc w:val="center"/>
      </w:pPr>
      <w:r>
        <w:rPr>
          <w:rFonts w:ascii="Arial" w:cs="Arial" w:eastAsia="Arial" w:hAnsi="Arial"/>
          <w:b/>
          <w:bCs/>
          <w:color w:val="1F4E79"/>
          <w:sz w:val="36"/>
          <w:szCs w:val="36"/>
        </w:rPr>
        <w:t xml:space="preserve">INFORME DE LABORATORIO INTEGRADOR</w:t>
      </w:r>
    </w:p>
    <w:p>
      <w:pPr>
        <w:spacing w:after="60" w:before="0"/>
        <w:jc w:val="center"/>
      </w:pPr>
      <w:r>
        <w:rPr>
          <w:rFonts w:ascii="Arial" w:cs="Arial" w:eastAsia="Arial" w:hAnsi="Arial"/>
          <w:color w:val="404040"/>
          <w:sz w:val="28"/>
          <w:szCs w:val="28"/>
        </w:rPr>
        <w:t xml:space="preserve">Análisis Comparativo de Células Eucariotas</w:t>
      </w:r>
    </w:p>
    <w:p>
      <w:pPr>
        <w:spacing w:after="60" w:before="0"/>
        <w:jc w:val="center"/>
      </w:pPr>
      <w:r>
        <w:rPr>
          <w:rFonts w:ascii="Arial" w:cs="Arial" w:eastAsia="Arial" w:hAnsi="Arial"/>
          <w:color w:val="404040"/>
          <w:sz w:val="24"/>
          <w:szCs w:val="24"/>
        </w:rPr>
        <w:t xml:space="preserve">Laboratorios 1, 2, 3 y 4</w:t>
      </w:r>
    </w:p>
    <w:p>
      <w:pPr>
        <w:pBdr>
          <w:bottom w:val="single" w:color="2E75B6" w:sz="4" w:space="1"/>
        </w:pBdr>
        <w:spacing w:after="60" w:before="60"/>
      </w:pPr>
      <w:r>
        <w:t xml:space="preserve"/>
      </w:r>
    </w:p>
    <w:p>
      <w:r>
        <w:t xml:space="preserve"/>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Materia:</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Biología General</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Docentes:</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Lic. Martín N. del Brio  /  Lic. Prof. Lorena Obregón</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Abril 2026</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Integrantes:</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Fredes, Aguilar y demás integrantes del grupo</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Carrera:</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Tecnicatura Universitaria en Energías Renovables</w:t>
            </w:r>
          </w:p>
        </w:tc>
      </w:tr>
    </w:tbl>
    <w:p>
      <w:r>
        <w:t xml:space="preserve"/>
      </w:r>
    </w:p>
    <w:p>
      <w:r>
        <w:t xml:space="preserve"/>
      </w:r>
    </w:p>
    <w:p>
      <w:r>
        <w:t xml:space="preserve"/>
      </w:r>
    </w:p>
    <w:p>
      <w:r>
        <w:t xml:space="preserve"/>
      </w:r>
    </w:p>
    <w:p>
      <w:r>
        <w:br w:type="page"/>
      </w:r>
    </w:p>
    <w:p>
      <w:pPr>
        <w:pStyle w:val="Heading1"/>
        <w:spacing w:after="120" w:before="300"/>
      </w:pPr>
      <w:r>
        <w:rPr>
          <w:rFonts w:ascii="Arial" w:cs="Arial" w:eastAsia="Arial" w:hAnsi="Arial"/>
          <w:b/>
          <w:bCs/>
          <w:color w:val="1F4E79"/>
          <w:sz w:val="28"/>
          <w:szCs w:val="28"/>
        </w:rPr>
        <w:t xml:space="preserve">1. Introducción</w:t>
      </w:r>
    </w:p>
    <w:p>
      <w:pPr>
        <w:spacing w:after="60" w:before="60" w:line="276"/>
        <w:jc w:val="both"/>
      </w:pPr>
      <w:r>
        <w:rPr>
          <w:rFonts w:ascii="Arial" w:cs="Arial" w:eastAsia="Arial" w:hAnsi="Arial"/>
          <w:b w:val="false"/>
          <w:bCs w:val="false"/>
          <w:i w:val="false"/>
          <w:iCs w:val="false"/>
          <w:color w:val="000000"/>
          <w:sz w:val="22"/>
          <w:szCs w:val="22"/>
        </w:rPr>
        <w:t xml:space="preserve">El presente informe recopila las observaciones realizadas en cuatro experiencias de laboratorio enfocadas al estudio de la célula como unidad estructural y funcional de la vida. A través de la observación microscópica de muestras de Allium cepa (cebolla), Solanum lycopersicum (tomate), Saccharomyces cerevisiae (levadura) y epitelio bucal humano, se busca identificar las diferencias morfológicas entre los reinos Plantae, Fungi y Animalia, así como comprender la importancia de los colorantes en la identificación de orgánulos específicos.</w:t>
      </w:r>
    </w:p>
    <w:p>
      <w:r>
        <w:t xml:space="preserve"/>
      </w:r>
    </w:p>
    <w:p>
      <w:pPr>
        <w:pStyle w:val="Heading2"/>
        <w:spacing w:after="80" w:before="200"/>
      </w:pPr>
      <w:r>
        <w:rPr>
          <w:rFonts w:ascii="Arial" w:cs="Arial" w:eastAsia="Arial" w:hAnsi="Arial"/>
          <w:b/>
          <w:bCs/>
          <w:color w:val="2E75B6"/>
          <w:sz w:val="24"/>
          <w:szCs w:val="24"/>
        </w:rPr>
        <w:t xml:space="preserve">1.1 Marco Teórico</w:t>
      </w:r>
    </w:p>
    <w:p>
      <w:pPr>
        <w:pStyle w:val="Heading3"/>
        <w:spacing w:after="60" w:before="160"/>
      </w:pPr>
      <w:r>
        <w:rPr>
          <w:rFonts w:ascii="Arial" w:cs="Arial" w:eastAsia="Arial" w:hAnsi="Arial"/>
          <w:b/>
          <w:bCs/>
          <w:color w:val="404040"/>
          <w:sz w:val="22"/>
          <w:szCs w:val="22"/>
        </w:rPr>
        <w:t xml:space="preserve">Teoría Celular</w:t>
      </w:r>
    </w:p>
    <w:p>
      <w:pPr>
        <w:spacing w:after="60" w:before="60" w:line="276"/>
        <w:jc w:val="both"/>
      </w:pPr>
      <w:r>
        <w:rPr>
          <w:rFonts w:ascii="Arial" w:cs="Arial" w:eastAsia="Arial" w:hAnsi="Arial"/>
          <w:b w:val="false"/>
          <w:bCs w:val="false"/>
          <w:i w:val="false"/>
          <w:iCs w:val="false"/>
          <w:color w:val="000000"/>
          <w:sz w:val="22"/>
          <w:szCs w:val="22"/>
        </w:rPr>
        <w:t xml:space="preserve">La teoría celular constituye uno de los pilares fundamentales de la biología moderna. Sus postulados principales establecen que: (1) todos los seres vivos están formados por una o más células; (2) la célula es la unidad estructural y funcional de la vida; (3) toda célula proviene de una célula preexistente ("omnis cellula e cellula", Virchow, 1855); y (4) las células contienen información hereditaria en forma de ADN que se transmite durante la división celular.</w:t>
      </w:r>
    </w:p>
    <w:p>
      <w:pPr>
        <w:pStyle w:val="Heading3"/>
        <w:spacing w:after="60" w:before="160"/>
      </w:pPr>
      <w:r>
        <w:rPr>
          <w:rFonts w:ascii="Arial" w:cs="Arial" w:eastAsia="Arial" w:hAnsi="Arial"/>
          <w:b/>
          <w:bCs/>
          <w:color w:val="404040"/>
          <w:sz w:val="22"/>
          <w:szCs w:val="22"/>
        </w:rPr>
        <w:t xml:space="preserve">Células Procariotas y Eucariotas</w:t>
      </w:r>
    </w:p>
    <w:p>
      <w:pPr>
        <w:spacing w:after="60" w:before="60" w:line="276"/>
        <w:jc w:val="both"/>
      </w:pPr>
      <w:r>
        <w:rPr>
          <w:rFonts w:ascii="Arial" w:cs="Arial" w:eastAsia="Arial" w:hAnsi="Arial"/>
          <w:b w:val="false"/>
          <w:bCs w:val="false"/>
          <w:i w:val="false"/>
          <w:iCs w:val="false"/>
          <w:color w:val="000000"/>
          <w:sz w:val="22"/>
          <w:szCs w:val="22"/>
        </w:rPr>
        <w:t xml:space="preserve">Las células se clasifican en dos grandes grupos según su organización interna. Las células procariotas, como las bacterias, carecen de núcleo verdadero y de organelos membranosos: su material genético se localiza en una región denominada nucleoide. Miden entre 0,5 y 5 µm de diámetro. Las células eucariotas, en cambio, poseen núcleo verdadero rodeado por envoltura nuclear, organelos membranosos especializados (mitocondrias, retículo endoplasmático, aparato de Golgi, etc.) y un citoesqueleto complejo. Su tamaño oscila entre 10 y 100 µm.</w:t>
      </w:r>
    </w:p>
    <w:p>
      <w:pPr>
        <w:pStyle w:val="Heading3"/>
        <w:spacing w:after="60" w:before="160"/>
      </w:pPr>
      <w:r>
        <w:rPr>
          <w:rFonts w:ascii="Arial" w:cs="Arial" w:eastAsia="Arial" w:hAnsi="Arial"/>
          <w:b/>
          <w:bCs/>
          <w:color w:val="404040"/>
          <w:sz w:val="22"/>
          <w:szCs w:val="22"/>
        </w:rPr>
        <w:t xml:space="preserve">Tipos de Células Eucariotas</w:t>
      </w:r>
    </w:p>
    <w:p>
      <w:pPr>
        <w:spacing w:after="60" w:before="60" w:line="276"/>
        <w:jc w:val="both"/>
      </w:pPr>
      <w:r>
        <w:rPr>
          <w:rFonts w:ascii="Arial" w:cs="Arial" w:eastAsia="Arial" w:hAnsi="Arial"/>
          <w:b w:val="false"/>
          <w:bCs w:val="false"/>
          <w:i w:val="false"/>
          <w:iCs w:val="false"/>
          <w:color w:val="000000"/>
          <w:sz w:val="22"/>
          <w:szCs w:val="22"/>
        </w:rPr>
        <w:t xml:space="preserve">Dentro de las células eucariotas se distinguen tres tipos principales relevantes para este informe:</w:t>
      </w:r>
    </w:p>
    <w:p>
      <w:pPr>
        <w:spacing w:after="60" w:before="60" w:line="276"/>
        <w:jc w:val="both"/>
      </w:pPr>
      <w:r>
        <w:rPr>
          <w:rFonts w:ascii="Arial" w:cs="Arial" w:eastAsia="Arial" w:hAnsi="Arial"/>
          <w:b/>
          <w:bCs/>
          <w:sz w:val="22"/>
          <w:szCs w:val="22"/>
        </w:rPr>
        <w:t xml:space="preserve">Células vegetales: </w:t>
      </w:r>
      <w:r>
        <w:rPr>
          <w:rFonts w:ascii="Arial" w:cs="Arial" w:eastAsia="Arial" w:hAnsi="Arial"/>
          <w:sz w:val="22"/>
          <w:szCs w:val="22"/>
        </w:rPr>
        <w:t xml:space="preserve">Poseen pared celular de celulosa, vacuola central de gran tamaño, plastos (cloroplastos, cromoplastos, leucoplastos) y plasmodesmos. Almacenan almidón como sustancia de reserva.</w:t>
      </w:r>
    </w:p>
    <w:p>
      <w:pPr>
        <w:spacing w:after="60" w:before="60" w:line="276"/>
        <w:jc w:val="both"/>
      </w:pPr>
      <w:r>
        <w:rPr>
          <w:rFonts w:ascii="Arial" w:cs="Arial" w:eastAsia="Arial" w:hAnsi="Arial"/>
          <w:b/>
          <w:bCs/>
          <w:sz w:val="22"/>
          <w:szCs w:val="22"/>
        </w:rPr>
        <w:t xml:space="preserve">Células fúngicas: </w:t>
      </w:r>
      <w:r>
        <w:rPr>
          <w:rFonts w:ascii="Arial" w:cs="Arial" w:eastAsia="Arial" w:hAnsi="Arial"/>
          <w:sz w:val="22"/>
          <w:szCs w:val="22"/>
        </w:rPr>
        <w:t xml:space="preserve">Poseen pared celular de quitina, carecen de cloroplastos y presentan vacuolas de tamaño variable. Saccharomyces cerevisiae (levadura de pan) es un hongo unicelular eucariota que se reproduce asexualmente por gemación.</w:t>
      </w:r>
    </w:p>
    <w:p>
      <w:pPr>
        <w:spacing w:after="60" w:before="60" w:line="276"/>
        <w:jc w:val="both"/>
      </w:pPr>
      <w:r>
        <w:rPr>
          <w:rFonts w:ascii="Arial" w:cs="Arial" w:eastAsia="Arial" w:hAnsi="Arial"/>
          <w:b/>
          <w:bCs/>
          <w:sz w:val="22"/>
          <w:szCs w:val="22"/>
        </w:rPr>
        <w:t xml:space="preserve">Células animales: </w:t>
      </w:r>
      <w:r>
        <w:rPr>
          <w:rFonts w:ascii="Arial" w:cs="Arial" w:eastAsia="Arial" w:hAnsi="Arial"/>
          <w:sz w:val="22"/>
          <w:szCs w:val="22"/>
        </w:rPr>
        <w:t xml:space="preserve">Carecen de pared celular y de cloroplastos. Poseen membrana plasmática flexible, centríolos y lisosomas abundantes. El citoplasma ocupa la mayor parte del volumen celular.</w:t>
      </w:r>
    </w:p>
    <w:p>
      <w:pPr>
        <w:pStyle w:val="Heading3"/>
        <w:spacing w:after="60" w:before="160"/>
      </w:pPr>
      <w:r>
        <w:rPr>
          <w:rFonts w:ascii="Arial" w:cs="Arial" w:eastAsia="Arial" w:hAnsi="Arial"/>
          <w:b/>
          <w:bCs/>
          <w:color w:val="404040"/>
          <w:sz w:val="22"/>
          <w:szCs w:val="22"/>
        </w:rPr>
        <w:t xml:space="preserve">Colorantes utilizados</w:t>
      </w:r>
    </w:p>
    <w:p>
      <w:pPr>
        <w:spacing w:after="60" w:before="60" w:line="276"/>
        <w:jc w:val="both"/>
      </w:pPr>
      <w:r>
        <w:rPr>
          <w:rFonts w:ascii="Arial" w:cs="Arial" w:eastAsia="Arial" w:hAnsi="Arial"/>
          <w:b/>
          <w:bCs/>
          <w:sz w:val="22"/>
          <w:szCs w:val="22"/>
        </w:rPr>
        <w:t xml:space="preserve">Lugol (solución yodo-yodurada): </w:t>
      </w:r>
      <w:r>
        <w:rPr>
          <w:rFonts w:ascii="Arial" w:cs="Arial" w:eastAsia="Arial" w:hAnsi="Arial"/>
          <w:sz w:val="22"/>
          <w:szCs w:val="22"/>
        </w:rPr>
        <w:t xml:space="preserve">El complejo yodo-yoduro tiene afinidad por el almidón y por los ácidos nucleicos. En células de cebolla tiñe el núcleo de color amarillo-marrón intenso, dado que el ADN y el ARN nuclear concentran el colorante.</w:t>
      </w:r>
    </w:p>
    <w:p>
      <w:pPr>
        <w:spacing w:after="60" w:before="60" w:line="276"/>
        <w:jc w:val="both"/>
      </w:pPr>
      <w:r>
        <w:rPr>
          <w:rFonts w:ascii="Arial" w:cs="Arial" w:eastAsia="Arial" w:hAnsi="Arial"/>
          <w:b/>
          <w:bCs/>
          <w:sz w:val="22"/>
          <w:szCs w:val="22"/>
        </w:rPr>
        <w:t xml:space="preserve">Azul de metileno: </w:t>
      </w:r>
      <w:r>
        <w:rPr>
          <w:rFonts w:ascii="Arial" w:cs="Arial" w:eastAsia="Arial" w:hAnsi="Arial"/>
          <w:sz w:val="22"/>
          <w:szCs w:val="22"/>
        </w:rPr>
        <w:t xml:space="preserve">Es un colorante básico con afinidad por moléculas cargadas negativamente (ácidos nucleicos). Tiñe el núcleo de azul intenso y el citoplasma de azul más claro, facilitando la identificación de estructuras en células animales y fúngicas.</w:t>
      </w:r>
    </w:p>
    <w:p>
      <w:pPr>
        <w:pStyle w:val="Heading3"/>
        <w:spacing w:after="60" w:before="160"/>
      </w:pPr>
      <w:r>
        <w:rPr>
          <w:rFonts w:ascii="Arial" w:cs="Arial" w:eastAsia="Arial" w:hAnsi="Arial"/>
          <w:b/>
          <w:bCs/>
          <w:color w:val="404040"/>
          <w:sz w:val="22"/>
          <w:szCs w:val="22"/>
        </w:rPr>
        <w:t xml:space="preserve">Objetivos</w:t>
      </w:r>
    </w:p>
    <w:p>
      <w:pPr>
        <w:pStyle w:val="ListParagraph"/>
        <w:numPr>
          <w:ilvl w:val="0"/>
          <w:numId w:val="2"/>
        </w:numPr>
        <w:spacing w:after="40" w:before="40"/>
      </w:pPr>
      <w:r>
        <w:rPr>
          <w:rFonts w:ascii="Arial" w:cs="Arial" w:eastAsia="Arial" w:hAnsi="Arial"/>
          <w:sz w:val="22"/>
          <w:szCs w:val="22"/>
        </w:rPr>
        <w:t xml:space="preserve">Diferenciar células procariotas (microbiota bucal) de células eucariotas.</w:t>
      </w:r>
    </w:p>
    <w:p>
      <w:pPr>
        <w:pStyle w:val="ListParagraph"/>
        <w:numPr>
          <w:ilvl w:val="0"/>
          <w:numId w:val="2"/>
        </w:numPr>
        <w:spacing w:after="40" w:before="40"/>
      </w:pPr>
      <w:r>
        <w:rPr>
          <w:rFonts w:ascii="Arial" w:cs="Arial" w:eastAsia="Arial" w:hAnsi="Arial"/>
          <w:sz w:val="22"/>
          <w:szCs w:val="22"/>
        </w:rPr>
        <w:t xml:space="preserve">Identificar y comparar estructuras celulares: pared celular, membrana plasmática, núcleo, vacuolas, cromoplastos y gemación.</w:t>
      </w:r>
    </w:p>
    <w:p>
      <w:pPr>
        <w:pStyle w:val="ListParagraph"/>
        <w:numPr>
          <w:ilvl w:val="0"/>
          <w:numId w:val="2"/>
        </w:numPr>
        <w:spacing w:after="40" w:before="40"/>
      </w:pPr>
      <w:r>
        <w:rPr>
          <w:rFonts w:ascii="Arial" w:cs="Arial" w:eastAsia="Arial" w:hAnsi="Arial"/>
          <w:sz w:val="22"/>
          <w:szCs w:val="22"/>
        </w:rPr>
        <w:t xml:space="preserve">Relacionar la morfología celular con la función biológica del tejido u organismo de origen.</w:t>
      </w:r>
    </w:p>
    <w:p>
      <w:pPr>
        <w:pStyle w:val="ListParagraph"/>
        <w:numPr>
          <w:ilvl w:val="0"/>
          <w:numId w:val="2"/>
        </w:numPr>
        <w:spacing w:after="40" w:before="40"/>
      </w:pPr>
      <w:r>
        <w:rPr>
          <w:rFonts w:ascii="Arial" w:cs="Arial" w:eastAsia="Arial" w:hAnsi="Arial"/>
          <w:sz w:val="22"/>
          <w:szCs w:val="22"/>
        </w:rPr>
        <w:t xml:space="preserve">Comprender la importancia de la técnica de tinción en microscopía óptica.</w:t>
      </w:r>
    </w:p>
    <w:p>
      <w:r>
        <w:t xml:space="preserve"/>
      </w:r>
    </w:p>
    <w:p>
      <w:r>
        <w:br w:type="page"/>
      </w:r>
    </w:p>
    <w:p>
      <w:pPr>
        <w:pStyle w:val="Heading1"/>
        <w:spacing w:after="120" w:before="300"/>
      </w:pPr>
      <w:r>
        <w:rPr>
          <w:rFonts w:ascii="Arial" w:cs="Arial" w:eastAsia="Arial" w:hAnsi="Arial"/>
          <w:b/>
          <w:bCs/>
          <w:color w:val="1F4E79"/>
          <w:sz w:val="28"/>
          <w:szCs w:val="28"/>
        </w:rPr>
        <w:t xml:space="preserve">2. Materiales</w:t>
      </w:r>
    </w:p>
    <w:p>
      <w:pPr>
        <w:pStyle w:val="Heading2"/>
        <w:spacing w:after="80" w:before="200"/>
      </w:pPr>
      <w:r>
        <w:rPr>
          <w:rFonts w:ascii="Arial" w:cs="Arial" w:eastAsia="Arial" w:hAnsi="Arial"/>
          <w:b/>
          <w:bCs/>
          <w:color w:val="2E75B6"/>
          <w:sz w:val="24"/>
          <w:szCs w:val="24"/>
        </w:rPr>
        <w:t xml:space="preserve">2.1 Equipamiento general</w:t>
      </w:r>
    </w:p>
    <w:p>
      <w:pPr>
        <w:pStyle w:val="ListParagraph"/>
        <w:numPr>
          <w:ilvl w:val="0"/>
          <w:numId w:val="2"/>
        </w:numPr>
        <w:spacing w:after="40" w:before="40"/>
      </w:pPr>
      <w:r>
        <w:rPr>
          <w:rFonts w:ascii="Arial" w:cs="Arial" w:eastAsia="Arial" w:hAnsi="Arial"/>
          <w:sz w:val="22"/>
          <w:szCs w:val="22"/>
        </w:rPr>
        <w:t xml:space="preserve">Microscopio óptico</w:t>
      </w:r>
    </w:p>
    <w:p>
      <w:pPr>
        <w:pStyle w:val="ListParagraph"/>
        <w:numPr>
          <w:ilvl w:val="0"/>
          <w:numId w:val="2"/>
        </w:numPr>
        <w:spacing w:after="40" w:before="40"/>
      </w:pPr>
      <w:r>
        <w:rPr>
          <w:rFonts w:ascii="Arial" w:cs="Arial" w:eastAsia="Arial" w:hAnsi="Arial"/>
          <w:sz w:val="22"/>
          <w:szCs w:val="22"/>
        </w:rPr>
        <w:t xml:space="preserve">Portaobjetos y cubreobjetos</w:t>
      </w:r>
    </w:p>
    <w:p>
      <w:pPr>
        <w:pStyle w:val="ListParagraph"/>
        <w:numPr>
          <w:ilvl w:val="0"/>
          <w:numId w:val="2"/>
        </w:numPr>
        <w:spacing w:after="40" w:before="40"/>
      </w:pPr>
      <w:r>
        <w:rPr>
          <w:rFonts w:ascii="Arial" w:cs="Arial" w:eastAsia="Arial" w:hAnsi="Arial"/>
          <w:sz w:val="22"/>
          <w:szCs w:val="22"/>
        </w:rPr>
        <w:t xml:space="preserve">Goteros o pipetas Pasteur</w:t>
      </w:r>
    </w:p>
    <w:p>
      <w:pPr>
        <w:pStyle w:val="ListParagraph"/>
        <w:numPr>
          <w:ilvl w:val="0"/>
          <w:numId w:val="2"/>
        </w:numPr>
        <w:spacing w:after="40" w:before="40"/>
      </w:pPr>
      <w:r>
        <w:rPr>
          <w:rFonts w:ascii="Arial" w:cs="Arial" w:eastAsia="Arial" w:hAnsi="Arial"/>
          <w:sz w:val="22"/>
          <w:szCs w:val="22"/>
        </w:rPr>
        <w:t xml:space="preserve">Pinzas de punta fina</w:t>
      </w:r>
    </w:p>
    <w:p>
      <w:pPr>
        <w:pStyle w:val="ListParagraph"/>
        <w:numPr>
          <w:ilvl w:val="0"/>
          <w:numId w:val="2"/>
        </w:numPr>
        <w:spacing w:after="40" w:before="40"/>
      </w:pPr>
      <w:r>
        <w:rPr>
          <w:rFonts w:ascii="Arial" w:cs="Arial" w:eastAsia="Arial" w:hAnsi="Arial"/>
          <w:sz w:val="22"/>
          <w:szCs w:val="22"/>
        </w:rPr>
        <w:t xml:space="preserve">Bisturí o cuchilla</w:t>
      </w:r>
    </w:p>
    <w:p>
      <w:pPr>
        <w:pStyle w:val="ListParagraph"/>
        <w:numPr>
          <w:ilvl w:val="0"/>
          <w:numId w:val="2"/>
        </w:numPr>
        <w:spacing w:after="40" w:before="40"/>
      </w:pPr>
      <w:r>
        <w:rPr>
          <w:rFonts w:ascii="Arial" w:cs="Arial" w:eastAsia="Arial" w:hAnsi="Arial"/>
          <w:sz w:val="22"/>
          <w:szCs w:val="22"/>
        </w:rPr>
        <w:t xml:space="preserve">Aguja de disección</w:t>
      </w:r>
    </w:p>
    <w:p>
      <w:pPr>
        <w:pStyle w:val="ListParagraph"/>
        <w:numPr>
          <w:ilvl w:val="0"/>
          <w:numId w:val="2"/>
        </w:numPr>
        <w:spacing w:after="40" w:before="40"/>
      </w:pPr>
      <w:r>
        <w:rPr>
          <w:rFonts w:ascii="Arial" w:cs="Arial" w:eastAsia="Arial" w:hAnsi="Arial"/>
          <w:sz w:val="22"/>
          <w:szCs w:val="22"/>
        </w:rPr>
        <w:t xml:space="preserve">Papel absorbente / papel de filtro</w:t>
      </w:r>
    </w:p>
    <w:p>
      <w:pPr>
        <w:pStyle w:val="ListParagraph"/>
        <w:numPr>
          <w:ilvl w:val="0"/>
          <w:numId w:val="2"/>
        </w:numPr>
        <w:spacing w:after="40" w:before="40"/>
      </w:pPr>
      <w:r>
        <w:rPr>
          <w:rFonts w:ascii="Arial" w:cs="Arial" w:eastAsia="Arial" w:hAnsi="Arial"/>
          <w:sz w:val="22"/>
          <w:szCs w:val="22"/>
        </w:rPr>
        <w:t xml:space="preserve">Agua destilada</w:t>
      </w:r>
    </w:p>
    <w:p>
      <w:pPr>
        <w:pStyle w:val="ListParagraph"/>
        <w:numPr>
          <w:ilvl w:val="0"/>
          <w:numId w:val="2"/>
        </w:numPr>
        <w:spacing w:after="40" w:before="40"/>
      </w:pPr>
      <w:r>
        <w:rPr>
          <w:rFonts w:ascii="Arial" w:cs="Arial" w:eastAsia="Arial" w:hAnsi="Arial"/>
          <w:sz w:val="22"/>
          <w:szCs w:val="22"/>
        </w:rPr>
        <w:t xml:space="preserve">Mechero de alcohol o lámpara (opcional)</w:t>
      </w:r>
    </w:p>
    <w:p>
      <w:pPr>
        <w:pStyle w:val="ListParagraph"/>
        <w:numPr>
          <w:ilvl w:val="0"/>
          <w:numId w:val="2"/>
        </w:numPr>
        <w:spacing w:after="40" w:before="40"/>
      </w:pPr>
      <w:r>
        <w:rPr>
          <w:rFonts w:ascii="Arial" w:cs="Arial" w:eastAsia="Arial" w:hAnsi="Arial"/>
          <w:sz w:val="22"/>
          <w:szCs w:val="22"/>
        </w:rPr>
        <w:t xml:space="preserve">Palillos de dientes estériles / hisopos</w:t>
      </w:r>
    </w:p>
    <w:p>
      <w:pPr>
        <w:pStyle w:val="ListParagraph"/>
        <w:numPr>
          <w:ilvl w:val="0"/>
          <w:numId w:val="2"/>
        </w:numPr>
        <w:spacing w:after="40" w:before="40"/>
      </w:pPr>
      <w:r>
        <w:rPr>
          <w:rFonts w:ascii="Arial" w:cs="Arial" w:eastAsia="Arial" w:hAnsi="Arial"/>
          <w:sz w:val="22"/>
          <w:szCs w:val="22"/>
        </w:rPr>
        <w:t xml:space="preserve">Vasos de precipitados (50–100 ml)</w:t>
      </w:r>
    </w:p>
    <w:p>
      <w:pPr>
        <w:pStyle w:val="ListParagraph"/>
        <w:numPr>
          <w:ilvl w:val="0"/>
          <w:numId w:val="2"/>
        </w:numPr>
        <w:spacing w:after="40" w:before="40"/>
      </w:pPr>
      <w:r>
        <w:rPr>
          <w:rFonts w:ascii="Arial" w:cs="Arial" w:eastAsia="Arial" w:hAnsi="Arial"/>
          <w:sz w:val="22"/>
          <w:szCs w:val="22"/>
        </w:rPr>
        <w:t xml:space="preserve">Termómetro</w:t>
      </w:r>
    </w:p>
    <w:p>
      <w:pPr>
        <w:pStyle w:val="Heading2"/>
        <w:spacing w:after="80" w:before="200"/>
      </w:pPr>
      <w:r>
        <w:rPr>
          <w:rFonts w:ascii="Arial" w:cs="Arial" w:eastAsia="Arial" w:hAnsi="Arial"/>
          <w:b/>
          <w:bCs/>
          <w:color w:val="2E75B6"/>
          <w:sz w:val="24"/>
          <w:szCs w:val="24"/>
        </w:rPr>
        <w:t xml:space="preserve">2.2 Reactivos</w:t>
      </w:r>
    </w:p>
    <w:p>
      <w:pPr>
        <w:pStyle w:val="ListParagraph"/>
        <w:numPr>
          <w:ilvl w:val="0"/>
          <w:numId w:val="2"/>
        </w:numPr>
        <w:spacing w:after="40" w:before="40"/>
      </w:pPr>
      <w:r>
        <w:rPr>
          <w:rFonts w:ascii="Arial" w:cs="Arial" w:eastAsia="Arial" w:hAnsi="Arial"/>
          <w:sz w:val="22"/>
          <w:szCs w:val="22"/>
        </w:rPr>
        <w:t xml:space="preserve">Lugol (solución yodo-yodurada) — Laboratorio 1</w:t>
      </w:r>
    </w:p>
    <w:p>
      <w:pPr>
        <w:pStyle w:val="ListParagraph"/>
        <w:numPr>
          <w:ilvl w:val="0"/>
          <w:numId w:val="2"/>
        </w:numPr>
        <w:spacing w:after="40" w:before="40"/>
      </w:pPr>
      <w:r>
        <w:rPr>
          <w:rFonts w:ascii="Arial" w:cs="Arial" w:eastAsia="Arial" w:hAnsi="Arial"/>
          <w:sz w:val="22"/>
          <w:szCs w:val="22"/>
        </w:rPr>
        <w:t xml:space="preserve">Azul de metileno al 1 % — Laboratorios 3 y 4</w:t>
      </w:r>
    </w:p>
    <w:p>
      <w:pPr>
        <w:pStyle w:val="ListParagraph"/>
        <w:numPr>
          <w:ilvl w:val="0"/>
          <w:numId w:val="2"/>
        </w:numPr>
        <w:spacing w:after="40" w:before="40"/>
      </w:pPr>
      <w:r>
        <w:rPr>
          <w:rFonts w:ascii="Arial" w:cs="Arial" w:eastAsia="Arial" w:hAnsi="Arial"/>
          <w:sz w:val="22"/>
          <w:szCs w:val="22"/>
        </w:rPr>
        <w:t xml:space="preserve">Agua destilada — todos los laboratorios</w:t>
      </w:r>
    </w:p>
    <w:p>
      <w:pPr>
        <w:pStyle w:val="Heading2"/>
        <w:spacing w:after="80" w:before="200"/>
      </w:pPr>
      <w:r>
        <w:rPr>
          <w:rFonts w:ascii="Arial" w:cs="Arial" w:eastAsia="Arial" w:hAnsi="Arial"/>
          <w:b/>
          <w:bCs/>
          <w:color w:val="2E75B6"/>
          <w:sz w:val="24"/>
          <w:szCs w:val="24"/>
        </w:rPr>
        <w:t xml:space="preserve">2.3 Materiales biológicos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Laboratorio</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Material biológico</w:t>
            </w:r>
          </w:p>
        </w:tc>
        <w:tc>
          <w:tcPr>
            <w:tcW w:type="dxa" w:w="422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Especie / Descripción</w:t>
            </w:r>
          </w:p>
        </w:tc>
      </w:tr>
      <w:tr>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Lab 1</w:t>
            </w:r>
          </w:p>
        </w:tc>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Catafilo de cebolla</w:t>
            </w:r>
          </w:p>
        </w:tc>
        <w:tc>
          <w:tcPr>
            <w:tcW w:type="dxa" w:w="42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Allium cepa — epidermis interna (monocapa transparente)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Lab 2</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Epidermis de tomate maduro</w:t>
            </w:r>
          </w:p>
        </w:tc>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Solanum lycopersicum — piel externa (con cromoplastos)</w:t>
            </w:r>
          </w:p>
        </w:tc>
      </w:tr>
      <w:tr>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Lab 3</w:t>
            </w:r>
          </w:p>
        </w:tc>
        <w:tc>
          <w:tcPr>
            <w:tcW w:type="dxa" w:w="3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Levadura de panadería</w:t>
            </w:r>
          </w:p>
        </w:tc>
        <w:tc>
          <w:tcPr>
            <w:tcW w:type="dxa" w:w="422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Saccharomyces cerevisiae — levadura fresca + azúcar + agua tibia</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Lab 4</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Células de mucosa bucal</w:t>
            </w:r>
          </w:p>
        </w:tc>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Epitelio humano — frotis de mejilla interna</w:t>
            </w:r>
          </w:p>
        </w:tc>
      </w:tr>
    </w:tbl>
    <w:p>
      <w:r>
        <w:t xml:space="preserve"/>
      </w:r>
    </w:p>
    <w:p>
      <w:r>
        <w:br w:type="page"/>
      </w:r>
    </w:p>
    <w:p>
      <w:pPr>
        <w:pStyle w:val="Heading1"/>
        <w:spacing w:after="120" w:before="300"/>
      </w:pPr>
      <w:r>
        <w:rPr>
          <w:rFonts w:ascii="Arial" w:cs="Arial" w:eastAsia="Arial" w:hAnsi="Arial"/>
          <w:b/>
          <w:bCs/>
          <w:color w:val="1F4E79"/>
          <w:sz w:val="28"/>
          <w:szCs w:val="28"/>
        </w:rPr>
        <w:t xml:space="preserve">3. Metodología</w:t>
      </w:r>
    </w:p>
    <w:p>
      <w:pPr>
        <w:spacing w:after="60" w:before="60" w:line="276"/>
        <w:jc w:val="both"/>
      </w:pPr>
      <w:r>
        <w:rPr>
          <w:rFonts w:ascii="Arial" w:cs="Arial" w:eastAsia="Arial" w:hAnsi="Arial"/>
          <w:b w:val="false"/>
          <w:bCs w:val="false"/>
          <w:i w:val="false"/>
          <w:iCs w:val="false"/>
          <w:color w:val="000000"/>
          <w:sz w:val="22"/>
          <w:szCs w:val="22"/>
        </w:rPr>
        <w:t xml:space="preserve">Para todas las preparaciones se empleó microscopía óptica de campo claro. Las observaciones se realizaron comenzando siempre con el objetivo de menor aumento (4×) para localizar la muestra, y avanzando progresivamente hacia 10× y 40×. El aumento total se calcula multiplicando el objetivo por el ocular (10×): 40× obj. × 10× oc. = 400× aumento total.</w:t>
      </w:r>
    </w:p>
    <w:p>
      <w:pPr>
        <w:pStyle w:val="Heading2"/>
        <w:spacing w:after="80" w:before="200"/>
      </w:pPr>
      <w:r>
        <w:rPr>
          <w:rFonts w:ascii="Arial" w:cs="Arial" w:eastAsia="Arial" w:hAnsi="Arial"/>
          <w:b/>
          <w:bCs/>
          <w:color w:val="2E75B6"/>
          <w:sz w:val="24"/>
          <w:szCs w:val="24"/>
        </w:rPr>
        <w:t xml:space="preserve">3.1 Laboratorio 1: Catafilo de Cebolla (Allium cepa)</w:t>
      </w:r>
    </w:p>
    <w:p>
      <w:pPr>
        <w:pStyle w:val="Heading3"/>
        <w:spacing w:after="60" w:before="160"/>
      </w:pPr>
      <w:r>
        <w:rPr>
          <w:rFonts w:ascii="Arial" w:cs="Arial" w:eastAsia="Arial" w:hAnsi="Arial"/>
          <w:b/>
          <w:bCs/>
          <w:color w:val="404040"/>
          <w:sz w:val="22"/>
          <w:szCs w:val="22"/>
        </w:rPr>
        <w:t xml:space="preserve">Fundamento</w:t>
      </w:r>
    </w:p>
    <w:p>
      <w:pPr>
        <w:spacing w:after="60" w:before="60" w:line="276"/>
        <w:jc w:val="both"/>
      </w:pPr>
      <w:r>
        <w:rPr>
          <w:rFonts w:ascii="Arial" w:cs="Arial" w:eastAsia="Arial" w:hAnsi="Arial"/>
          <w:b w:val="false"/>
          <w:bCs w:val="false"/>
          <w:i w:val="false"/>
          <w:iCs w:val="false"/>
          <w:color w:val="000000"/>
          <w:sz w:val="22"/>
          <w:szCs w:val="22"/>
        </w:rPr>
        <w:t xml:space="preserve">El catafilo de cebolla es la epidermis interna de las pencas. Constituye un tejido ideal para la observación porque forma una monocapa, es transparente, y sus células son grandes y de forma regular. Al carecer de cloroplastos (por ser un órgano subterráneo de reserva), la fotosíntesis no ocurre en este tejido.</w:t>
      </w:r>
    </w:p>
    <w:p>
      <w:pPr>
        <w:pStyle w:val="Heading3"/>
        <w:spacing w:after="60" w:before="160"/>
      </w:pPr>
      <w:r>
        <w:rPr>
          <w:rFonts w:ascii="Arial" w:cs="Arial" w:eastAsia="Arial" w:hAnsi="Arial"/>
          <w:b/>
          <w:bCs/>
          <w:color w:val="404040"/>
          <w:sz w:val="22"/>
          <w:szCs w:val="22"/>
        </w:rPr>
        <w:t xml:space="preserve">Procedimiento</w:t>
      </w:r>
    </w:p>
    <w:p>
      <w:pPr>
        <w:pStyle w:val="ListParagraph"/>
        <w:numPr>
          <w:ilvl w:val="0"/>
          <w:numId w:val="3"/>
        </w:numPr>
        <w:spacing w:after="40" w:before="40"/>
      </w:pPr>
      <w:r>
        <w:rPr>
          <w:rFonts w:ascii="Arial" w:cs="Arial" w:eastAsia="Arial" w:hAnsi="Arial"/>
          <w:sz w:val="22"/>
          <w:szCs w:val="22"/>
        </w:rPr>
        <w:t xml:space="preserve">Cortar la cebolla por la mitad y separar las pencas carnosas.</w:t>
      </w:r>
    </w:p>
    <w:p>
      <w:pPr>
        <w:pStyle w:val="ListParagraph"/>
        <w:numPr>
          <w:ilvl w:val="0"/>
          <w:numId w:val="3"/>
        </w:numPr>
        <w:spacing w:after="40" w:before="40"/>
      </w:pPr>
      <w:r>
        <w:rPr>
          <w:rFonts w:ascii="Arial" w:cs="Arial" w:eastAsia="Arial" w:hAnsi="Arial"/>
          <w:sz w:val="22"/>
          <w:szCs w:val="22"/>
        </w:rPr>
        <w:t xml:space="preserve">Con pinzas de punta fina, desprender un fragmento pequeño (~0,5 cm²) de la membrana transparente ubicada en la parte cóncava interna de cada penca (catafilo).</w:t>
      </w:r>
    </w:p>
    <w:p>
      <w:pPr>
        <w:pStyle w:val="ListParagraph"/>
        <w:numPr>
          <w:ilvl w:val="0"/>
          <w:numId w:val="3"/>
        </w:numPr>
        <w:spacing w:after="40" w:before="40"/>
      </w:pPr>
      <w:r>
        <w:rPr>
          <w:rFonts w:ascii="Arial" w:cs="Arial" w:eastAsia="Arial" w:hAnsi="Arial"/>
          <w:sz w:val="22"/>
          <w:szCs w:val="22"/>
        </w:rPr>
        <w:t xml:space="preserve">Colocar una gota de agua destilada en el centro del portaobjetos y depositar el fragmento, extendiéndolo lo más plano posible con la aguja de disección.</w:t>
      </w:r>
    </w:p>
    <w:p>
      <w:pPr>
        <w:pStyle w:val="ListParagraph"/>
        <w:numPr>
          <w:ilvl w:val="0"/>
          <w:numId w:val="3"/>
        </w:numPr>
        <w:spacing w:after="40" w:before="40"/>
      </w:pPr>
      <w:r>
        <w:rPr>
          <w:rFonts w:ascii="Arial" w:cs="Arial" w:eastAsia="Arial" w:hAnsi="Arial"/>
          <w:sz w:val="22"/>
          <w:szCs w:val="22"/>
        </w:rPr>
        <w:t xml:space="preserve">Agregar una gota de Lugol sobre la preparación y dejar actuar 1–2 minutos.</w:t>
      </w:r>
    </w:p>
    <w:p>
      <w:pPr>
        <w:pStyle w:val="ListParagraph"/>
        <w:numPr>
          <w:ilvl w:val="0"/>
          <w:numId w:val="3"/>
        </w:numPr>
        <w:spacing w:after="40" w:before="40"/>
      </w:pPr>
      <w:r>
        <w:rPr>
          <w:rFonts w:ascii="Arial" w:cs="Arial" w:eastAsia="Arial" w:hAnsi="Arial"/>
          <w:sz w:val="22"/>
          <w:szCs w:val="22"/>
        </w:rPr>
        <w:t xml:space="preserve">Colocar el cubreobjetos de forma oblicua (45°) para evitar burbujas de aire y descenderlo lentamente. Eliminar el exceso de líquido con papel absorbente.</w:t>
      </w:r>
    </w:p>
    <w:p>
      <w:pPr>
        <w:pStyle w:val="ListParagraph"/>
        <w:numPr>
          <w:ilvl w:val="0"/>
          <w:numId w:val="3"/>
        </w:numPr>
        <w:spacing w:after="40" w:before="40"/>
      </w:pPr>
      <w:r>
        <w:rPr>
          <w:rFonts w:ascii="Arial" w:cs="Arial" w:eastAsia="Arial" w:hAnsi="Arial"/>
          <w:sz w:val="22"/>
          <w:szCs w:val="22"/>
        </w:rPr>
        <w:t xml:space="preserve">Observar con objetivo 4×, enfocar con tornillo macrométrico, ajustar diafragma, y progresar a 10× y 40×.</w:t>
      </w:r>
    </w:p>
    <w:p>
      <w:pPr>
        <w:pStyle w:val="Heading2"/>
        <w:spacing w:after="80" w:before="200"/>
      </w:pPr>
      <w:r>
        <w:rPr>
          <w:rFonts w:ascii="Arial" w:cs="Arial" w:eastAsia="Arial" w:hAnsi="Arial"/>
          <w:b/>
          <w:bCs/>
          <w:color w:val="2E75B6"/>
          <w:sz w:val="24"/>
          <w:szCs w:val="24"/>
        </w:rPr>
        <w:t xml:space="preserve">3.2 Laboratorio 2: Epidermis de Tomate (Solanum lycopersicum)</w:t>
      </w:r>
    </w:p>
    <w:p>
      <w:pPr>
        <w:pStyle w:val="Heading3"/>
        <w:spacing w:after="60" w:before="160"/>
      </w:pPr>
      <w:r>
        <w:rPr>
          <w:rFonts w:ascii="Arial" w:cs="Arial" w:eastAsia="Arial" w:hAnsi="Arial"/>
          <w:b/>
          <w:bCs/>
          <w:color w:val="404040"/>
          <w:sz w:val="22"/>
          <w:szCs w:val="22"/>
        </w:rPr>
        <w:t xml:space="preserve">Fundamento</w:t>
      </w:r>
    </w:p>
    <w:p>
      <w:pPr>
        <w:spacing w:after="60" w:before="60" w:line="276"/>
        <w:jc w:val="both"/>
      </w:pPr>
      <w:r>
        <w:rPr>
          <w:rFonts w:ascii="Arial" w:cs="Arial" w:eastAsia="Arial" w:hAnsi="Arial"/>
          <w:b w:val="false"/>
          <w:bCs w:val="false"/>
          <w:i w:val="false"/>
          <w:iCs w:val="false"/>
          <w:color w:val="000000"/>
          <w:sz w:val="22"/>
          <w:szCs w:val="22"/>
        </w:rPr>
        <w:t xml:space="preserve">La epidermis del tomate maduro contiene cromoplastos con licopeno (carotenoide rojo). Los cromoplastos son plastidios especializados en la síntesis y almacenamiento de pigmentos carotenoides. La función ecológica de estos pigmentos es atraer a animales frugívoros para favorecer la dispersión de semillas.</w:t>
      </w:r>
    </w:p>
    <w:p>
      <w:pPr>
        <w:pStyle w:val="Heading3"/>
        <w:spacing w:after="60" w:before="160"/>
      </w:pPr>
      <w:r>
        <w:rPr>
          <w:rFonts w:ascii="Arial" w:cs="Arial" w:eastAsia="Arial" w:hAnsi="Arial"/>
          <w:b/>
          <w:bCs/>
          <w:color w:val="404040"/>
          <w:sz w:val="22"/>
          <w:szCs w:val="22"/>
        </w:rPr>
        <w:t xml:space="preserve">Procedimiento</w:t>
      </w:r>
    </w:p>
    <w:p>
      <w:pPr>
        <w:pStyle w:val="ListParagraph"/>
        <w:numPr>
          <w:ilvl w:val="0"/>
          <w:numId w:val="3"/>
        </w:numPr>
        <w:spacing w:after="40" w:before="40"/>
      </w:pPr>
      <w:r>
        <w:rPr>
          <w:rFonts w:ascii="Arial" w:cs="Arial" w:eastAsia="Arial" w:hAnsi="Arial"/>
          <w:sz w:val="22"/>
          <w:szCs w:val="22"/>
        </w:rPr>
        <w:t xml:space="preserve">Lavar el tomate. Con bisturí, realizar un corte superficial en la cáscara (solo la epidermis, sin pulpa).</w:t>
      </w:r>
    </w:p>
    <w:p>
      <w:pPr>
        <w:pStyle w:val="ListParagraph"/>
        <w:numPr>
          <w:ilvl w:val="0"/>
          <w:numId w:val="3"/>
        </w:numPr>
        <w:spacing w:after="40" w:before="40"/>
      </w:pPr>
      <w:r>
        <w:rPr>
          <w:rFonts w:ascii="Arial" w:cs="Arial" w:eastAsia="Arial" w:hAnsi="Arial"/>
          <w:sz w:val="22"/>
          <w:szCs w:val="22"/>
        </w:rPr>
        <w:t xml:space="preserve">Con pinzas, desprender cuidadosamente la epidermis desde una esquina. La muestra debe ser lo más delgada posible.</w:t>
      </w:r>
    </w:p>
    <w:p>
      <w:pPr>
        <w:pStyle w:val="ListParagraph"/>
        <w:numPr>
          <w:ilvl w:val="0"/>
          <w:numId w:val="3"/>
        </w:numPr>
        <w:spacing w:after="40" w:before="40"/>
      </w:pPr>
      <w:r>
        <w:rPr>
          <w:rFonts w:ascii="Arial" w:cs="Arial" w:eastAsia="Arial" w:hAnsi="Arial"/>
          <w:sz w:val="22"/>
          <w:szCs w:val="22"/>
        </w:rPr>
        <w:t xml:space="preserve">Colocar una gota de agua destilada en el portaobjetos y depositar el fragmento con la parte externa hacia arriba.</w:t>
      </w:r>
    </w:p>
    <w:p>
      <w:pPr>
        <w:pStyle w:val="ListParagraph"/>
        <w:numPr>
          <w:ilvl w:val="0"/>
          <w:numId w:val="3"/>
        </w:numPr>
        <w:spacing w:after="40" w:before="40"/>
      </w:pPr>
      <w:r>
        <w:rPr>
          <w:rFonts w:ascii="Arial" w:cs="Arial" w:eastAsia="Arial" w:hAnsi="Arial"/>
          <w:sz w:val="22"/>
          <w:szCs w:val="22"/>
        </w:rPr>
        <w:t xml:space="preserve">Cubrir con el cubreobjetos sin agregar colorante inicialmente (los cromoplastos son visibles por su pigmento natural).</w:t>
      </w:r>
    </w:p>
    <w:p>
      <w:pPr>
        <w:pStyle w:val="ListParagraph"/>
        <w:numPr>
          <w:ilvl w:val="0"/>
          <w:numId w:val="3"/>
        </w:numPr>
        <w:spacing w:after="40" w:before="40"/>
      </w:pPr>
      <w:r>
        <w:rPr>
          <w:rFonts w:ascii="Arial" w:cs="Arial" w:eastAsia="Arial" w:hAnsi="Arial"/>
          <w:sz w:val="22"/>
          <w:szCs w:val="22"/>
        </w:rPr>
        <w:t xml:space="preserve">Opcional: agregar una gota de azul de metileno por el borde del cubreobjetos para contrastar el núcleo.</w:t>
      </w:r>
    </w:p>
    <w:p>
      <w:pPr>
        <w:pStyle w:val="ListParagraph"/>
        <w:numPr>
          <w:ilvl w:val="0"/>
          <w:numId w:val="3"/>
        </w:numPr>
        <w:spacing w:after="40" w:before="40"/>
      </w:pPr>
      <w:r>
        <w:rPr>
          <w:rFonts w:ascii="Arial" w:cs="Arial" w:eastAsia="Arial" w:hAnsi="Arial"/>
          <w:sz w:val="22"/>
          <w:szCs w:val="22"/>
        </w:rPr>
        <w:t xml:space="preserve">Observar con objetivo 10× y 40×, regulando la iluminación (reducir luz si es necesario).</w:t>
      </w:r>
    </w:p>
    <w:p>
      <w:pPr>
        <w:pStyle w:val="Heading2"/>
        <w:spacing w:after="80" w:before="200"/>
      </w:pPr>
      <w:r>
        <w:rPr>
          <w:rFonts w:ascii="Arial" w:cs="Arial" w:eastAsia="Arial" w:hAnsi="Arial"/>
          <w:b/>
          <w:bCs/>
          <w:color w:val="2E75B6"/>
          <w:sz w:val="24"/>
          <w:szCs w:val="24"/>
        </w:rPr>
        <w:t xml:space="preserve">3.3 Laboratorio 3: Levaduras (Saccharomyces cerevisiae)</w:t>
      </w:r>
    </w:p>
    <w:p>
      <w:pPr>
        <w:pStyle w:val="Heading3"/>
        <w:spacing w:after="60" w:before="160"/>
      </w:pPr>
      <w:r>
        <w:rPr>
          <w:rFonts w:ascii="Arial" w:cs="Arial" w:eastAsia="Arial" w:hAnsi="Arial"/>
          <w:b/>
          <w:bCs/>
          <w:color w:val="404040"/>
          <w:sz w:val="22"/>
          <w:szCs w:val="22"/>
        </w:rPr>
        <w:t xml:space="preserve">Fundamento</w:t>
      </w:r>
    </w:p>
    <w:p>
      <w:pPr>
        <w:spacing w:after="60" w:before="60" w:line="276"/>
        <w:jc w:val="both"/>
      </w:pPr>
      <w:r>
        <w:rPr>
          <w:rFonts w:ascii="Arial" w:cs="Arial" w:eastAsia="Arial" w:hAnsi="Arial"/>
          <w:b w:val="false"/>
          <w:bCs w:val="false"/>
          <w:i w:val="false"/>
          <w:iCs w:val="false"/>
          <w:color w:val="000000"/>
          <w:sz w:val="22"/>
          <w:szCs w:val="22"/>
        </w:rPr>
        <w:t xml:space="preserve">Las levaduras son hongos unicelulares eucariotas. Cuando se les provee glucosa y temperatura adecuada (~37 °C), realizan fermentación alcohólica (C₆H₁₂O₆ → 2 C₂H₅OH + 2 CO₂ + 2 ATP), lo que activa su metabolismo y reproduce rapidamente por gemación: una célula madre genera una yema que crece hasta separarse como célula hija.</w:t>
      </w:r>
    </w:p>
    <w:p>
      <w:pPr>
        <w:pStyle w:val="Heading3"/>
        <w:spacing w:after="60" w:before="160"/>
      </w:pPr>
      <w:r>
        <w:rPr>
          <w:rFonts w:ascii="Arial" w:cs="Arial" w:eastAsia="Arial" w:hAnsi="Arial"/>
          <w:b/>
          <w:bCs/>
          <w:color w:val="404040"/>
          <w:sz w:val="22"/>
          <w:szCs w:val="22"/>
        </w:rPr>
        <w:t xml:space="preserve">Procedimiento</w:t>
      </w:r>
    </w:p>
    <w:p>
      <w:pPr>
        <w:pStyle w:val="ListParagraph"/>
        <w:numPr>
          <w:ilvl w:val="0"/>
          <w:numId w:val="3"/>
        </w:numPr>
        <w:spacing w:after="40" w:before="40"/>
      </w:pPr>
      <w:r>
        <w:rPr>
          <w:rFonts w:ascii="Arial" w:cs="Arial" w:eastAsia="Arial" w:hAnsi="Arial"/>
          <w:sz w:val="22"/>
          <w:szCs w:val="22"/>
        </w:rPr>
        <w:t xml:space="preserve">Activación (15–20 min antes): disolver una cucharadita de azúcar en 50 ml de agua tibia (35–40 °C). Agregar ~2 g de levadura fresca y mezclar suavemente. Esperar hasta observar espuma y burbujas de CO₂.</w:t>
      </w:r>
    </w:p>
    <w:p>
      <w:pPr>
        <w:pStyle w:val="ListParagraph"/>
        <w:numPr>
          <w:ilvl w:val="0"/>
          <w:numId w:val="3"/>
        </w:numPr>
        <w:spacing w:after="40" w:before="40"/>
      </w:pPr>
      <w:r>
        <w:rPr>
          <w:rFonts w:ascii="Arial" w:cs="Arial" w:eastAsia="Arial" w:hAnsi="Arial"/>
          <w:sz w:val="22"/>
          <w:szCs w:val="22"/>
        </w:rPr>
        <w:t xml:space="preserve">Con un palillo, tomar una pequeñísima porción de la suspensión (no de la espuma) y mezclar con una gota de agua destilada en el portaobjetos. La preparación debe quedar muy diluida.</w:t>
      </w:r>
    </w:p>
    <w:p>
      <w:pPr>
        <w:pStyle w:val="ListParagraph"/>
        <w:numPr>
          <w:ilvl w:val="0"/>
          <w:numId w:val="3"/>
        </w:numPr>
        <w:spacing w:after="40" w:before="40"/>
      </w:pPr>
      <w:r>
        <w:rPr>
          <w:rFonts w:ascii="Arial" w:cs="Arial" w:eastAsia="Arial" w:hAnsi="Arial"/>
          <w:sz w:val="22"/>
          <w:szCs w:val="22"/>
        </w:rPr>
        <w:t xml:space="preserve">Agregar una gota pequeña de azul de metileno, mezclar suavemente y cubrir con el cubreobjetos. Dejar reposar 2–3 minutos.</w:t>
      </w:r>
    </w:p>
    <w:p>
      <w:pPr>
        <w:pStyle w:val="ListParagraph"/>
        <w:numPr>
          <w:ilvl w:val="0"/>
          <w:numId w:val="3"/>
        </w:numPr>
        <w:spacing w:after="40" w:before="40"/>
      </w:pPr>
      <w:r>
        <w:rPr>
          <w:rFonts w:ascii="Arial" w:cs="Arial" w:eastAsia="Arial" w:hAnsi="Arial"/>
          <w:sz w:val="22"/>
          <w:szCs w:val="22"/>
        </w:rPr>
        <w:t xml:space="preserve">Observar comenzando con objetivo 10× (levaduras muy pequeñas: 5–10 µm). Pasar a 40× para ver detalles. Buscar células en gemación en distintos campos.</w:t>
      </w:r>
    </w:p>
    <w:p>
      <w:pPr>
        <w:pStyle w:val="ListParagraph"/>
        <w:numPr>
          <w:ilvl w:val="0"/>
          <w:numId w:val="3"/>
        </w:numPr>
        <w:spacing w:after="40" w:before="40"/>
      </w:pPr>
      <w:r>
        <w:rPr>
          <w:rFonts w:ascii="Arial" w:cs="Arial" w:eastAsia="Arial" w:hAnsi="Arial"/>
          <w:sz w:val="22"/>
          <w:szCs w:val="22"/>
        </w:rPr>
        <w:t xml:space="preserve">Nota: se utilizaron los lentes 4×10 (40× total), 10×10 (100× total) y 40×10 (400× total).</w:t>
      </w:r>
    </w:p>
    <w:p>
      <w:pPr>
        <w:pStyle w:val="Heading2"/>
        <w:spacing w:after="80" w:before="200"/>
      </w:pPr>
      <w:r>
        <w:rPr>
          <w:rFonts w:ascii="Arial" w:cs="Arial" w:eastAsia="Arial" w:hAnsi="Arial"/>
          <w:b/>
          <w:bCs/>
          <w:color w:val="2E75B6"/>
          <w:sz w:val="24"/>
          <w:szCs w:val="24"/>
        </w:rPr>
        <w:t xml:space="preserve">3.4 Laboratorio 4: Mucosa Bucal (frotis bucal)</w:t>
      </w:r>
    </w:p>
    <w:p>
      <w:pPr>
        <w:pStyle w:val="Heading3"/>
        <w:spacing w:after="60" w:before="160"/>
      </w:pPr>
      <w:r>
        <w:rPr>
          <w:rFonts w:ascii="Arial" w:cs="Arial" w:eastAsia="Arial" w:hAnsi="Arial"/>
          <w:b/>
          <w:bCs/>
          <w:color w:val="404040"/>
          <w:sz w:val="22"/>
          <w:szCs w:val="22"/>
        </w:rPr>
        <w:t xml:space="preserve">Fundamento</w:t>
      </w:r>
    </w:p>
    <w:p>
      <w:pPr>
        <w:spacing w:after="60" w:before="60" w:line="276"/>
        <w:jc w:val="both"/>
      </w:pPr>
      <w:r>
        <w:rPr>
          <w:rFonts w:ascii="Arial" w:cs="Arial" w:eastAsia="Arial" w:hAnsi="Arial"/>
          <w:b w:val="false"/>
          <w:bCs w:val="false"/>
          <w:i w:val="false"/>
          <w:iCs w:val="false"/>
          <w:color w:val="000000"/>
          <w:sz w:val="22"/>
          <w:szCs w:val="22"/>
        </w:rPr>
        <w:t xml:space="preserve">Las células epiteliales de la mucosa bucal son células animales eucariotas. Carecen de pared celular y de cloroplastos. Su membrana plasmática flexible les permite adoptar formas planas e irregulares. El azul de metileno tiñe intensamente el núcleo, rico en ADN, y más débilmente el citoplasma.</w:t>
      </w:r>
    </w:p>
    <w:p>
      <w:pPr>
        <w:pStyle w:val="Heading3"/>
        <w:spacing w:after="60" w:before="160"/>
      </w:pPr>
      <w:r>
        <w:rPr>
          <w:rFonts w:ascii="Arial" w:cs="Arial" w:eastAsia="Arial" w:hAnsi="Arial"/>
          <w:b/>
          <w:bCs/>
          <w:color w:val="404040"/>
          <w:sz w:val="22"/>
          <w:szCs w:val="22"/>
        </w:rPr>
        <w:t xml:space="preserve">Procedimiento</w:t>
      </w:r>
    </w:p>
    <w:p>
      <w:pPr>
        <w:pStyle w:val="ListParagraph"/>
        <w:numPr>
          <w:ilvl w:val="0"/>
          <w:numId w:val="3"/>
        </w:numPr>
        <w:spacing w:after="40" w:before="40"/>
      </w:pPr>
      <w:r>
        <w:rPr>
          <w:rFonts w:ascii="Arial" w:cs="Arial" w:eastAsia="Arial" w:hAnsi="Arial"/>
          <w:sz w:val="22"/>
          <w:szCs w:val="22"/>
        </w:rPr>
        <w:t xml:space="preserve">Enjuagar la boca con agua para eliminar restos de alimentos.</w:t>
      </w:r>
    </w:p>
    <w:p>
      <w:pPr>
        <w:pStyle w:val="ListParagraph"/>
        <w:numPr>
          <w:ilvl w:val="0"/>
          <w:numId w:val="3"/>
        </w:numPr>
        <w:spacing w:after="40" w:before="40"/>
      </w:pPr>
      <w:r>
        <w:rPr>
          <w:rFonts w:ascii="Arial" w:cs="Arial" w:eastAsia="Arial" w:hAnsi="Arial"/>
          <w:sz w:val="22"/>
          <w:szCs w:val="22"/>
        </w:rPr>
        <w:t xml:space="preserve">Con un palillo limpio (o hisopo), raspar suavemente la cara interna de la mejilla realizando movimientos circulares suaves.</w:t>
      </w:r>
    </w:p>
    <w:p>
      <w:pPr>
        <w:pStyle w:val="ListParagraph"/>
        <w:numPr>
          <w:ilvl w:val="0"/>
          <w:numId w:val="3"/>
        </w:numPr>
        <w:spacing w:after="40" w:before="40"/>
      </w:pPr>
      <w:r>
        <w:rPr>
          <w:rFonts w:ascii="Arial" w:cs="Arial" w:eastAsia="Arial" w:hAnsi="Arial"/>
          <w:sz w:val="22"/>
          <w:szCs w:val="22"/>
        </w:rPr>
        <w:t xml:space="preserve">Colocar una gota de agua destilada en el portaobjetos, mezclar el material del raspado y extender bien la muestra. Dejar secar al aire 3–5 minutos (o secar suavemente pasando por la llama del mechero).</w:t>
      </w:r>
    </w:p>
    <w:p>
      <w:pPr>
        <w:pStyle w:val="ListParagraph"/>
        <w:numPr>
          <w:ilvl w:val="0"/>
          <w:numId w:val="3"/>
        </w:numPr>
        <w:spacing w:after="40" w:before="40"/>
      </w:pPr>
      <w:r>
        <w:rPr>
          <w:rFonts w:ascii="Arial" w:cs="Arial" w:eastAsia="Arial" w:hAnsi="Arial"/>
          <w:sz w:val="22"/>
          <w:szCs w:val="22"/>
        </w:rPr>
        <w:t xml:space="preserve">Agregar 2–3 gotas de azul de metileno sobre la muestra seca; dejar actuar 3–5 minutos.</w:t>
      </w:r>
    </w:p>
    <w:p>
      <w:pPr>
        <w:pStyle w:val="ListParagraph"/>
        <w:numPr>
          <w:ilvl w:val="0"/>
          <w:numId w:val="3"/>
        </w:numPr>
        <w:spacing w:after="40" w:before="40"/>
      </w:pPr>
      <w:r>
        <w:rPr>
          <w:rFonts w:ascii="Arial" w:cs="Arial" w:eastAsia="Arial" w:hAnsi="Arial"/>
          <w:sz w:val="22"/>
          <w:szCs w:val="22"/>
        </w:rPr>
        <w:t xml:space="preserve">Lavar suavemente con agua destilada (gotas desde gotero). Eliminar el exceso con papel absorbente y colocar el cubreobjetos.</w:t>
      </w:r>
    </w:p>
    <w:p>
      <w:pPr>
        <w:pStyle w:val="ListParagraph"/>
        <w:numPr>
          <w:ilvl w:val="0"/>
          <w:numId w:val="3"/>
        </w:numPr>
        <w:spacing w:after="40" w:before="40"/>
      </w:pPr>
      <w:r>
        <w:rPr>
          <w:rFonts w:ascii="Arial" w:cs="Arial" w:eastAsia="Arial" w:hAnsi="Arial"/>
          <w:sz w:val="22"/>
          <w:szCs w:val="22"/>
        </w:rPr>
        <w:t xml:space="preserve">Observar con 10× buscando células aisladas o en pequeños grupos; aumentar a 40× para ver detalles nucleares.</w:t>
      </w:r>
    </w:p>
    <w:p>
      <w:r>
        <w:t xml:space="preserve"/>
      </w:r>
    </w:p>
    <w:p>
      <w:r>
        <w:br w:type="page"/>
      </w:r>
    </w:p>
    <w:p>
      <w:pPr>
        <w:pStyle w:val="Heading1"/>
        <w:spacing w:after="120" w:before="300"/>
      </w:pPr>
      <w:r>
        <w:rPr>
          <w:rFonts w:ascii="Arial" w:cs="Arial" w:eastAsia="Arial" w:hAnsi="Arial"/>
          <w:b/>
          <w:bCs/>
          <w:color w:val="1F4E79"/>
          <w:sz w:val="28"/>
          <w:szCs w:val="28"/>
        </w:rPr>
        <w:t xml:space="preserve">4. Resultados</w:t>
      </w:r>
    </w:p>
    <w:p>
      <w:pPr>
        <w:spacing w:after="60" w:before="60" w:line="276"/>
        <w:jc w:val="both"/>
      </w:pPr>
      <w:r>
        <w:rPr>
          <w:rFonts w:ascii="Arial" w:cs="Arial" w:eastAsia="Arial" w:hAnsi="Arial"/>
          <w:b w:val="false"/>
          <w:bCs w:val="false"/>
          <w:i w:val="false"/>
          <w:iCs w:val="false"/>
          <w:color w:val="000000"/>
          <w:sz w:val="22"/>
          <w:szCs w:val="22"/>
        </w:rPr>
        <w:t xml:space="preserve">A continuación se presentan las observaciones de cada laboratorio, incluyendo las estructuras identificadas, los registros fotográficos y los esquemas realizados.</w:t>
      </w:r>
    </w:p>
    <w:p>
      <w:pPr>
        <w:pStyle w:val="Heading2"/>
        <w:spacing w:after="80" w:before="200"/>
      </w:pPr>
      <w:r>
        <w:rPr>
          <w:rFonts w:ascii="Arial" w:cs="Arial" w:eastAsia="Arial" w:hAnsi="Arial"/>
          <w:b/>
          <w:bCs/>
          <w:color w:val="2E75B6"/>
          <w:sz w:val="24"/>
          <w:szCs w:val="24"/>
        </w:rPr>
        <w:t xml:space="preserve">4.1 Laboratorio 1: Catafilo de Cebolla</w:t>
      </w:r>
    </w:p>
    <w:p>
      <w:pPr>
        <w:pStyle w:val="Heading3"/>
        <w:spacing w:after="60" w:before="160"/>
      </w:pPr>
      <w:r>
        <w:rPr>
          <w:rFonts w:ascii="Arial" w:cs="Arial" w:eastAsia="Arial" w:hAnsi="Arial"/>
          <w:b/>
          <w:bCs/>
          <w:color w:val="404040"/>
          <w:sz w:val="22"/>
          <w:szCs w:val="22"/>
        </w:rPr>
        <w:t xml:space="preserve">Estructuras observadas</w:t>
      </w:r>
    </w:p>
    <w:p>
      <w:pPr>
        <w:spacing w:after="60" w:before="60" w:line="276"/>
        <w:jc w:val="both"/>
      </w:pPr>
      <w:r>
        <w:rPr>
          <w:rFonts w:ascii="Arial" w:cs="Arial" w:eastAsia="Arial" w:hAnsi="Arial"/>
          <w:b/>
          <w:bCs/>
          <w:sz w:val="22"/>
          <w:szCs w:val="22"/>
        </w:rPr>
        <w:t xml:space="preserve">Pared celular: </w:t>
      </w:r>
      <w:r>
        <w:rPr>
          <w:rFonts w:ascii="Arial" w:cs="Arial" w:eastAsia="Arial" w:hAnsi="Arial"/>
          <w:sz w:val="22"/>
          <w:szCs w:val="22"/>
        </w:rPr>
        <w:t xml:space="preserve">Visible como límite rígido y bien definido que rodea cada célula, de aspecto rectangular-poligonal regular.</w:t>
      </w:r>
    </w:p>
    <w:p>
      <w:pPr>
        <w:spacing w:after="60" w:before="60" w:line="276"/>
        <w:jc w:val="both"/>
      </w:pPr>
      <w:r>
        <w:rPr>
          <w:rFonts w:ascii="Arial" w:cs="Arial" w:eastAsia="Arial" w:hAnsi="Arial"/>
          <w:b/>
          <w:bCs/>
          <w:sz w:val="22"/>
          <w:szCs w:val="22"/>
        </w:rPr>
        <w:t xml:space="preserve">Citoplasma: </w:t>
      </w:r>
      <w:r>
        <w:rPr>
          <w:rFonts w:ascii="Arial" w:cs="Arial" w:eastAsia="Arial" w:hAnsi="Arial"/>
          <w:sz w:val="22"/>
          <w:szCs w:val="22"/>
        </w:rPr>
        <w:t xml:space="preserve">Sustancia granulosa teñida de amarillo-marrón por el Lugol; desplazada hacia la periferia por la vacuola.</w:t>
      </w:r>
    </w:p>
    <w:p>
      <w:pPr>
        <w:spacing w:after="60" w:before="60" w:line="276"/>
        <w:jc w:val="both"/>
      </w:pPr>
      <w:r>
        <w:rPr>
          <w:rFonts w:ascii="Arial" w:cs="Arial" w:eastAsia="Arial" w:hAnsi="Arial"/>
          <w:b/>
          <w:bCs/>
          <w:sz w:val="22"/>
          <w:szCs w:val="22"/>
        </w:rPr>
        <w:t xml:space="preserve">Núcleo: </w:t>
      </w:r>
      <w:r>
        <w:rPr>
          <w:rFonts w:ascii="Arial" w:cs="Arial" w:eastAsia="Arial" w:hAnsi="Arial"/>
          <w:sz w:val="22"/>
          <w:szCs w:val="22"/>
        </w:rPr>
        <w:t xml:space="preserve">Corpúsculo ovoide de coloración más oscura (amarronado intenso), ubicado generalmente hacia los laterales de la célula. Fue posible observar el nucléolo en algunos casos.</w:t>
      </w:r>
    </w:p>
    <w:p>
      <w:pPr>
        <w:spacing w:after="60" w:before="60" w:line="276"/>
        <w:jc w:val="both"/>
      </w:pPr>
      <w:r>
        <w:rPr>
          <w:rFonts w:ascii="Arial" w:cs="Arial" w:eastAsia="Arial" w:hAnsi="Arial"/>
          <w:b/>
          <w:bCs/>
          <w:sz w:val="22"/>
          <w:szCs w:val="22"/>
        </w:rPr>
        <w:t xml:space="preserve">Vacuola central: </w:t>
      </w:r>
      <w:r>
        <w:rPr>
          <w:rFonts w:ascii="Arial" w:cs="Arial" w:eastAsia="Arial" w:hAnsi="Arial"/>
          <w:sz w:val="22"/>
          <w:szCs w:val="22"/>
        </w:rPr>
        <w:t xml:space="preserve">Espacio claro central, no teñido, que ocupa la mayor parte del volumen celular y desplaza el citoplasma y el núcleo hacia la periferia.</w:t>
      </w:r>
    </w:p>
    <w:p>
      <w:pPr>
        <w:spacing w:after="60" w:before="60" w:line="276"/>
        <w:jc w:val="both"/>
      </w:pPr>
      <w:r>
        <w:rPr>
          <w:rFonts w:ascii="Arial" w:cs="Arial" w:eastAsia="Arial" w:hAnsi="Arial"/>
          <w:b/>
          <w:bCs/>
          <w:sz w:val="22"/>
          <w:szCs w:val="22"/>
        </w:rPr>
        <w:t xml:space="preserve">Disposición: </w:t>
      </w:r>
      <w:r>
        <w:rPr>
          <w:rFonts w:ascii="Arial" w:cs="Arial" w:eastAsia="Arial" w:hAnsi="Arial"/>
          <w:sz w:val="22"/>
          <w:szCs w:val="22"/>
        </w:rPr>
        <w:t xml:space="preserve">Tejido en empedrado o mosaico; unión estrecha entre células en filas regulares.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c>
          <w:tcPr>
            <w:tcW w:type="dxa" w:w="2900"/>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1 — Cebolla 100× ]</w:t>
            </w:r>
          </w:p>
        </w:tc>
        <w:tc>
          <w:tcPr>
            <w:tcW w:type="dxa" w:w="2900"/>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2 — Cebolla 400× ]</w:t>
            </w:r>
          </w:p>
        </w:tc>
        <w:tc>
          <w:tcPr>
            <w:tcW w:type="dxa" w:w="3226"/>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3 — Cebolla (referencia) ]</w:t>
            </w:r>
          </w:p>
        </w:tc>
      </w:tr>
    </w:tbl>
    <w:p>
      <w:pPr>
        <w:spacing w:after="80" w:before="40"/>
        <w:jc w:val="center"/>
      </w:pPr>
      <w:r>
        <w:rPr>
          <w:rFonts w:ascii="Arial" w:cs="Arial" w:eastAsia="Arial" w:hAnsi="Arial"/>
          <w:color w:val="555555"/>
          <w:sz w:val="18"/>
          <w:szCs w:val="18"/>
        </w:rPr>
        <w:t xml:space="preserve">Figuras 1–3. Células de catafilo de cebolla teñidas con Lugol (100× y 400×). Se indican: PC = pared celular, N = núcleo, VC = vacuola central, Ct = citoplasma.</w:t>
      </w:r>
    </w:p>
    <w:p>
      <w:pPr>
        <w:pStyle w:val="Heading3"/>
        <w:spacing w:after="60" w:before="160"/>
      </w:pPr>
      <w:r>
        <w:rPr>
          <w:rFonts w:ascii="Arial" w:cs="Arial" w:eastAsia="Arial" w:hAnsi="Arial"/>
          <w:b/>
          <w:bCs/>
          <w:color w:val="404040"/>
          <w:sz w:val="22"/>
          <w:szCs w:val="22"/>
        </w:rPr>
        <w:t xml:space="preserve">Dibujo esquemático — Lab 1</w:t>
      </w:r>
    </w:p>
    <w:p>
      <w:pPr>
        <w:spacing w:after="40" w:before="40"/>
        <w:jc w:val="center"/>
      </w:pPr>
      <w:r>
        <w:rPr>
          <w:rFonts w:ascii="Arial" w:cs="Arial" w:eastAsia="Arial" w:hAnsi="Arial"/>
          <w:color w:val="888888"/>
          <w:sz w:val="20"/>
          <w:szCs w:val="20"/>
        </w:rPr>
        <w:t xml:space="preserve">[ Espacio para dibujo rotulado a 100× y 400×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4"/>
              <w:left w:val="single" w:color="AAAAAA" w:sz="4"/>
              <w:bottom w:val="single" w:color="AAAAAA" w:sz="4"/>
              <w:right w:val="single" w:color="AAAAAA" w:sz="4"/>
            </w:tcBorders>
            <w:shd w:fill="FFFFFF" w:val="clear"/>
            <w:tcMar>
              <w:top w:type="dxa" w:w="600"/>
              <w:left w:type="dxa" w:w="120"/>
              <w:bottom w:type="dxa" w:w="600"/>
              <w:right w:type="dxa" w:w="120"/>
            </w:tcMar>
          </w:tcPr>
          <w:p>
            <w:pPr>
              <w:jc w:val="center"/>
            </w:pPr>
            <w:r>
              <w:rPr>
                <w:rFonts w:ascii="Arial" w:cs="Arial" w:eastAsia="Arial" w:hAnsi="Arial"/>
                <w:color w:val="999999"/>
                <w:sz w:val="20"/>
                <w:szCs w:val="20"/>
              </w:rPr>
              <w:t xml:space="preserve">Dibujo a 100× (aumento total)
Colorante: Lugol</w:t>
            </w:r>
          </w:p>
        </w:tc>
        <w:tc>
          <w:tcPr>
            <w:tcW w:type="dxa" w:w="4513"/>
            <w:tcBorders>
              <w:top w:val="single" w:color="AAAAAA" w:sz="4"/>
              <w:left w:val="single" w:color="AAAAAA" w:sz="4"/>
              <w:bottom w:val="single" w:color="AAAAAA" w:sz="4"/>
              <w:right w:val="single" w:color="AAAAAA" w:sz="4"/>
            </w:tcBorders>
            <w:shd w:fill="FFFFFF" w:val="clear"/>
            <w:tcMar>
              <w:top w:type="dxa" w:w="600"/>
              <w:left w:type="dxa" w:w="120"/>
              <w:bottom w:type="dxa" w:w="600"/>
              <w:right w:type="dxa" w:w="120"/>
            </w:tcMar>
          </w:tcPr>
          <w:p>
            <w:pPr>
              <w:jc w:val="center"/>
            </w:pPr>
            <w:r>
              <w:rPr>
                <w:rFonts w:ascii="Arial" w:cs="Arial" w:eastAsia="Arial" w:hAnsi="Arial"/>
                <w:color w:val="999999"/>
                <w:sz w:val="20"/>
                <w:szCs w:val="20"/>
              </w:rPr>
              <w:t xml:space="preserve">Dibujo a 400× (aumento total)
Colorante: Lugol</w:t>
            </w:r>
          </w:p>
        </w:tc>
      </w:tr>
    </w:tbl>
    <w:p>
      <w:r>
        <w:t xml:space="preserve"/>
      </w:r>
    </w:p>
    <w:p>
      <w:pPr>
        <w:pStyle w:val="Heading2"/>
        <w:spacing w:after="80" w:before="200"/>
      </w:pPr>
      <w:r>
        <w:rPr>
          <w:rFonts w:ascii="Arial" w:cs="Arial" w:eastAsia="Arial" w:hAnsi="Arial"/>
          <w:b/>
          <w:bCs/>
          <w:color w:val="2E75B6"/>
          <w:sz w:val="24"/>
          <w:szCs w:val="24"/>
        </w:rPr>
        <w:t xml:space="preserve">4.2 Laboratorio 2: Epidermis de Tomate</w:t>
      </w:r>
    </w:p>
    <w:p>
      <w:pPr>
        <w:pStyle w:val="Heading3"/>
        <w:spacing w:after="60" w:before="160"/>
      </w:pPr>
      <w:r>
        <w:rPr>
          <w:rFonts w:ascii="Arial" w:cs="Arial" w:eastAsia="Arial" w:hAnsi="Arial"/>
          <w:b/>
          <w:bCs/>
          <w:color w:val="404040"/>
          <w:sz w:val="22"/>
          <w:szCs w:val="22"/>
        </w:rPr>
        <w:t xml:space="preserve">Estructuras observadas</w:t>
      </w:r>
    </w:p>
    <w:p>
      <w:pPr>
        <w:spacing w:after="60" w:before="60" w:line="276"/>
        <w:jc w:val="both"/>
      </w:pPr>
      <w:r>
        <w:rPr>
          <w:rFonts w:ascii="Arial" w:cs="Arial" w:eastAsia="Arial" w:hAnsi="Arial"/>
          <w:b/>
          <w:bCs/>
          <w:sz w:val="22"/>
          <w:szCs w:val="22"/>
        </w:rPr>
        <w:t xml:space="preserve">Pared celular: </w:t>
      </w:r>
      <w:r>
        <w:rPr>
          <w:rFonts w:ascii="Arial" w:cs="Arial" w:eastAsia="Arial" w:hAnsi="Arial"/>
          <w:sz w:val="22"/>
          <w:szCs w:val="22"/>
        </w:rPr>
        <w:t xml:space="preserve">Contorno poligonal irregular; las células no son rectángulos perfectos sino que tienen formas sinuosas similares a piezas de rompecabezas.</w:t>
      </w:r>
    </w:p>
    <w:p>
      <w:pPr>
        <w:spacing w:after="60" w:before="60" w:line="276"/>
        <w:jc w:val="both"/>
      </w:pPr>
      <w:r>
        <w:rPr>
          <w:rFonts w:ascii="Arial" w:cs="Arial" w:eastAsia="Arial" w:hAnsi="Arial"/>
          <w:b/>
          <w:bCs/>
          <w:sz w:val="22"/>
          <w:szCs w:val="22"/>
        </w:rPr>
        <w:t xml:space="preserve">Cromoplastos: </w:t>
      </w:r>
      <w:r>
        <w:rPr>
          <w:rFonts w:ascii="Arial" w:cs="Arial" w:eastAsia="Arial" w:hAnsi="Arial"/>
          <w:sz w:val="22"/>
          <w:szCs w:val="22"/>
        </w:rPr>
        <w:t xml:space="preserve">Visibles como pequeños gránulos de color rojo intenso o anaranjado (10–20 por célula), distribuidos en el citoplasma. Contienen licopeno.</w:t>
      </w:r>
    </w:p>
    <w:p>
      <w:pPr>
        <w:spacing w:after="60" w:before="60" w:line="276"/>
        <w:jc w:val="both"/>
      </w:pPr>
      <w:r>
        <w:rPr>
          <w:rFonts w:ascii="Arial" w:cs="Arial" w:eastAsia="Arial" w:hAnsi="Arial"/>
          <w:b/>
          <w:bCs/>
          <w:sz w:val="22"/>
          <w:szCs w:val="22"/>
        </w:rPr>
        <w:t xml:space="preserve">Núcleo: </w:t>
      </w:r>
      <w:r>
        <w:rPr>
          <w:rFonts w:ascii="Arial" w:cs="Arial" w:eastAsia="Arial" w:hAnsi="Arial"/>
          <w:sz w:val="22"/>
          <w:szCs w:val="22"/>
        </w:rPr>
        <w:t xml:space="preserve">Estructura redondeada, más clara que los cromoplastos; resalta mejor tras aplicar azul de metileno como colorante opcional.</w:t>
      </w:r>
    </w:p>
    <w:p>
      <w:pPr>
        <w:spacing w:after="60" w:before="60" w:line="276"/>
        <w:jc w:val="both"/>
      </w:pPr>
      <w:r>
        <w:rPr>
          <w:rFonts w:ascii="Arial" w:cs="Arial" w:eastAsia="Arial" w:hAnsi="Arial"/>
          <w:b/>
          <w:bCs/>
          <w:sz w:val="22"/>
          <w:szCs w:val="22"/>
        </w:rPr>
        <w:t xml:space="preserve">Color natural: </w:t>
      </w:r>
      <w:r>
        <w:rPr>
          <w:rFonts w:ascii="Arial" w:cs="Arial" w:eastAsia="Arial" w:hAnsi="Arial"/>
          <w:sz w:val="22"/>
          <w:szCs w:val="22"/>
        </w:rPr>
        <w:t xml:space="preserve">Sin colorante, ya se observa el color rojo-anaranjado del tejido proveniente del licopeno almacenado en los cromoplastos.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c>
          <w:tcPr>
            <w:tcW w:type="dxa" w:w="2900"/>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1 — Tomate sin teñir ]</w:t>
            </w:r>
          </w:p>
        </w:tc>
        <w:tc>
          <w:tcPr>
            <w:tcW w:type="dxa" w:w="2900"/>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2 — Tomate 100× ]</w:t>
            </w:r>
          </w:p>
        </w:tc>
        <w:tc>
          <w:tcPr>
            <w:tcW w:type="dxa" w:w="3226"/>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3 — Tomate 400× ]</w:t>
            </w:r>
          </w:p>
        </w:tc>
      </w:tr>
    </w:tbl>
    <w:p>
      <w:pPr>
        <w:spacing w:after="80" w:before="40"/>
        <w:jc w:val="center"/>
      </w:pPr>
      <w:r>
        <w:rPr>
          <w:rFonts w:ascii="Arial" w:cs="Arial" w:eastAsia="Arial" w:hAnsi="Arial"/>
          <w:color w:val="555555"/>
          <w:sz w:val="18"/>
          <w:szCs w:val="18"/>
        </w:rPr>
        <w:t xml:space="preserve">Figuras 4–6. Células de epidermis de tomate. Se indican: Cr = cromoplastos, N = núcleo, PC = pared celular.</w:t>
      </w:r>
    </w:p>
    <w:p>
      <w:pPr>
        <w:pStyle w:val="Heading3"/>
        <w:spacing w:after="60" w:before="160"/>
      </w:pPr>
      <w:r>
        <w:rPr>
          <w:rFonts w:ascii="Arial" w:cs="Arial" w:eastAsia="Arial" w:hAnsi="Arial"/>
          <w:b/>
          <w:bCs/>
          <w:color w:val="404040"/>
          <w:sz w:val="22"/>
          <w:szCs w:val="22"/>
        </w:rPr>
        <w:t xml:space="preserve">Tabla comparativa — Cebolla vs. Tomate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260"/>
        <w:gridCol w:w="3260"/>
      </w:tblGrid>
      <w:tr>
        <w:tc>
          <w:tcPr>
            <w:tcW w:type="dxa" w:w="250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Característica</w:t>
            </w:r>
          </w:p>
        </w:tc>
        <w:tc>
          <w:tcPr>
            <w:tcW w:type="dxa" w:w="32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Cebolla (Allium cepa)</w:t>
            </w:r>
          </w:p>
        </w:tc>
        <w:tc>
          <w:tcPr>
            <w:tcW w:type="dxa" w:w="32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Tomate (Solanum lycopersicum)</w:t>
            </w:r>
          </w:p>
        </w:tc>
      </w:tr>
      <w:tr>
        <w:tc>
          <w:tcPr>
            <w:tcW w:type="dxa" w:w="25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Forma celular</w:t>
            </w:r>
          </w:p>
        </w:tc>
        <w:tc>
          <w:tcPr>
            <w:tcW w:type="dxa" w:w="32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Rectangular / poligonal regular</w:t>
            </w:r>
          </w:p>
        </w:tc>
        <w:tc>
          <w:tcPr>
            <w:tcW w:type="dxa" w:w="32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Irregular / sinuosa ("puzzle")</w:t>
            </w:r>
          </w:p>
        </w:tc>
      </w:tr>
      <w:tr>
        <w:tc>
          <w:tcPr>
            <w:tcW w:type="dxa" w:w="25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Organelos pigmentados</w:t>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Ninguno (sin cloroplastos ni cromoplastos)</w:t>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Cromoplastos con licopeno (gránulos rojo-naranja)</w:t>
            </w:r>
          </w:p>
        </w:tc>
      </w:tr>
      <w:tr>
        <w:tc>
          <w:tcPr>
            <w:tcW w:type="dxa" w:w="25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Color natural</w:t>
            </w:r>
          </w:p>
        </w:tc>
        <w:tc>
          <w:tcPr>
            <w:tcW w:type="dxa" w:w="32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Incoloro / transparente</w:t>
            </w:r>
          </w:p>
        </w:tc>
        <w:tc>
          <w:tcPr>
            <w:tcW w:type="dxa" w:w="32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Rojo-anaranjado intenso</w:t>
            </w:r>
          </w:p>
        </w:tc>
      </w:tr>
      <w:tr>
        <w:tc>
          <w:tcPr>
            <w:tcW w:type="dxa" w:w="25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Tamaño celular aprox.</w:t>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50–80 µm de largo</w:t>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20–50 µm (células más pequeñas e irregulares)</w:t>
            </w:r>
          </w:p>
        </w:tc>
      </w:tr>
      <w:tr>
        <w:tc>
          <w:tcPr>
            <w:tcW w:type="dxa" w:w="25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Función del tejido</w:t>
            </w:r>
          </w:p>
        </w:tc>
        <w:tc>
          <w:tcPr>
            <w:tcW w:type="dxa" w:w="32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Almacenamiento de reservas (bulbo)</w:t>
            </w:r>
          </w:p>
        </w:tc>
        <w:tc>
          <w:tcPr>
            <w:tcW w:type="dxa" w:w="32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Protección del fruto / dispersión de semillas</w:t>
            </w:r>
          </w:p>
        </w:tc>
      </w:tr>
      <w:tr>
        <w:tc>
          <w:tcPr>
            <w:tcW w:type="dxa" w:w="2506"/>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Colorante usado</w:t>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Lugol</w:t>
            </w:r>
          </w:p>
        </w:tc>
        <w:tc>
          <w:tcPr>
            <w:tcW w:type="dxa" w:w="3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Sin colorante (licopeno natural) / opcional azul de metileno</w:t>
            </w:r>
          </w:p>
        </w:tc>
      </w:tr>
    </w:tbl>
    <w:p>
      <w:r>
        <w:t xml:space="preserve"/>
      </w:r>
    </w:p>
    <w:p>
      <w:pPr>
        <w:pStyle w:val="Heading2"/>
        <w:spacing w:after="80" w:before="200"/>
      </w:pPr>
      <w:r>
        <w:rPr>
          <w:rFonts w:ascii="Arial" w:cs="Arial" w:eastAsia="Arial" w:hAnsi="Arial"/>
          <w:b/>
          <w:bCs/>
          <w:color w:val="2E75B6"/>
          <w:sz w:val="24"/>
          <w:szCs w:val="24"/>
        </w:rPr>
        <w:t xml:space="preserve">4.3 Laboratorio 3: Levaduras (Saccharomyces cerevisiae)</w:t>
      </w:r>
    </w:p>
    <w:p>
      <w:pPr>
        <w:pStyle w:val="Heading3"/>
        <w:spacing w:after="60" w:before="160"/>
      </w:pPr>
      <w:r>
        <w:rPr>
          <w:rFonts w:ascii="Arial" w:cs="Arial" w:eastAsia="Arial" w:hAnsi="Arial"/>
          <w:b/>
          <w:bCs/>
          <w:color w:val="404040"/>
          <w:sz w:val="22"/>
          <w:szCs w:val="22"/>
        </w:rPr>
        <w:t xml:space="preserve">Estructuras observadas</w:t>
      </w:r>
    </w:p>
    <w:p>
      <w:pPr>
        <w:spacing w:after="60" w:before="60" w:line="276"/>
        <w:jc w:val="both"/>
      </w:pPr>
      <w:r>
        <w:rPr>
          <w:rFonts w:ascii="Arial" w:cs="Arial" w:eastAsia="Arial" w:hAnsi="Arial"/>
          <w:b/>
          <w:bCs/>
          <w:sz w:val="22"/>
          <w:szCs w:val="22"/>
        </w:rPr>
        <w:t xml:space="preserve">Forma celular: </w:t>
      </w:r>
      <w:r>
        <w:rPr>
          <w:rFonts w:ascii="Arial" w:cs="Arial" w:eastAsia="Arial" w:hAnsi="Arial"/>
          <w:sz w:val="22"/>
          <w:szCs w:val="22"/>
        </w:rPr>
        <w:t xml:space="preserve">Ovalada o redondeada; 5–10 µm (mucho más pequeñas que las células vegetales).</w:t>
      </w:r>
    </w:p>
    <w:p>
      <w:pPr>
        <w:spacing w:after="60" w:before="60" w:line="276"/>
        <w:jc w:val="both"/>
      </w:pPr>
      <w:r>
        <w:rPr>
          <w:rFonts w:ascii="Arial" w:cs="Arial" w:eastAsia="Arial" w:hAnsi="Arial"/>
          <w:b/>
          <w:bCs/>
          <w:sz w:val="22"/>
          <w:szCs w:val="22"/>
        </w:rPr>
        <w:t xml:space="preserve">Pared celular: </w:t>
      </w:r>
      <w:r>
        <w:rPr>
          <w:rFonts w:ascii="Arial" w:cs="Arial" w:eastAsia="Arial" w:hAnsi="Arial"/>
          <w:sz w:val="22"/>
          <w:szCs w:val="22"/>
        </w:rPr>
        <w:t xml:space="preserve">Compuesta de quitina y glucanos (no celulosa). Visible como contorno definido aunque delgado.</w:t>
      </w:r>
    </w:p>
    <w:p>
      <w:pPr>
        <w:spacing w:after="60" w:before="60" w:line="276"/>
        <w:jc w:val="both"/>
      </w:pPr>
      <w:r>
        <w:rPr>
          <w:rFonts w:ascii="Arial" w:cs="Arial" w:eastAsia="Arial" w:hAnsi="Arial"/>
          <w:b/>
          <w:bCs/>
          <w:sz w:val="22"/>
          <w:szCs w:val="22"/>
        </w:rPr>
        <w:t xml:space="preserve">Citoplasma: </w:t>
      </w:r>
      <w:r>
        <w:rPr>
          <w:rFonts w:ascii="Arial" w:cs="Arial" w:eastAsia="Arial" w:hAnsi="Arial"/>
          <w:sz w:val="22"/>
          <w:szCs w:val="22"/>
        </w:rPr>
        <w:t xml:space="preserve">Teñido de azul por el azul de metileno; aspecto granuloso.</w:t>
      </w:r>
    </w:p>
    <w:p>
      <w:pPr>
        <w:spacing w:after="60" w:before="60" w:line="276"/>
        <w:jc w:val="both"/>
      </w:pPr>
      <w:r>
        <w:rPr>
          <w:rFonts w:ascii="Arial" w:cs="Arial" w:eastAsia="Arial" w:hAnsi="Arial"/>
          <w:b/>
          <w:bCs/>
          <w:sz w:val="22"/>
          <w:szCs w:val="22"/>
        </w:rPr>
        <w:t xml:space="preserve">Núcleo: </w:t>
      </w:r>
      <w:r>
        <w:rPr>
          <w:rFonts w:ascii="Arial" w:cs="Arial" w:eastAsia="Arial" w:hAnsi="Arial"/>
          <w:sz w:val="22"/>
          <w:szCs w:val="22"/>
        </w:rPr>
        <w:t xml:space="preserve">Punto oscuro dentro de la célula; pequeño (~1–2 µm).</w:t>
      </w:r>
    </w:p>
    <w:p>
      <w:pPr>
        <w:spacing w:after="60" w:before="60" w:line="276"/>
        <w:jc w:val="both"/>
      </w:pPr>
      <w:r>
        <w:rPr>
          <w:rFonts w:ascii="Arial" w:cs="Arial" w:eastAsia="Arial" w:hAnsi="Arial"/>
          <w:b/>
          <w:bCs/>
          <w:sz w:val="22"/>
          <w:szCs w:val="22"/>
        </w:rPr>
        <w:t xml:space="preserve">Vacuolas: </w:t>
      </w:r>
      <w:r>
        <w:rPr>
          <w:rFonts w:ascii="Arial" w:cs="Arial" w:eastAsia="Arial" w:hAnsi="Arial"/>
          <w:sz w:val="22"/>
          <w:szCs w:val="22"/>
        </w:rPr>
        <w:t xml:space="preserve">Espacios claros variables; varias vacuolas pequeñas (a diferencia de la gran vacuola central de las células vegetales).</w:t>
      </w:r>
    </w:p>
    <w:p>
      <w:pPr>
        <w:spacing w:after="60" w:before="60" w:line="276"/>
        <w:jc w:val="both"/>
      </w:pPr>
      <w:r>
        <w:rPr>
          <w:rFonts w:ascii="Arial" w:cs="Arial" w:eastAsia="Arial" w:hAnsi="Arial"/>
          <w:b/>
          <w:bCs/>
          <w:sz w:val="22"/>
          <w:szCs w:val="22"/>
        </w:rPr>
        <w:t xml:space="preserve">Gemación (¡estructura clave!): </w:t>
      </w:r>
      <w:r>
        <w:rPr>
          <w:rFonts w:ascii="Arial" w:cs="Arial" w:eastAsia="Arial" w:hAnsi="Arial"/>
          <w:sz w:val="22"/>
          <w:szCs w:val="22"/>
        </w:rPr>
        <w:t xml:space="preserve">Se observaron células en distintas etapas: yema en crecimiento, célula hija casi separada de la madre, y pares madre-hija. La gemación es la forma de reproducción asexual característica de las levaduras.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c>
          <w:tcPr>
            <w:tcW w:type="dxa" w:w="2900"/>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1 — Levadura 100× ]</w:t>
            </w:r>
          </w:p>
        </w:tc>
        <w:tc>
          <w:tcPr>
            <w:tcW w:type="dxa" w:w="2900"/>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2 — Levadura 400× ]</w:t>
            </w:r>
          </w:p>
        </w:tc>
        <w:tc>
          <w:tcPr>
            <w:tcW w:type="dxa" w:w="3226"/>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3 — Levadura con gemación ]</w:t>
            </w:r>
          </w:p>
        </w:tc>
      </w:tr>
    </w:tbl>
    <w:p>
      <w:pPr>
        <w:spacing w:after="80" w:before="40"/>
        <w:jc w:val="center"/>
      </w:pPr>
      <w:r>
        <w:rPr>
          <w:rFonts w:ascii="Arial" w:cs="Arial" w:eastAsia="Arial" w:hAnsi="Arial"/>
          <w:color w:val="555555"/>
          <w:sz w:val="18"/>
          <w:szCs w:val="18"/>
        </w:rPr>
        <w:t xml:space="preserve">Figuras 7–9. Levaduras (S. cerevisiae) teñidas con azul de metileno. Se indican: G = gemación (yema), N = núcleo, V = vacuola.</w:t>
      </w:r>
    </w:p>
    <w:p>
      <w:pPr>
        <w:pStyle w:val="Heading2"/>
        <w:spacing w:after="80" w:before="200"/>
      </w:pPr>
      <w:r>
        <w:rPr>
          <w:rFonts w:ascii="Arial" w:cs="Arial" w:eastAsia="Arial" w:hAnsi="Arial"/>
          <w:b/>
          <w:bCs/>
          <w:color w:val="2E75B6"/>
          <w:sz w:val="24"/>
          <w:szCs w:val="24"/>
        </w:rPr>
        <w:t xml:space="preserve">4.4 Laboratorio 4: Células de Mucosa Bucal</w:t>
      </w:r>
    </w:p>
    <w:p>
      <w:pPr>
        <w:pStyle w:val="Heading3"/>
        <w:spacing w:after="60" w:before="160"/>
      </w:pPr>
      <w:r>
        <w:rPr>
          <w:rFonts w:ascii="Arial" w:cs="Arial" w:eastAsia="Arial" w:hAnsi="Arial"/>
          <w:b/>
          <w:bCs/>
          <w:color w:val="404040"/>
          <w:sz w:val="22"/>
          <w:szCs w:val="22"/>
        </w:rPr>
        <w:t xml:space="preserve">Estructuras observadas</w:t>
      </w:r>
    </w:p>
    <w:p>
      <w:pPr>
        <w:spacing w:after="60" w:before="60" w:line="276"/>
        <w:jc w:val="both"/>
      </w:pPr>
      <w:r>
        <w:rPr>
          <w:rFonts w:ascii="Arial" w:cs="Arial" w:eastAsia="Arial" w:hAnsi="Arial"/>
          <w:b/>
          <w:bCs/>
          <w:sz w:val="22"/>
          <w:szCs w:val="22"/>
        </w:rPr>
        <w:t xml:space="preserve">Membrana plasmática: </w:t>
      </w:r>
      <w:r>
        <w:rPr>
          <w:rFonts w:ascii="Arial" w:cs="Arial" w:eastAsia="Arial" w:hAnsi="Arial"/>
          <w:sz w:val="22"/>
          <w:szCs w:val="22"/>
        </w:rPr>
        <w:t xml:space="preserve">Límite celular flexible y delgado (no hay pared celular).</w:t>
      </w:r>
    </w:p>
    <w:p>
      <w:pPr>
        <w:spacing w:after="60" w:before="60" w:line="276"/>
        <w:jc w:val="both"/>
      </w:pPr>
      <w:r>
        <w:rPr>
          <w:rFonts w:ascii="Arial" w:cs="Arial" w:eastAsia="Arial" w:hAnsi="Arial"/>
          <w:b/>
          <w:bCs/>
          <w:sz w:val="22"/>
          <w:szCs w:val="22"/>
        </w:rPr>
        <w:t xml:space="preserve">Citoplasma: </w:t>
      </w:r>
      <w:r>
        <w:rPr>
          <w:rFonts w:ascii="Arial" w:cs="Arial" w:eastAsia="Arial" w:hAnsi="Arial"/>
          <w:sz w:val="22"/>
          <w:szCs w:val="22"/>
        </w:rPr>
        <w:t xml:space="preserve">Abundante, teñido de azul claro por el azul de metileno; ocupa gran parte del volumen celular.</w:t>
      </w:r>
    </w:p>
    <w:p>
      <w:pPr>
        <w:spacing w:after="60" w:before="60" w:line="276"/>
        <w:jc w:val="both"/>
      </w:pPr>
      <w:r>
        <w:rPr>
          <w:rFonts w:ascii="Arial" w:cs="Arial" w:eastAsia="Arial" w:hAnsi="Arial"/>
          <w:b/>
          <w:bCs/>
          <w:sz w:val="22"/>
          <w:szCs w:val="22"/>
        </w:rPr>
        <w:t xml:space="preserve">Núcleo: </w:t>
      </w:r>
      <w:r>
        <w:rPr>
          <w:rFonts w:ascii="Arial" w:cs="Arial" w:eastAsia="Arial" w:hAnsi="Arial"/>
          <w:sz w:val="22"/>
          <w:szCs w:val="22"/>
        </w:rPr>
        <w:t xml:space="preserve">Esfera central bien definida y teñida de azul intenso debido a la alta concentración de ADN.</w:t>
      </w:r>
    </w:p>
    <w:p>
      <w:pPr>
        <w:spacing w:after="60" w:before="60" w:line="276"/>
        <w:jc w:val="both"/>
      </w:pPr>
      <w:r>
        <w:rPr>
          <w:rFonts w:ascii="Arial" w:cs="Arial" w:eastAsia="Arial" w:hAnsi="Arial"/>
          <w:b/>
          <w:bCs/>
          <w:sz w:val="22"/>
          <w:szCs w:val="22"/>
        </w:rPr>
        <w:t xml:space="preserve">Nucléolo: </w:t>
      </w:r>
      <w:r>
        <w:rPr>
          <w:rFonts w:ascii="Arial" w:cs="Arial" w:eastAsia="Arial" w:hAnsi="Arial"/>
          <w:sz w:val="22"/>
          <w:szCs w:val="22"/>
        </w:rPr>
        <w:t xml:space="preserve">En algunos casos se distingue como un punto más oscuro dentro del núcleo.</w:t>
      </w:r>
    </w:p>
    <w:p>
      <w:pPr>
        <w:spacing w:after="60" w:before="60" w:line="276"/>
        <w:jc w:val="both"/>
      </w:pPr>
      <w:r>
        <w:rPr>
          <w:rFonts w:ascii="Arial" w:cs="Arial" w:eastAsia="Arial" w:hAnsi="Arial"/>
          <w:b/>
          <w:bCs/>
          <w:sz w:val="22"/>
          <w:szCs w:val="22"/>
        </w:rPr>
        <w:t xml:space="preserve">Forma: </w:t>
      </w:r>
      <w:r>
        <w:rPr>
          <w:rFonts w:ascii="Arial" w:cs="Arial" w:eastAsia="Arial" w:hAnsi="Arial"/>
          <w:sz w:val="22"/>
          <w:szCs w:val="22"/>
        </w:rPr>
        <w:t xml:space="preserve">Irregular, plana, poligonal flexible; refleja la ausencia de pared celular rígida.</w:t>
      </w:r>
    </w:p>
    <w:p>
      <w:pPr>
        <w:spacing w:after="60" w:before="60" w:line="276"/>
        <w:jc w:val="both"/>
      </w:pPr>
      <w:r>
        <w:rPr>
          <w:rFonts w:ascii="Arial" w:cs="Arial" w:eastAsia="Arial" w:hAnsi="Arial"/>
          <w:b/>
          <w:bCs/>
          <w:sz w:val="22"/>
          <w:szCs w:val="22"/>
        </w:rPr>
        <w:t xml:space="preserve">Bacterias: </w:t>
      </w:r>
      <w:r>
        <w:rPr>
          <w:rFonts w:ascii="Arial" w:cs="Arial" w:eastAsia="Arial" w:hAnsi="Arial"/>
          <w:sz w:val="22"/>
          <w:szCs w:val="22"/>
        </w:rPr>
        <w:t xml:space="preserve">Se observaron puntos azules muy pequeños adheridos a la superficie celular (microbiota bucal normal — células procariotas).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c>
          <w:tcPr>
            <w:tcW w:type="dxa" w:w="2900"/>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1 — Mucosa bucal 100× ]</w:t>
            </w:r>
          </w:p>
        </w:tc>
        <w:tc>
          <w:tcPr>
            <w:tcW w:type="dxa" w:w="2900"/>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2 — Mucosa bucal 400× ]</w:t>
            </w:r>
          </w:p>
        </w:tc>
        <w:tc>
          <w:tcPr>
            <w:tcW w:type="dxa" w:w="3226"/>
            <w:tcBorders>
              <w:top w:val="single" w:color="AAAAAA" w:sz="4"/>
              <w:left w:val="single" w:color="AAAAAA" w:sz="4"/>
              <w:bottom w:val="single" w:color="AAAAAA" w:sz="4"/>
              <w:right w:val="single" w:color="AAAAAA" w:sz="4"/>
            </w:tcBorders>
            <w:shd w:fill="F2F2F2" w:val="clear"/>
            <w:tcMar>
              <w:top w:type="dxa" w:w="200"/>
              <w:left w:type="dxa" w:w="120"/>
              <w:bottom w:type="dxa" w:w="200"/>
              <w:right w:type="dxa" w:w="120"/>
            </w:tcMar>
          </w:tcPr>
          <w:p>
            <w:pPr>
              <w:jc w:val="center"/>
            </w:pPr>
            <w:r>
              <w:rPr>
                <w:rFonts w:ascii="Arial" w:cs="Arial" w:eastAsia="Arial" w:hAnsi="Arial"/>
                <w:color w:val="666666"/>
                <w:sz w:val="18"/>
                <w:szCs w:val="18"/>
              </w:rPr>
              <w:t xml:space="preserve">[ Imagen 3 — Bacterias en frotis ]</w:t>
            </w:r>
          </w:p>
        </w:tc>
      </w:tr>
    </w:tbl>
    <w:p>
      <w:pPr>
        <w:spacing w:after="80" w:before="40"/>
        <w:jc w:val="center"/>
      </w:pPr>
      <w:r>
        <w:rPr>
          <w:rFonts w:ascii="Arial" w:cs="Arial" w:eastAsia="Arial" w:hAnsi="Arial"/>
          <w:color w:val="555555"/>
          <w:sz w:val="18"/>
          <w:szCs w:val="18"/>
        </w:rPr>
        <w:t xml:space="preserve">Figuras 10–12. Células de mucosa bucal teñidas con azul de metileno. Se indican: MP = membrana plasmática, N = núcleo, Ct = citoplasma, B = bacterias (microbiota).</w:t>
      </w:r>
    </w:p>
    <w:p>
      <w:pPr>
        <w:pStyle w:val="Heading3"/>
        <w:spacing w:after="60" w:before="160"/>
      </w:pPr>
      <w:r>
        <w:rPr>
          <w:rFonts w:ascii="Arial" w:cs="Arial" w:eastAsia="Arial" w:hAnsi="Arial"/>
          <w:b/>
          <w:bCs/>
          <w:color w:val="404040"/>
          <w:sz w:val="22"/>
          <w:szCs w:val="22"/>
        </w:rPr>
        <w:t xml:space="preserve">Tabla comparativa general: Célula Animal vs. Célula Vegetal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c>
          <w:tcPr>
            <w:tcW w:type="dxa" w:w="23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Característica</w:t>
            </w:r>
          </w:p>
        </w:tc>
        <w:tc>
          <w:tcPr>
            <w:tcW w:type="dxa" w:w="3363"/>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Célula Vegetal (cebolla / tomate)</w:t>
            </w:r>
          </w:p>
        </w:tc>
        <w:tc>
          <w:tcPr>
            <w:tcW w:type="dxa" w:w="3363"/>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Célula Animal (mucosa bucal)</w:t>
            </w:r>
          </w:p>
        </w:tc>
      </w:tr>
      <w:tr>
        <w:tc>
          <w:tcPr>
            <w:tcW w:type="dxa" w:w="2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Pared celular</w:t>
            </w:r>
          </w:p>
        </w:tc>
        <w:tc>
          <w:tcPr>
            <w:tcW w:type="dxa" w:w="3363"/>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Sí — celulosa (rígida, forma poligonal)</w:t>
            </w:r>
          </w:p>
        </w:tc>
        <w:tc>
          <w:tcPr>
            <w:tcW w:type="dxa" w:w="3363"/>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No — solo membrana plasmática flexible</w:t>
            </w:r>
          </w:p>
        </w:tc>
      </w:tr>
      <w:tr>
        <w:tc>
          <w:tcPr>
            <w:tcW w:type="dxa" w:w="2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Forma</w:t>
            </w:r>
          </w:p>
        </w:tc>
        <w:tc>
          <w:tcPr>
            <w:tcW w:type="dxa" w:w="336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Regular, rectangular / poligonal</w:t>
            </w:r>
          </w:p>
        </w:tc>
        <w:tc>
          <w:tcPr>
            <w:tcW w:type="dxa" w:w="336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Irregular, plana, variable</w:t>
            </w:r>
          </w:p>
        </w:tc>
      </w:tr>
      <w:tr>
        <w:tc>
          <w:tcPr>
            <w:tcW w:type="dxa" w:w="2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Tamaño aprox.</w:t>
            </w:r>
          </w:p>
        </w:tc>
        <w:tc>
          <w:tcPr>
            <w:tcW w:type="dxa" w:w="3363"/>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50–80 µm</w:t>
            </w:r>
          </w:p>
        </w:tc>
        <w:tc>
          <w:tcPr>
            <w:tcW w:type="dxa" w:w="3363"/>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30–60 µm</w:t>
            </w:r>
          </w:p>
        </w:tc>
      </w:tr>
      <w:tr>
        <w:tc>
          <w:tcPr>
            <w:tcW w:type="dxa" w:w="2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Vacuola</w:t>
            </w:r>
          </w:p>
        </w:tc>
        <w:tc>
          <w:tcPr>
            <w:tcW w:type="dxa" w:w="336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Una central grande (30–90 % del volumen)</w:t>
            </w:r>
          </w:p>
        </w:tc>
        <w:tc>
          <w:tcPr>
            <w:tcW w:type="dxa" w:w="336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Varias pequeñas o inexistentes</w:t>
            </w:r>
          </w:p>
        </w:tc>
      </w:tr>
      <w:tr>
        <w:tc>
          <w:tcPr>
            <w:tcW w:type="dxa" w:w="2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Organelos pigmentados</w:t>
            </w:r>
          </w:p>
        </w:tc>
        <w:tc>
          <w:tcPr>
            <w:tcW w:type="dxa" w:w="3363"/>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Cromoplastos (tomate) / ausentes (cebolla)</w:t>
            </w:r>
          </w:p>
        </w:tc>
        <w:tc>
          <w:tcPr>
            <w:tcW w:type="dxa" w:w="3363"/>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No posee</w:t>
            </w:r>
          </w:p>
        </w:tc>
      </w:tr>
      <w:tr>
        <w:tc>
          <w:tcPr>
            <w:tcW w:type="dxa" w:w="2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Rigidez</w:t>
            </w:r>
          </w:p>
        </w:tc>
        <w:tc>
          <w:tcPr>
            <w:tcW w:type="dxa" w:w="336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Alta (pared celular de celulosa)</w:t>
            </w:r>
          </w:p>
        </w:tc>
        <w:tc>
          <w:tcPr>
            <w:tcW w:type="dxa" w:w="336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Baja (memb. plasmática flexible)</w:t>
            </w:r>
          </w:p>
        </w:tc>
      </w:tr>
      <w:tr>
        <w:tc>
          <w:tcPr>
            <w:tcW w:type="dxa" w:w="2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Nucleus</w:t>
            </w:r>
          </w:p>
        </w:tc>
        <w:tc>
          <w:tcPr>
            <w:tcW w:type="dxa" w:w="3363"/>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Sí — desplazado a la periferia por vacuola</w:t>
            </w:r>
          </w:p>
        </w:tc>
        <w:tc>
          <w:tcPr>
            <w:tcW w:type="dxa" w:w="3363"/>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sz w:val="20"/>
                <w:szCs w:val="20"/>
              </w:rPr>
              <w:t xml:space="preserve">Sí — central y prominente</w:t>
            </w:r>
          </w:p>
        </w:tc>
      </w:tr>
    </w:tbl>
    <w:p>
      <w:r>
        <w:t xml:space="preserve"/>
      </w:r>
    </w:p>
    <w:p>
      <w:r>
        <w:br w:type="page"/>
      </w:r>
    </w:p>
    <w:p>
      <w:pPr>
        <w:pStyle w:val="Heading1"/>
        <w:spacing w:after="120" w:before="300"/>
      </w:pPr>
      <w:r>
        <w:rPr>
          <w:rFonts w:ascii="Arial" w:cs="Arial" w:eastAsia="Arial" w:hAnsi="Arial"/>
          <w:b/>
          <w:bCs/>
          <w:color w:val="1F4E79"/>
          <w:sz w:val="28"/>
          <w:szCs w:val="28"/>
        </w:rPr>
        <w:t xml:space="preserve">5. Discusión</w:t>
      </w:r>
    </w:p>
    <w:p>
      <w:pPr>
        <w:pStyle w:val="Heading2"/>
        <w:spacing w:after="80" w:before="200"/>
      </w:pPr>
      <w:r>
        <w:rPr>
          <w:rFonts w:ascii="Arial" w:cs="Arial" w:eastAsia="Arial" w:hAnsi="Arial"/>
          <w:b/>
          <w:bCs/>
          <w:color w:val="2E75B6"/>
          <w:sz w:val="24"/>
          <w:szCs w:val="24"/>
        </w:rPr>
        <w:t xml:space="preserve">5.1 La forma sigue a la función</w:t>
      </w:r>
    </w:p>
    <w:p>
      <w:pPr>
        <w:spacing w:after="60" w:before="60" w:line="276"/>
        <w:jc w:val="both"/>
      </w:pPr>
      <w:r>
        <w:rPr>
          <w:rFonts w:ascii="Arial" w:cs="Arial" w:eastAsia="Arial" w:hAnsi="Arial"/>
          <w:b w:val="false"/>
          <w:bCs w:val="false"/>
          <w:i w:val="false"/>
          <w:iCs w:val="false"/>
          <w:color w:val="000000"/>
          <w:sz w:val="22"/>
          <w:szCs w:val="22"/>
        </w:rPr>
        <w:t xml:space="preserve">Uno de los conceptos más evidentes al comparar los cuatro tipos celulares observados es que la morfología celular refleja directamente la función del tejido. Las células de cebolla presentan una forma rectangular regular impuesta por su rígida pared celular de celulosa, lo que es coherente con su rol de soporte mecánico y almacenamiento en un bulbo subterráneo. La gran vacuola central, que desplaza el citoplasma hacia la periferia, actúa como depósito de agua y osmolitos, otorgando turgencia al tejido.</w:t>
      </w:r>
    </w:p>
    <w:p>
      <w:pPr>
        <w:spacing w:after="60" w:before="60" w:line="276"/>
        <w:jc w:val="both"/>
      </w:pPr>
      <w:r>
        <w:rPr>
          <w:rFonts w:ascii="Arial" w:cs="Arial" w:eastAsia="Arial" w:hAnsi="Arial"/>
          <w:b w:val="false"/>
          <w:bCs w:val="false"/>
          <w:i w:val="false"/>
          <w:iCs w:val="false"/>
          <w:color w:val="000000"/>
          <w:sz w:val="22"/>
          <w:szCs w:val="22"/>
        </w:rPr>
        <w:t xml:space="preserve">Las células de la epidermis de tomate, en cambio, tienen formas irregulares o sinuosas similares a piezas de rompecabezas. Esta morfología favorece la cohesión tisular durante la expansión del fruto en maduración, absorbiendo tensiones mecánicas sin que el tejido se rompa. Las células de la mucosa bucal, desprovistas de pared celular, presentan la mayor flexibilidad morfológica: se adaptan a la superficie del epitelio y permiten su renovación constante. Las levaduras, como organismos unicelulares, son ovoides y pequeñas, lo que maximiza la relación superficie/volumen y facilita el intercambio de nutrientes con el medio.</w:t>
      </w:r>
    </w:p>
    <w:p>
      <w:pPr>
        <w:pStyle w:val="Heading2"/>
        <w:spacing w:after="80" w:before="200"/>
      </w:pPr>
      <w:r>
        <w:rPr>
          <w:rFonts w:ascii="Arial" w:cs="Arial" w:eastAsia="Arial" w:hAnsi="Arial"/>
          <w:b/>
          <w:bCs/>
          <w:color w:val="2E75B6"/>
          <w:sz w:val="24"/>
          <w:szCs w:val="24"/>
        </w:rPr>
        <w:t xml:space="preserve">5.2 Ausencia de cloroplastos en la cebolla</w:t>
      </w:r>
    </w:p>
    <w:p>
      <w:pPr>
        <w:spacing w:after="60" w:before="60" w:line="276"/>
        <w:jc w:val="both"/>
      </w:pPr>
      <w:r>
        <w:rPr>
          <w:rFonts w:ascii="Arial" w:cs="Arial" w:eastAsia="Arial" w:hAnsi="Arial"/>
          <w:b w:val="false"/>
          <w:bCs w:val="false"/>
          <w:i w:val="false"/>
          <w:iCs w:val="false"/>
          <w:color w:val="000000"/>
          <w:sz w:val="22"/>
          <w:szCs w:val="22"/>
        </w:rPr>
        <w:t xml:space="preserve">Una pregunta frecuente es por qué las células de cebolla carecen de cloroplastos si se trata de una planta. La explicación reside en que el catafilo es parte del bulbo, un órgano subterráneo que no recibe luz solar. La fotosíntesis no puede ocurrir sin luz, por lo que las células del bulbo no desarrollan cloroplastos; en cambio, contienen leucoplastos (plastidios incoloros) para el almacenamiento de almidón.</w:t>
      </w:r>
    </w:p>
    <w:p>
      <w:pPr>
        <w:pStyle w:val="Heading2"/>
        <w:spacing w:after="80" w:before="200"/>
      </w:pPr>
      <w:r>
        <w:rPr>
          <w:rFonts w:ascii="Arial" w:cs="Arial" w:eastAsia="Arial" w:hAnsi="Arial"/>
          <w:b/>
          <w:bCs/>
          <w:color w:val="2E75B6"/>
          <w:sz w:val="24"/>
          <w:szCs w:val="24"/>
        </w:rPr>
        <w:t xml:space="preserve">5.3 Cromoplastos y dispersión de semillas en el tomate</w:t>
      </w:r>
    </w:p>
    <w:p>
      <w:pPr>
        <w:spacing w:after="60" w:before="60" w:line="276"/>
        <w:jc w:val="both"/>
      </w:pPr>
      <w:r>
        <w:rPr>
          <w:rFonts w:ascii="Arial" w:cs="Arial" w:eastAsia="Arial" w:hAnsi="Arial"/>
          <w:b w:val="false"/>
          <w:bCs w:val="false"/>
          <w:i w:val="false"/>
          <w:iCs w:val="false"/>
          <w:color w:val="000000"/>
          <w:sz w:val="22"/>
          <w:szCs w:val="22"/>
        </w:rPr>
        <w:t xml:space="preserve">Los cromoplastos del tomate contienen licopeno, un carotenoide de color rojo intenso. Este pigmento cumple una doble función: proteger a la planta contra el estrés oxidativo y atraer visualmente a animales frugívoros. Al consumir el fruto maduro, los animales dispersan las semillas a través de sus heces, favoreciendo la propagación de la especie. Este es un ejemplo clásico de coevolución entre plantas y animales.</w:t>
      </w:r>
    </w:p>
    <w:p>
      <w:pPr>
        <w:pStyle w:val="Heading2"/>
        <w:spacing w:after="80" w:before="200"/>
      </w:pPr>
      <w:r>
        <w:rPr>
          <w:rFonts w:ascii="Arial" w:cs="Arial" w:eastAsia="Arial" w:hAnsi="Arial"/>
          <w:b/>
          <w:bCs/>
          <w:color w:val="2E75B6"/>
          <w:sz w:val="24"/>
          <w:szCs w:val="24"/>
        </w:rPr>
        <w:t xml:space="preserve">5.4 Gemación en levaduras y factores ambientales</w:t>
      </w:r>
    </w:p>
    <w:p>
      <w:pPr>
        <w:spacing w:after="60" w:before="60" w:line="276"/>
        <w:jc w:val="both"/>
      </w:pPr>
      <w:r>
        <w:rPr>
          <w:rFonts w:ascii="Arial" w:cs="Arial" w:eastAsia="Arial" w:hAnsi="Arial"/>
          <w:b w:val="false"/>
          <w:bCs w:val="false"/>
          <w:i w:val="false"/>
          <w:iCs w:val="false"/>
          <w:color w:val="000000"/>
          <w:sz w:val="22"/>
          <w:szCs w:val="22"/>
        </w:rPr>
        <w:t xml:space="preserve">Se comprobó que la actividad de gemación en S. cerevisiae depende directamente de la temperatura y la disponibilidad de sustrato (azúcar). A 35–40 °C con sustrato disponible, la levadura activa su metabolismo fermentativo y aumenta su tasa de división. Temperaturas superiores a 45 °C desnaturalizan enzimas clave, inhibiendo la actividad metabólica. Este comportamiento es consistente con la naturaleza proteica de las enzimas: su actividad es óptima en un rango estrecho de temperatura y pH.</w:t>
      </w:r>
    </w:p>
    <w:p>
      <w:pPr>
        <w:pStyle w:val="Heading2"/>
        <w:spacing w:after="80" w:before="200"/>
      </w:pPr>
      <w:r>
        <w:rPr>
          <w:rFonts w:ascii="Arial" w:cs="Arial" w:eastAsia="Arial" w:hAnsi="Arial"/>
          <w:b/>
          <w:bCs/>
          <w:color w:val="2E75B6"/>
          <w:sz w:val="24"/>
          <w:szCs w:val="24"/>
        </w:rPr>
        <w:t xml:space="preserve">5.5 Diferencias procariotas-eucariotas en el frotis bucal</w:t>
      </w:r>
    </w:p>
    <w:p>
      <w:pPr>
        <w:spacing w:after="60" w:before="60" w:line="276"/>
        <w:jc w:val="both"/>
      </w:pPr>
      <w:r>
        <w:rPr>
          <w:rFonts w:ascii="Arial" w:cs="Arial" w:eastAsia="Arial" w:hAnsi="Arial"/>
          <w:b w:val="false"/>
          <w:bCs w:val="false"/>
          <w:i w:val="false"/>
          <w:iCs w:val="false"/>
          <w:color w:val="000000"/>
          <w:sz w:val="22"/>
          <w:szCs w:val="22"/>
        </w:rPr>
        <w:t xml:space="preserve">En el frotis de mucosa bucal se pudieron observar, además de las células epiteliales, puntos azules de tamaño mucho menor (~1–2 µm) adheridos a la superficie celular. Estos corresponden a bacterias de la microbiota bucal normal, organismos procariotas. La diferencia de tamaño (10–100 veces menor que las células eucariotas), la ausencia de núcleo verdadero y la carencia de organelos membranosos son las principales características que distinguen a las células procariotas de las eucariotas.</w:t>
      </w:r>
    </w:p>
    <w:p>
      <w:pPr>
        <w:pStyle w:val="Heading2"/>
        <w:spacing w:after="80" w:before="200"/>
      </w:pPr>
      <w:r>
        <w:rPr>
          <w:rFonts w:ascii="Arial" w:cs="Arial" w:eastAsia="Arial" w:hAnsi="Arial"/>
          <w:b/>
          <w:bCs/>
          <w:color w:val="2E75B6"/>
          <w:sz w:val="24"/>
          <w:szCs w:val="24"/>
        </w:rPr>
        <w:t xml:space="preserve">5.6 Importancia de la técnica de tinción</w:t>
      </w:r>
    </w:p>
    <w:p>
      <w:pPr>
        <w:spacing w:after="60" w:before="60" w:line="276"/>
        <w:jc w:val="both"/>
      </w:pPr>
      <w:r>
        <w:rPr>
          <w:rFonts w:ascii="Arial" w:cs="Arial" w:eastAsia="Arial" w:hAnsi="Arial"/>
          <w:b w:val="false"/>
          <w:bCs w:val="false"/>
          <w:i w:val="false"/>
          <w:iCs w:val="false"/>
          <w:color w:val="000000"/>
          <w:sz w:val="22"/>
          <w:szCs w:val="22"/>
        </w:rPr>
        <w:t xml:space="preserve">La tinción es una herramienta indispensable en microscopía óptica. Las estructuras celulares son en su mayoría transparentes e incoloras, por lo que sin colorante resultan invisibles o muy difíciles de distinguir. El Lugol permite resaltar el núcleo en células de cebolla (tiene afinidad por polisacáridos y ácidos nucleicos), mientras que el azul de metileno, por ser un colorante básico catiónico, se une a moléculas con cargas negativas como el ADN, ARN y ciertas proteínas, tiñendo el núcleo de azul intenso. En el tomate no fue necesario colorante adicional dado que los cromoplastos son visibles por su pigmento natural.</w:t>
      </w:r>
    </w:p>
    <w:p>
      <w:r>
        <w:t xml:space="preserve"/>
      </w:r>
    </w:p>
    <w:p>
      <w:r>
        <w:br w:type="page"/>
      </w:r>
    </w:p>
    <w:p>
      <w:pPr>
        <w:pStyle w:val="Heading1"/>
        <w:spacing w:after="120" w:before="300"/>
      </w:pPr>
      <w:r>
        <w:rPr>
          <w:rFonts w:ascii="Arial" w:cs="Arial" w:eastAsia="Arial" w:hAnsi="Arial"/>
          <w:b/>
          <w:bCs/>
          <w:color w:val="1F4E79"/>
          <w:sz w:val="28"/>
          <w:szCs w:val="28"/>
        </w:rPr>
        <w:t xml:space="preserve">6. Conclusiones</w:t>
      </w:r>
    </w:p>
    <w:p>
      <w:pPr>
        <w:spacing w:after="60" w:before="60" w:line="276"/>
        <w:jc w:val="both"/>
      </w:pPr>
      <w:r>
        <w:rPr>
          <w:rFonts w:ascii="Arial" w:cs="Arial" w:eastAsia="Arial" w:hAnsi="Arial"/>
          <w:b w:val="false"/>
          <w:bCs w:val="false"/>
          <w:i w:val="false"/>
          <w:iCs w:val="false"/>
          <w:color w:val="000000"/>
          <w:sz w:val="22"/>
          <w:szCs w:val="22"/>
        </w:rPr>
        <w:t xml:space="preserve">A partir de las cuatro prácticas de laboratorio se arriban a las siguientes conclusiones:</w:t>
      </w:r>
    </w:p>
    <w:p>
      <w:pPr>
        <w:pStyle w:val="ListParagraph"/>
        <w:numPr>
          <w:ilvl w:val="0"/>
          <w:numId w:val="2"/>
        </w:numPr>
        <w:spacing w:after="40" w:before="40"/>
      </w:pPr>
      <w:r>
        <w:rPr>
          <w:rFonts w:ascii="Arial" w:cs="Arial" w:eastAsia="Arial" w:hAnsi="Arial"/>
          <w:sz w:val="22"/>
          <w:szCs w:val="22"/>
        </w:rPr>
        <w:t xml:space="preserve">La observación microscópica confirmó los postulados de la teoría celular: todos los organismos estudiados (cebolla, tomate, levadura, mucosa bucal) están constituidos por células, y cada célula presenta estructuras coherentes con su función biológica.</w:t>
      </w:r>
    </w:p>
    <w:p>
      <w:pPr>
        <w:pStyle w:val="ListParagraph"/>
        <w:numPr>
          <w:ilvl w:val="0"/>
          <w:numId w:val="2"/>
        </w:numPr>
        <w:spacing w:after="40" w:before="40"/>
      </w:pPr>
      <w:r>
        <w:rPr>
          <w:rFonts w:ascii="Arial" w:cs="Arial" w:eastAsia="Arial" w:hAnsi="Arial"/>
          <w:sz w:val="22"/>
          <w:szCs w:val="22"/>
        </w:rPr>
        <w:t xml:space="preserve">Las células vegetales eucariotas se distinguen claramente por la presencia de pared celular de celulosa, vacuola central grande y, en el caso del tomate, cromoplastos con pigmentos visibles. La cebolla carece de cloroplastos porque el catafilo es un tejido no fotosintético.</w:t>
      </w:r>
    </w:p>
    <w:p>
      <w:pPr>
        <w:pStyle w:val="ListParagraph"/>
        <w:numPr>
          <w:ilvl w:val="0"/>
          <w:numId w:val="2"/>
        </w:numPr>
        <w:spacing w:after="40" w:before="40"/>
      </w:pPr>
      <w:r>
        <w:rPr>
          <w:rFonts w:ascii="Arial" w:cs="Arial" w:eastAsia="Arial" w:hAnsi="Arial"/>
          <w:sz w:val="22"/>
          <w:szCs w:val="22"/>
        </w:rPr>
        <w:t xml:space="preserve">Las levaduras (S. cerevisiae) son células eucariotas fúngicas unicelulares que se reproducen por gemación. La actividad metabólica y reproductiva depende de la temperatura y la disponibilidad de sustrato, lo que fue comprobado experimentalmente.</w:t>
      </w:r>
    </w:p>
    <w:p>
      <w:pPr>
        <w:pStyle w:val="ListParagraph"/>
        <w:numPr>
          <w:ilvl w:val="0"/>
          <w:numId w:val="2"/>
        </w:numPr>
        <w:spacing w:after="40" w:before="40"/>
      </w:pPr>
      <w:r>
        <w:rPr>
          <w:rFonts w:ascii="Arial" w:cs="Arial" w:eastAsia="Arial" w:hAnsi="Arial"/>
          <w:sz w:val="22"/>
          <w:szCs w:val="22"/>
        </w:rPr>
        <w:t xml:space="preserve">Las células animales de la mucosa bucal se caracterizan por la ausencia de pared celular, lo que les otorga mayor flexibilidad morfológica. El núcleo es central y prominente.</w:t>
      </w:r>
    </w:p>
    <w:p>
      <w:pPr>
        <w:pStyle w:val="ListParagraph"/>
        <w:numPr>
          <w:ilvl w:val="0"/>
          <w:numId w:val="2"/>
        </w:numPr>
        <w:spacing w:after="40" w:before="40"/>
      </w:pPr>
      <w:r>
        <w:rPr>
          <w:rFonts w:ascii="Arial" w:cs="Arial" w:eastAsia="Arial" w:hAnsi="Arial"/>
          <w:sz w:val="22"/>
          <w:szCs w:val="22"/>
        </w:rPr>
        <w:t xml:space="preserve">La diferencia entre células procariotas (bacterias observadas en el frotis) y eucariotas es evidente en tamaño y organización: las procariotas carecen de núcleo verdadero y organelos membranosos.</w:t>
      </w:r>
    </w:p>
    <w:p>
      <w:pPr>
        <w:pStyle w:val="ListParagraph"/>
        <w:numPr>
          <w:ilvl w:val="0"/>
          <w:numId w:val="2"/>
        </w:numPr>
        <w:spacing w:after="40" w:before="40"/>
      </w:pPr>
      <w:r>
        <w:rPr>
          <w:rFonts w:ascii="Arial" w:cs="Arial" w:eastAsia="Arial" w:hAnsi="Arial"/>
          <w:sz w:val="22"/>
          <w:szCs w:val="22"/>
        </w:rPr>
        <w:t xml:space="preserve">La técnica de tinción es fundamental: sin colorante, estructuras clave como el núcleo o la membrana son prácticamente invisibles. La elección del colorante adecuado para cada tipo celular es esencial para obtener resultados claros.</w:t>
      </w:r>
    </w:p>
    <w:p>
      <w:pPr>
        <w:pStyle w:val="ListParagraph"/>
        <w:numPr>
          <w:ilvl w:val="0"/>
          <w:numId w:val="2"/>
        </w:numPr>
        <w:spacing w:after="40" w:before="40"/>
      </w:pPr>
      <w:r>
        <w:rPr>
          <w:rFonts w:ascii="Arial" w:cs="Arial" w:eastAsia="Arial" w:hAnsi="Arial"/>
          <w:sz w:val="22"/>
          <w:szCs w:val="22"/>
        </w:rPr>
        <w:t xml:space="preserve">La morfología celular es reflejo de la función: rigidez vs. flexibilidad, almacenamiento vs. revestimiento, unicelularidad vs. tejido multicelular. La biología celular demuestra que la estructura siempre sirve a la función.</w:t>
      </w:r>
    </w:p>
    <w:p>
      <w:r>
        <w:t xml:space="preserve"/>
      </w:r>
    </w:p>
    <w:p>
      <w:r>
        <w:br w:type="page"/>
      </w:r>
    </w:p>
    <w:p>
      <w:pPr>
        <w:pStyle w:val="Heading1"/>
        <w:spacing w:after="120" w:before="300"/>
      </w:pPr>
      <w:r>
        <w:rPr>
          <w:rFonts w:ascii="Arial" w:cs="Arial" w:eastAsia="Arial" w:hAnsi="Arial"/>
          <w:b/>
          <w:bCs/>
          <w:color w:val="1F4E79"/>
          <w:sz w:val="28"/>
          <w:szCs w:val="28"/>
        </w:rPr>
        <w:t xml:space="preserve">7. Bibliografía</w:t>
      </w:r>
    </w:p>
    <w:p>
      <w:pPr>
        <w:pStyle w:val="ListParagraph"/>
        <w:numPr>
          <w:ilvl w:val="0"/>
          <w:numId w:val="2"/>
        </w:numPr>
        <w:spacing w:after="40" w:before="40"/>
      </w:pPr>
      <w:r>
        <w:rPr>
          <w:rFonts w:ascii="Arial" w:cs="Arial" w:eastAsia="Arial" w:hAnsi="Arial"/>
          <w:sz w:val="22"/>
          <w:szCs w:val="22"/>
        </w:rPr>
        <w:t xml:space="preserve">Curtis, H., Barnes, N. S., Schnek, A. y Massarini, A. (2008). Curtis Biología (7.ª ed.). Editorial Médica Panamericana.</w:t>
      </w:r>
    </w:p>
    <w:p>
      <w:pPr>
        <w:pStyle w:val="ListParagraph"/>
        <w:numPr>
          <w:ilvl w:val="0"/>
          <w:numId w:val="2"/>
        </w:numPr>
        <w:spacing w:after="40" w:before="40"/>
      </w:pPr>
      <w:r>
        <w:rPr>
          <w:rFonts w:ascii="Arial" w:cs="Arial" w:eastAsia="Arial" w:hAnsi="Arial"/>
          <w:sz w:val="22"/>
          <w:szCs w:val="22"/>
        </w:rPr>
        <w:t xml:space="preserve">Alberts, B., Johnson, A., Lewis, J., Raff, M., Roberts, K. y Walter, P. (2015). Molecular Biology of the Cell (6.ª ed.). Garland Science.</w:t>
      </w:r>
    </w:p>
    <w:p>
      <w:pPr>
        <w:pStyle w:val="ListParagraph"/>
        <w:numPr>
          <w:ilvl w:val="0"/>
          <w:numId w:val="2"/>
        </w:numPr>
        <w:spacing w:after="40" w:before="40"/>
      </w:pPr>
      <w:r>
        <w:rPr>
          <w:rFonts w:ascii="Arial" w:cs="Arial" w:eastAsia="Arial" w:hAnsi="Arial"/>
          <w:sz w:val="22"/>
          <w:szCs w:val="22"/>
        </w:rPr>
        <w:t xml:space="preserve">del Brio, M. N. y Obregón, L. (2026). Cuaderno de Laboratorio — Biología General. UTN — Tecnicatura Universitaria en Energías Renovables, Puerto Madryn.</w:t>
      </w:r>
    </w:p>
    <w:p>
      <w:pPr>
        <w:pStyle w:val="ListParagraph"/>
        <w:numPr>
          <w:ilvl w:val="0"/>
          <w:numId w:val="2"/>
        </w:numPr>
        <w:spacing w:after="40" w:before="40"/>
      </w:pPr>
      <w:r>
        <w:rPr>
          <w:rFonts w:ascii="Arial" w:cs="Arial" w:eastAsia="Arial" w:hAnsi="Arial"/>
          <w:sz w:val="22"/>
          <w:szCs w:val="22"/>
        </w:rPr>
        <w:t xml:space="preserve">del Brio, M. N. y Obregón, L. (2026). Eje N° 1: Células, unidad fundamental de la vida [Presentación de clase]. UTN — Biología General.</w:t>
      </w:r>
    </w:p>
    <w:p>
      <w:pPr>
        <w:pStyle w:val="ListParagraph"/>
        <w:numPr>
          <w:ilvl w:val="0"/>
          <w:numId w:val="2"/>
        </w:numPr>
        <w:spacing w:after="40" w:before="40"/>
      </w:pPr>
      <w:r>
        <w:rPr>
          <w:rFonts w:ascii="Arial" w:cs="Arial" w:eastAsia="Arial" w:hAnsi="Arial"/>
          <w:sz w:val="22"/>
          <w:szCs w:val="22"/>
        </w:rPr>
        <w:t xml:space="preserve">Sadava, D., Hillis, D. M., Heller, H. C. y Berenbaum, M. R. (2019). Vida: la ciencia de la biología (11.ª ed.). Editorial Médica Panamericana.</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777777"/>
        <w:sz w:val="18"/>
        <w:szCs w:val="18"/>
      </w:rPr>
      <w:t xml:space="preserve">Tecnicatura Universitaria en Energías Renovables  ·  Primer Cuatrimestre 2026  ·  Página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777777"/>
        <w:sz w:val="18"/>
        <w:szCs w:val="18"/>
      </w:rPr>
      <w:t xml:space="preserve">Informe de Laboratorio — Biología General | UTN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2026-04-25T22:06:59.697Z</dcterms:created>
  <dcterms:modified xsi:type="dcterms:W3CDTF">2026-04-25T22:06:59.698Z</dcterms:modified>
</cp:coreProperties>
</file>

<file path=docProps/custom.xml><?xml version="1.0" encoding="utf-8"?>
<Properties xmlns="http://schemas.openxmlformats.org/officeDocument/2006/custom-properties" xmlns:vt="http://schemas.openxmlformats.org/officeDocument/2006/docPropsVTypes"/>
</file>