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440" w:after="360"/>
        <w:jc w:val="center"/>
      </w:pPr>
      <w:r>
        <w:rPr>
          <w:rFonts w:ascii="Calibri" w:hAnsi="Calibri" w:eastAsia="宋体"/>
          <w:color w:val="172033"/>
          <w:sz w:val="22"/>
        </w:rPr>
        <w:t>TECHNOLOGY FORESIGHT REPORT</w:t>
      </w:r>
    </w:p>
    <w:p>
      <w:pPr>
        <w:pStyle w:val="Title"/>
        <w:jc w:val="center"/>
      </w:pPr>
      <w:r>
        <w:rPr>
          <w:rFonts w:ascii="Calibri" w:hAnsi="Calibri" w:eastAsia="微软雅黑"/>
          <w:b/>
          <w:color w:val="0F2B46"/>
          <w:sz w:val="60"/>
        </w:rPr>
        <w:t>智能建造领域关键技术预测</w:t>
      </w:r>
    </w:p>
    <w:p>
      <w:pPr>
        <w:pStyle w:val="Subtitle"/>
        <w:jc w:val="center"/>
      </w:pPr>
      <w:r>
        <w:rPr>
          <w:rFonts w:ascii="Calibri" w:hAnsi="Calibri" w:eastAsia="微软雅黑"/>
          <w:color w:val="1F4D78"/>
          <w:sz w:val="30"/>
        </w:rPr>
        <w:t>基于 BERTopic 主题演化与 IPC 动态网络的多源证据融合</w:t>
      </w:r>
    </w:p>
    <w:p>
      <w:pPr>
        <w:keepNext w:val="0"/>
        <w:spacing w:before="360" w:after="120"/>
        <w:jc w:val="center"/>
      </w:pPr>
      <w:r>
        <w:rPr>
          <w:rFonts w:ascii="Calibri" w:hAnsi="Calibri" w:eastAsia="宋体"/>
          <w:color w:val="172033"/>
          <w:sz w:val="22"/>
        </w:rPr>
        <w:t>预测窗口：2027—2040年</w:t>
      </w:r>
    </w:p>
    <w:p>
      <w:pPr>
        <w:keepNext w:val="0"/>
        <w:spacing w:before="0" w:after="120"/>
        <w:jc w:val="center"/>
      </w:pPr>
      <w:r>
        <w:rPr>
          <w:rFonts w:ascii="Calibri" w:hAnsi="Calibri" w:eastAsia="宋体"/>
          <w:color w:val="172033"/>
          <w:sz w:val="22"/>
        </w:rPr>
        <w:t>证据窗口：2010—2026年（2025完整年度与2026为模型估计）</w:t>
      </w:r>
    </w:p>
    <w:p>
      <w:pPr>
        <w:keepNext w:val="0"/>
        <w:spacing w:before="0" w:after="1200"/>
        <w:jc w:val="center"/>
      </w:pPr>
      <w:r>
        <w:rPr>
          <w:rFonts w:ascii="Calibri" w:hAnsi="Calibri" w:eastAsia="宋体"/>
          <w:color w:val="172033"/>
          <w:sz w:val="22"/>
        </w:rPr>
        <w:t>输出：技术优先级、可检验预测、关键IPC候选与技术发展路线图</w:t>
      </w:r>
    </w:p>
    <w:p>
      <w:pPr>
        <w:keepNext w:val="0"/>
        <w:spacing w:before="0" w:after="160"/>
        <w:jc w:val="center"/>
      </w:pPr>
      <w:r>
        <w:rPr>
          <w:rFonts w:ascii="Calibri" w:hAnsi="Calibri" w:eastAsia="宋体"/>
          <w:b/>
          <w:color w:val="172033"/>
          <w:sz w:val="22"/>
        </w:rPr>
        <w:t>研究用途说明</w:t>
      </w:r>
    </w:p>
    <w:p>
      <w:pPr>
        <w:keepNext w:val="0"/>
        <w:spacing w:before="0" w:after="80"/>
        <w:jc w:val="center"/>
      </w:pPr>
      <w:r>
        <w:rPr>
          <w:rFonts w:ascii="Calibri" w:hAnsi="Calibri" w:eastAsia="宋体"/>
          <w:color w:val="172033"/>
          <w:sz w:val="22"/>
        </w:rPr>
        <w:t>本报告为基于既有论文与本地数据的探索性技术预测，不构成确定性产业承诺。</w:t>
      </w:r>
    </w:p>
    <w:p>
      <w:pPr>
        <w:keepNext w:val="0"/>
        <w:spacing w:before="0" w:after="0"/>
        <w:jc w:val="center"/>
      </w:pPr>
      <w:r>
        <w:rPr>
          <w:rFonts w:ascii="Calibri" w:hAnsi="Calibri" w:eastAsia="宋体"/>
          <w:color w:val="172033"/>
          <w:sz w:val="22"/>
        </w:rPr>
        <w:t>生成日期：2026年10月15日</w:t>
      </w:r>
    </w:p>
    <w:p>
      <w:pPr>
        <w:sectPr>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pPr>
    </w:p>
    <w:p>
      <w:pPr>
        <w:pStyle w:val="Heading1"/>
      </w:pPr>
      <w:r>
        <w:t>摘要</w:t>
      </w:r>
    </w:p>
    <w:p>
      <w:pPr>
        <w:spacing w:after="160" w:line="320" w:lineRule="auto"/>
        <w:ind w:firstLine="420"/>
        <w:jc w:val="both"/>
      </w:pPr>
      <w:r>
        <w:rPr>
          <w:rFonts w:ascii="Calibri" w:hAnsi="Calibri" w:eastAsia="宋体"/>
          <w:color w:val="172033"/>
          <w:sz w:val="22"/>
        </w:rPr>
        <w:t>本研究将论文中经优化BERTopic得到的九类技术主题，与2015—2024年完整专利活动时序及2010—2025年IPC共现网络结构迁移联合建模。2025年截至10月1日的记录作为右截尾观测，不进入趋势拟合；在此基础上生成2025完整年度与2026年的模型估计，并以80%探索性区间表达不确定性。采用主题动量、近期强度、网络跃迁与聚类融合度四类证据构建综合优先级指数，并在市场牵引、结构跃迁和均衡三种权重情景下进行敏感性检验。</w:t>
      </w:r>
    </w:p>
    <w:p>
      <w:pPr>
        <w:spacing w:after="160" w:line="320" w:lineRule="auto"/>
        <w:ind w:firstLine="420"/>
        <w:jc w:val="both"/>
      </w:pPr>
      <w:r>
        <w:rPr>
          <w:rFonts w:ascii="Calibri" w:hAnsi="Calibri" w:eastAsia="宋体"/>
          <w:color w:val="172033"/>
          <w:sz w:val="22"/>
        </w:rPr>
        <w:t>结果表明，施工全过程数字孪生在三种情景下均保持首位；多专业协同平台、建筑工程大模型以及参数化与生成式设计构成第二梯队。IPC网络显示，G06F30、G06N3、B25J11、G01B11与E02D33等节点具有显著的中心性增长或跨域桥接效应。装配式建筑与建筑规模增材制造的专利基数仍较高，但时序增量趋于平台化，其后续价值更可能来自与机器人、数字孪生、智能材料供应和模块化设计的系统融合。由此提出2027—2040年三阶段路线：2027—2030年完成接口统一与项目级闭环，2031—2035年形成系统闭环并跨项目复制，2036—2040年迈向受控自治、持续合规与循环建造。</w:t>
      </w:r>
    </w:p>
    <w:p>
      <w:pPr>
        <w:spacing w:before="160" w:after="200"/>
      </w:pPr>
      <w:r>
        <w:rPr>
          <w:rFonts w:ascii="Calibri" w:hAnsi="Calibri" w:eastAsia="微软雅黑"/>
          <w:b/>
          <w:color w:val="0F2B46"/>
          <w:sz w:val="22"/>
        </w:rPr>
        <w:t>关键词：</w:t>
      </w:r>
      <w:r>
        <w:rPr>
          <w:rFonts w:ascii="Calibri" w:hAnsi="Calibri" w:eastAsia="宋体"/>
          <w:color w:val="172033"/>
          <w:sz w:val="22"/>
        </w:rPr>
        <w:t>智能建造；技术预测；BERTopic；IPC共现网络；数字孪生；建筑工程大模型；技术路线图</w:t>
      </w:r>
    </w:p>
    <w:p>
      <w:pPr>
        <w:pStyle w:val="Heading1"/>
      </w:pPr>
      <w:r>
        <w:t>1 研究数据与预测框架</w:t>
      </w:r>
    </w:p>
    <w:p>
      <w:pPr>
        <w:pStyle w:val="Heading2"/>
      </w:pPr>
      <w:r>
        <w:t>1.1 输入证据与一致性审计</w:t>
      </w:r>
    </w:p>
    <w:p>
      <w:pPr>
        <w:spacing w:after="160" w:line="320" w:lineRule="auto"/>
        <w:ind w:firstLine="420"/>
        <w:jc w:val="both"/>
      </w:pPr>
      <w:r>
        <w:rPr>
          <w:rFonts w:ascii="Calibri" w:hAnsi="Calibri" w:eastAsia="宋体"/>
          <w:color w:val="172033"/>
          <w:sz w:val="22"/>
        </w:rPr>
        <w:t>预测仅使用用户提供的三项本地输入：论文初稿中的BERTopic主题与生命周期分析、专利主题时间表、以及IPC动态网络结果。论文报告专利样本为5,926件，而当前Excel含5,913条数据行，存在13条差异；该差异可能来自清洗、去重或版本更新，但现有材料不足以确定原因。为避免人为补齐，本报告将其保留为数据一致性限制。</w:t>
      </w:r>
    </w:p>
    <w:p>
      <w:pPr>
        <w:pStyle w:val="Caption"/>
        <w:spacing w:before="100" w:after="160"/>
        <w:jc w:val="center"/>
      </w:pPr>
      <w:r>
        <w:rPr>
          <w:rFonts w:ascii="Calibri" w:hAnsi="Calibri" w:eastAsia="宋体"/>
          <w:color w:val="5B6573"/>
          <w:sz w:val="18"/>
        </w:rPr>
        <w:t>表1  输入证据与质量控制</w:t>
      </w:r>
    </w:p>
    <w:tbl>
      <w:tblPr>
        <w:tblW w:type="dxa" w:w="9360"/>
        <w:tblLayout w:type="fixed"/>
        <w:tblLook w:firstColumn="1" w:firstRow="1" w:lastColumn="0" w:lastRow="0" w:noHBand="0" w:noVBand="1" w:val="04A0"/>
        <w:jc w:val="left"/>
        <w:tblInd w:type="dxa" w:w="120"/>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Pr>
      <w:tblGrid>
        <w:gridCol w:w="800"/>
        <w:gridCol w:w="1700"/>
        <w:gridCol w:w="3300"/>
        <w:gridCol w:w="3560"/>
      </w:tblGrid>
      <w:tr>
        <w:trPr>
          <w:tblHeader w:val="true"/>
        </w:trPr>
        <w:tc>
          <w:tcPr>
            <w:tcW w:type="dxa" w:w="80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6"/>
              </w:rPr>
              <w:t>证据ID</w:t>
            </w:r>
          </w:p>
        </w:tc>
        <w:tc>
          <w:tcPr>
            <w:tcW w:type="dxa" w:w="170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6"/>
              </w:rPr>
              <w:t>输入</w:t>
            </w:r>
          </w:p>
        </w:tc>
        <w:tc>
          <w:tcPr>
            <w:tcW w:type="dxa" w:w="330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6"/>
              </w:rPr>
              <w:t>可用信息</w:t>
            </w:r>
          </w:p>
        </w:tc>
        <w:tc>
          <w:tcPr>
            <w:tcW w:type="dxa" w:w="356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6"/>
              </w:rPr>
              <w:t>处理原则</w:t>
            </w:r>
          </w:p>
        </w:tc>
      </w:tr>
      <w:tr>
        <w:tc>
          <w:tcPr>
            <w:tcW w:type="dxa" w:w="8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6"/>
              </w:rPr>
              <w:t>E1</w:t>
            </w:r>
          </w:p>
        </w:tc>
        <w:tc>
          <w:tcPr>
            <w:tcW w:type="dxa" w:w="1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6"/>
              </w:rPr>
              <w:t>论文初稿</w:t>
            </w:r>
          </w:p>
        </w:tc>
        <w:tc>
          <w:tcPr>
            <w:tcW w:type="dxa" w:w="33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6"/>
              </w:rPr>
              <w:t>九个BERTopic主题、模型评价、聚类关系、生命周期与IPC解释</w:t>
            </w:r>
          </w:p>
        </w:tc>
        <w:tc>
          <w:tcPr>
            <w:tcW w:type="dxa" w:w="356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6"/>
              </w:rPr>
              <w:t>按原文提取，不改写原始统计值</w:t>
            </w:r>
          </w:p>
        </w:tc>
      </w:tr>
      <w:tr>
        <w:tc>
          <w:tcPr>
            <w:tcW w:type="dxa" w:w="8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6"/>
              </w:rPr>
              <w:t>E2</w:t>
            </w:r>
          </w:p>
        </w:tc>
        <w:tc>
          <w:tcPr>
            <w:tcW w:type="dxa" w:w="17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6"/>
              </w:rPr>
              <w:t>专利时间表</w:t>
            </w:r>
          </w:p>
        </w:tc>
        <w:tc>
          <w:tcPr>
            <w:tcW w:type="dxa" w:w="33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6"/>
              </w:rPr>
              <w:t>5,913条记录；2015—2025阶段标签与申请日</w:t>
            </w:r>
          </w:p>
        </w:tc>
        <w:tc>
          <w:tcPr>
            <w:tcW w:type="dxa" w:w="356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6"/>
              </w:rPr>
              <w:t>2015—2024完整观测；2025为截尾观测</w:t>
            </w:r>
          </w:p>
        </w:tc>
      </w:tr>
      <w:tr>
        <w:tc>
          <w:tcPr>
            <w:tcW w:type="dxa" w:w="8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6"/>
              </w:rPr>
              <w:t>E3</w:t>
            </w:r>
          </w:p>
        </w:tc>
        <w:tc>
          <w:tcPr>
            <w:tcW w:type="dxa" w:w="1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6"/>
              </w:rPr>
              <w:t>IPC网络结果</w:t>
            </w:r>
          </w:p>
        </w:tc>
        <w:tc>
          <w:tcPr>
            <w:tcW w:type="dxa" w:w="33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6"/>
              </w:rPr>
              <w:t>阶段1/2/3分别为75、518、979个节点及五类中心性</w:t>
            </w:r>
          </w:p>
        </w:tc>
        <w:tc>
          <w:tcPr>
            <w:tcW w:type="dxa" w:w="356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6"/>
              </w:rPr>
              <w:t>统一IPC格式后计算结构跃迁</w:t>
            </w:r>
          </w:p>
        </w:tc>
      </w:tr>
      <w:tr>
        <w:tc>
          <w:tcPr>
            <w:tcW w:type="dxa" w:w="8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6"/>
              </w:rPr>
              <w:t>QC</w:t>
            </w:r>
          </w:p>
        </w:tc>
        <w:tc>
          <w:tcPr>
            <w:tcW w:type="dxa" w:w="17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6"/>
              </w:rPr>
              <w:t>版本差异</w:t>
            </w:r>
          </w:p>
        </w:tc>
        <w:tc>
          <w:tcPr>
            <w:tcW w:type="dxa" w:w="33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6"/>
              </w:rPr>
              <w:t>论文5,926件 vs. Excel 5,913条</w:t>
            </w:r>
          </w:p>
        </w:tc>
        <w:tc>
          <w:tcPr>
            <w:tcW w:type="dxa" w:w="356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6"/>
              </w:rPr>
              <w:t>差异13条，列入限制，不推测补齐</w:t>
            </w:r>
          </w:p>
        </w:tc>
      </w:tr>
    </w:tbl>
    <w:p>
      <w:pPr>
        <w:pStyle w:val="Heading2"/>
      </w:pPr>
      <w:r>
        <w:t>1.2 BERTopic主题与时间代理</w:t>
      </w:r>
    </w:p>
    <w:p>
      <w:pPr>
        <w:spacing w:after="160" w:line="320" w:lineRule="auto"/>
        <w:ind w:firstLine="420"/>
        <w:jc w:val="both"/>
      </w:pPr>
      <w:r>
        <w:rPr>
          <w:rFonts w:ascii="Calibri" w:hAnsi="Calibri" w:eastAsia="宋体"/>
          <w:color w:val="172033"/>
          <w:sz w:val="22"/>
        </w:rPr>
        <w:t>论文中的优化BERTopic模型报告轮廓系数0.682、Calinski–Harabasz指数2896.3；默认参数模型分别为0.415与1245.7。九个主题包括多专业协同平台、参数化与生成式设计、机器人集群协同、施工全过程数字孪生、智能规范审查、建筑工程大模型、装配式建筑、建筑规模增材制造以及模块化与可重构设计。Excel中的既有标签被映射为主题时间代理；其中智能规范审查与模块化/可重构设计缺少专属标签，分别采用可审计的审查/规范词项与模块化/可重构词项作为代理，因此这两类主题的定量置信度较低。</w:t>
      </w:r>
    </w:p>
    <w:p>
      <w:pPr>
        <w:pStyle w:val="Heading2"/>
      </w:pPr>
      <w:r>
        <w:t>1.3 多源融合评分</w:t>
      </w:r>
    </w:p>
    <w:p>
      <w:pPr>
        <w:spacing w:after="160" w:line="320" w:lineRule="auto"/>
        <w:ind w:firstLine="420"/>
        <w:jc w:val="both"/>
      </w:pPr>
      <w:r>
        <w:rPr>
          <w:rFonts w:ascii="Calibri" w:hAnsi="Calibri" w:eastAsia="宋体"/>
          <w:color w:val="172033"/>
          <w:sz w:val="22"/>
        </w:rPr>
        <w:t>综合优先级指数定义为 P = 100 × (0.30M + 0.20I + 0.35N + 0.15C)，其中M为2018—2024年经近期加权的对数动量，I为2021—2024年专利活动强度，N为主题关联IPC节点的中心性水平与阶段跃迁，C为论文层次聚类揭示的融合准备度。各指标经0—1归一化后合成。该指数用于相对排序，不代表技术成功概率。</w:t>
      </w:r>
    </w:p>
    <w:p>
      <w:pPr>
        <w:spacing w:after="160" w:line="320" w:lineRule="auto"/>
        <w:ind w:firstLine="420"/>
        <w:jc w:val="both"/>
      </w:pPr>
      <w:r>
        <w:rPr>
          <w:rFonts w:ascii="Calibri" w:hAnsi="Calibri" w:eastAsia="宋体"/>
          <w:color w:val="172033"/>
          <w:sz w:val="22"/>
        </w:rPr>
        <w:t>为检验权重依赖，另外构造市场牵引情景（更强调动量和专利强度）与结构跃迁情景（更强调IPC网络和主题融合）。报告优先采用均衡情景，并同时给出三种情景的名次区间。证据时间轴以2018—2024年近期加权对数趋势为基础，采用逐年衰减的增长率生成2025完整年度与2026年的模型估计，并输出80%探索性区间。模型值用于延伸证据边界，不是新增观测数据，也不参与原始样本量计算。</w:t>
      </w:r>
    </w:p>
    <w:p>
      <w:r>
        <w:br w:type="page"/>
      </w:r>
    </w:p>
    <w:p>
      <w:pPr>
        <w:pStyle w:val="Heading1"/>
      </w:pPr>
      <w:r>
        <w:t>2 预测结果</w:t>
      </w:r>
    </w:p>
    <w:p>
      <w:pPr>
        <w:spacing w:after="0"/>
        <w:jc w:val="center"/>
      </w:pPr>
      <w:r>
        <w:drawing>
          <wp:inline xmlns:a="http://schemas.openxmlformats.org/drawingml/2006/main" xmlns:pic="http://schemas.openxmlformats.org/drawingml/2006/picture">
            <wp:extent cx="5806440" cy="5291496"/>
            <wp:docPr id="1" name="Picture 1" title="图1  BERTopic主题时间信号、关键IPC节点迁移与多源证据融合优先级" descr="三联图。A展示2015—2026年九主题年度活动，2025全年与2026采用模型补充；B展示现有三个阶段IPC中心性的迁移，阶段三仍为2021—2025；C展示历史主题动量与网络跃迁，气泡面积正比于2021—2026累计活动量，含2025和2026模型补充。"/>
            <wp:cNvGraphicFramePr>
              <a:graphicFrameLocks noChangeAspect="1"/>
            </wp:cNvGraphicFramePr>
            <a:graphic>
              <a:graphicData uri="http://schemas.openxmlformats.org/drawingml/2006/picture">
                <pic:pic>
                  <pic:nvPicPr>
                    <pic:cNvPr id="0" name="figure_1_evidence_fusion.png"/>
                    <pic:cNvPicPr/>
                  </pic:nvPicPr>
                  <pic:blipFill>
                    <a:blip r:embed="rId13"/>
                    <a:stretch>
                      <a:fillRect/>
                    </a:stretch>
                  </pic:blipFill>
                  <pic:spPr>
                    <a:xfrm>
                      <a:off x="0" y="0"/>
                      <a:ext cx="5806440" cy="5291496"/>
                    </a:xfrm>
                    <a:prstGeom prst="rect"/>
                  </pic:spPr>
                </pic:pic>
              </a:graphicData>
            </a:graphic>
          </wp:inline>
        </w:drawing>
      </w:r>
    </w:p>
    <w:p>
      <w:pPr>
        <w:pStyle w:val="Caption"/>
        <w:spacing w:before="100" w:after="160"/>
        <w:jc w:val="center"/>
      </w:pPr>
      <w:r>
        <w:rPr>
          <w:rFonts w:ascii="Calibri" w:hAnsi="Calibri" w:eastAsia="宋体"/>
          <w:color w:val="5B6573"/>
          <w:sz w:val="18"/>
        </w:rPr>
        <w:t>图1  BERTopic主题时间信号、关键IPC节点迁移与多源证据融合优先级</w:t>
      </w:r>
    </w:p>
    <w:p>
      <w:pPr>
        <w:spacing w:after="160" w:line="320" w:lineRule="auto"/>
        <w:ind w:firstLine="420"/>
        <w:jc w:val="both"/>
      </w:pPr>
      <w:r>
        <w:rPr>
          <w:rFonts w:ascii="Calibri" w:hAnsi="Calibri" w:eastAsia="宋体"/>
          <w:color w:val="172033"/>
          <w:sz w:val="22"/>
        </w:rPr>
        <w:t>图1阅读说明：A的纵轴为ln（年度记录数＋1），用于比较不同规模主题的变化；B的横轴为度中心度，表示节点连接范围，纵轴为中介中心度，表示跨技术桥接作用，数字1、2、3表示原始网络阶段；C的横轴为历史网络跃迁指标，纵轴为历史主题动量，颜色与A图主题一致。C中气泡面积采用线性映射s=0.12×累计活动量，图例给出100、500和1500条的面积参照。气泡表达规模，不表示成功概率；排名与坐标仍采用历史证据，避免将外推值重复作为独立证据。</w:t>
      </w:r>
    </w:p>
    <w:p>
      <w:pPr>
        <w:pStyle w:val="Caption"/>
        <w:spacing w:before="100" w:after="160"/>
        <w:jc w:val="center"/>
      </w:pPr>
      <w:r>
        <w:rPr>
          <w:rFonts w:ascii="Calibri" w:hAnsi="Calibri" w:eastAsia="宋体"/>
          <w:color w:val="5B6573"/>
          <w:sz w:val="18"/>
        </w:rPr>
        <w:t>补充表  2021—2026年累计主题活动量（观测与模型补充）</w:t>
      </w:r>
    </w:p>
    <w:tbl>
      <w:tblPr>
        <w:tblW w:type="dxa" w:w="9360"/>
        <w:tblLayout w:type="fixed"/>
        <w:tblLook w:firstColumn="1" w:firstRow="1" w:lastColumn="0" w:lastRow="0" w:noHBand="0" w:noVBand="1" w:val="04A0"/>
        <w:jc w:val="left"/>
        <w:tblInd w:type="dxa" w:w="120"/>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Pr>
      <w:tblGrid>
        <w:gridCol w:w="2560"/>
        <w:gridCol w:w="1700"/>
        <w:gridCol w:w="1700"/>
        <w:gridCol w:w="1700"/>
        <w:gridCol w:w="1700"/>
      </w:tblGrid>
      <w:tr>
        <w:trPr>
          <w:tblHeader w:val="true"/>
        </w:trPr>
        <w:tc>
          <w:tcPr>
            <w:tcW w:type="dxa" w:w="256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主题</w:t>
            </w:r>
          </w:p>
        </w:tc>
        <w:tc>
          <w:tcPr>
            <w:tcW w:type="dxa" w:w="170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2021—2024观测</w:t>
            </w:r>
          </w:p>
        </w:tc>
        <w:tc>
          <w:tcPr>
            <w:tcW w:type="dxa" w:w="170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2025全年补充</w:t>
            </w:r>
          </w:p>
        </w:tc>
        <w:tc>
          <w:tcPr>
            <w:tcW w:type="dxa" w:w="170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2026补充</w:t>
            </w:r>
          </w:p>
        </w:tc>
        <w:tc>
          <w:tcPr>
            <w:tcW w:type="dxa" w:w="170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2021—2026合计</w:t>
            </w:r>
          </w:p>
        </w:tc>
      </w:tr>
      <w:tr>
        <w:tc>
          <w:tcPr>
            <w:tcW w:type="dxa" w:w="256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T1 多专业协同平台</w:t>
            </w:r>
          </w:p>
        </w:tc>
        <w:tc>
          <w:tcPr>
            <w:tcW w:type="dxa" w:w="1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1080</w:t>
            </w:r>
          </w:p>
        </w:tc>
        <w:tc>
          <w:tcPr>
            <w:tcW w:type="dxa" w:w="17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383</w:t>
            </w:r>
          </w:p>
        </w:tc>
        <w:tc>
          <w:tcPr>
            <w:tcW w:type="dxa" w:w="17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473</w:t>
            </w:r>
          </w:p>
        </w:tc>
        <w:tc>
          <w:tcPr>
            <w:tcW w:type="dxa" w:w="1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1936</w:t>
            </w:r>
          </w:p>
        </w:tc>
      </w:tr>
      <w:tr>
        <w:tc>
          <w:tcPr>
            <w:tcW w:type="dxa" w:w="256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T2 参数化与生成式设计</w:t>
            </w:r>
          </w:p>
        </w:tc>
        <w:tc>
          <w:tcPr>
            <w:tcW w:type="dxa" w:w="17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26</w:t>
            </w:r>
          </w:p>
        </w:tc>
        <w:tc>
          <w:tcPr>
            <w:tcW w:type="dxa" w:w="17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14</w:t>
            </w:r>
          </w:p>
        </w:tc>
        <w:tc>
          <w:tcPr>
            <w:tcW w:type="dxa" w:w="17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18</w:t>
            </w:r>
          </w:p>
        </w:tc>
        <w:tc>
          <w:tcPr>
            <w:tcW w:type="dxa" w:w="17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58</w:t>
            </w:r>
          </w:p>
        </w:tc>
      </w:tr>
      <w:tr>
        <w:tc>
          <w:tcPr>
            <w:tcW w:type="dxa" w:w="256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T3 机器人集群协同</w:t>
            </w:r>
          </w:p>
        </w:tc>
        <w:tc>
          <w:tcPr>
            <w:tcW w:type="dxa" w:w="1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1197</w:t>
            </w:r>
          </w:p>
        </w:tc>
        <w:tc>
          <w:tcPr>
            <w:tcW w:type="dxa" w:w="17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214</w:t>
            </w:r>
          </w:p>
        </w:tc>
        <w:tc>
          <w:tcPr>
            <w:tcW w:type="dxa" w:w="17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228</w:t>
            </w:r>
          </w:p>
        </w:tc>
        <w:tc>
          <w:tcPr>
            <w:tcW w:type="dxa" w:w="1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1639</w:t>
            </w:r>
          </w:p>
        </w:tc>
      </w:tr>
      <w:tr>
        <w:tc>
          <w:tcPr>
            <w:tcW w:type="dxa" w:w="256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T4 施工全过程数字孪生</w:t>
            </w:r>
          </w:p>
        </w:tc>
        <w:tc>
          <w:tcPr>
            <w:tcW w:type="dxa" w:w="17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432</w:t>
            </w:r>
          </w:p>
        </w:tc>
        <w:tc>
          <w:tcPr>
            <w:tcW w:type="dxa" w:w="17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167</w:t>
            </w:r>
          </w:p>
        </w:tc>
        <w:tc>
          <w:tcPr>
            <w:tcW w:type="dxa" w:w="17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208</w:t>
            </w:r>
          </w:p>
        </w:tc>
        <w:tc>
          <w:tcPr>
            <w:tcW w:type="dxa" w:w="17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807</w:t>
            </w:r>
          </w:p>
        </w:tc>
      </w:tr>
      <w:tr>
        <w:tc>
          <w:tcPr>
            <w:tcW w:type="dxa" w:w="256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T5 智能规范审查</w:t>
            </w:r>
          </w:p>
        </w:tc>
        <w:tc>
          <w:tcPr>
            <w:tcW w:type="dxa" w:w="1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4</w:t>
            </w:r>
          </w:p>
        </w:tc>
        <w:tc>
          <w:tcPr>
            <w:tcW w:type="dxa" w:w="17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2</w:t>
            </w:r>
          </w:p>
        </w:tc>
        <w:tc>
          <w:tcPr>
            <w:tcW w:type="dxa" w:w="17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3</w:t>
            </w:r>
          </w:p>
        </w:tc>
        <w:tc>
          <w:tcPr>
            <w:tcW w:type="dxa" w:w="1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9</w:t>
            </w:r>
          </w:p>
        </w:tc>
      </w:tr>
      <w:tr>
        <w:tc>
          <w:tcPr>
            <w:tcW w:type="dxa" w:w="256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T6 建筑工程大模型</w:t>
            </w:r>
          </w:p>
        </w:tc>
        <w:tc>
          <w:tcPr>
            <w:tcW w:type="dxa" w:w="17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30</w:t>
            </w:r>
          </w:p>
        </w:tc>
        <w:tc>
          <w:tcPr>
            <w:tcW w:type="dxa" w:w="17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31</w:t>
            </w:r>
          </w:p>
        </w:tc>
        <w:tc>
          <w:tcPr>
            <w:tcW w:type="dxa" w:w="17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38</w:t>
            </w:r>
          </w:p>
        </w:tc>
        <w:tc>
          <w:tcPr>
            <w:tcW w:type="dxa" w:w="17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99</w:t>
            </w:r>
          </w:p>
        </w:tc>
      </w:tr>
      <w:tr>
        <w:tc>
          <w:tcPr>
            <w:tcW w:type="dxa" w:w="256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T7 装配式建筑</w:t>
            </w:r>
          </w:p>
        </w:tc>
        <w:tc>
          <w:tcPr>
            <w:tcW w:type="dxa" w:w="1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800</w:t>
            </w:r>
          </w:p>
        </w:tc>
        <w:tc>
          <w:tcPr>
            <w:tcW w:type="dxa" w:w="17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145</w:t>
            </w:r>
          </w:p>
        </w:tc>
        <w:tc>
          <w:tcPr>
            <w:tcW w:type="dxa" w:w="17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145</w:t>
            </w:r>
          </w:p>
        </w:tc>
        <w:tc>
          <w:tcPr>
            <w:tcW w:type="dxa" w:w="1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1090</w:t>
            </w:r>
          </w:p>
        </w:tc>
      </w:tr>
      <w:tr>
        <w:tc>
          <w:tcPr>
            <w:tcW w:type="dxa" w:w="256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T8 建筑规模增材制造</w:t>
            </w:r>
          </w:p>
        </w:tc>
        <w:tc>
          <w:tcPr>
            <w:tcW w:type="dxa" w:w="17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332</w:t>
            </w:r>
          </w:p>
        </w:tc>
        <w:tc>
          <w:tcPr>
            <w:tcW w:type="dxa" w:w="17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53</w:t>
            </w:r>
          </w:p>
        </w:tc>
        <w:tc>
          <w:tcPr>
            <w:tcW w:type="dxa" w:w="17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54</w:t>
            </w:r>
          </w:p>
        </w:tc>
        <w:tc>
          <w:tcPr>
            <w:tcW w:type="dxa" w:w="17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439</w:t>
            </w:r>
          </w:p>
        </w:tc>
      </w:tr>
      <w:tr>
        <w:tc>
          <w:tcPr>
            <w:tcW w:type="dxa" w:w="256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T9 模块化与可重构设计</w:t>
            </w:r>
          </w:p>
        </w:tc>
        <w:tc>
          <w:tcPr>
            <w:tcW w:type="dxa" w:w="1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38</w:t>
            </w:r>
          </w:p>
        </w:tc>
        <w:tc>
          <w:tcPr>
            <w:tcW w:type="dxa" w:w="17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10</w:t>
            </w:r>
          </w:p>
        </w:tc>
        <w:tc>
          <w:tcPr>
            <w:tcW w:type="dxa" w:w="17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11</w:t>
            </w:r>
          </w:p>
        </w:tc>
        <w:tc>
          <w:tcPr>
            <w:tcW w:type="dxa" w:w="1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59</w:t>
            </w:r>
          </w:p>
        </w:tc>
      </w:tr>
    </w:tbl>
    <w:p>
      <w:pPr>
        <w:spacing w:after="160" w:line="320" w:lineRule="auto"/>
        <w:ind w:firstLine="420"/>
        <w:jc w:val="both"/>
      </w:pPr>
      <w:r>
        <w:rPr>
          <w:rFonts w:ascii="Calibri" w:hAnsi="Calibri" w:eastAsia="宋体"/>
          <w:color w:val="172033"/>
          <w:sz w:val="22"/>
        </w:rPr>
        <w:t>累计活动量等于2021—2024观测数加2025全年估计及2026估计；2025截至10月1日的部分记录不再重复相加。模型补充属于主题—年度汇总数据，不包含新增专利名称、申请号或IPC共现记录，因此不会改变原始专利样本量，也不能据此重建2026年IPC网络。各主题可重叠，合计不等于去重后的专利总量。证据包同时提供原始输入、年度来源表和补充数据表，供复核。</w:t>
      </w:r>
    </w:p>
    <w:p>
      <w:pPr>
        <w:pStyle w:val="Heading2"/>
      </w:pPr>
      <w:r>
        <w:t>2.1 主题优先级</w:t>
      </w:r>
    </w:p>
    <w:p>
      <w:pPr>
        <w:pStyle w:val="Caption"/>
        <w:spacing w:before="100" w:after="160"/>
        <w:jc w:val="center"/>
      </w:pPr>
      <w:r>
        <w:rPr>
          <w:rFonts w:ascii="Calibri" w:hAnsi="Calibri" w:eastAsia="宋体"/>
          <w:color w:val="5B6573"/>
          <w:sz w:val="18"/>
        </w:rPr>
        <w:t>表2  主题综合优先级与敏感性结果</w:t>
      </w:r>
    </w:p>
    <w:tbl>
      <w:tblPr>
        <w:tblW w:type="dxa" w:w="9360"/>
        <w:tblLayout w:type="fixed"/>
        <w:tblLook w:firstColumn="1" w:firstRow="1" w:lastColumn="0" w:lastRow="0" w:noHBand="0" w:noVBand="1" w:val="04A0"/>
        <w:jc w:val="left"/>
        <w:tblInd w:type="dxa" w:w="120"/>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Pr>
      <w:tblGrid>
        <w:gridCol w:w="560"/>
        <w:gridCol w:w="2500"/>
        <w:gridCol w:w="980"/>
        <w:gridCol w:w="900"/>
        <w:gridCol w:w="1250"/>
        <w:gridCol w:w="1250"/>
        <w:gridCol w:w="1920"/>
      </w:tblGrid>
      <w:tr>
        <w:trPr>
          <w:tblHeader w:val="true"/>
        </w:trPr>
        <w:tc>
          <w:tcPr>
            <w:tcW w:type="dxa" w:w="56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排名</w:t>
            </w:r>
          </w:p>
        </w:tc>
        <w:tc>
          <w:tcPr>
            <w:tcW w:type="dxa" w:w="250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BERTopic主题</w:t>
            </w:r>
          </w:p>
        </w:tc>
        <w:tc>
          <w:tcPr>
            <w:tcW w:type="dxa" w:w="98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综合指数</w:t>
            </w:r>
          </w:p>
        </w:tc>
        <w:tc>
          <w:tcPr>
            <w:tcW w:type="dxa" w:w="90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情景名次</w:t>
            </w:r>
          </w:p>
        </w:tc>
        <w:tc>
          <w:tcPr>
            <w:tcW w:type="dxa" w:w="125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年化信号动量</w:t>
            </w:r>
          </w:p>
        </w:tc>
        <w:tc>
          <w:tcPr>
            <w:tcW w:type="dxa" w:w="125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2021—2024记录</w:t>
            </w:r>
          </w:p>
        </w:tc>
        <w:tc>
          <w:tcPr>
            <w:tcW w:type="dxa" w:w="192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数据置信度</w:t>
            </w:r>
          </w:p>
        </w:tc>
      </w:tr>
      <w:tr>
        <w:tc>
          <w:tcPr>
            <w:tcW w:type="dxa" w:w="56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1</w:t>
            </w:r>
          </w:p>
        </w:tc>
        <w:tc>
          <w:tcPr>
            <w:tcW w:type="dxa" w:w="25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T4 施工全过程数字孪生</w:t>
            </w:r>
          </w:p>
        </w:tc>
        <w:tc>
          <w:tcPr>
            <w:tcW w:type="dxa" w:w="98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94.8</w:t>
            </w:r>
          </w:p>
        </w:tc>
        <w:tc>
          <w:tcPr>
            <w:tcW w:type="dxa" w:w="9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1–1</w:t>
            </w:r>
          </w:p>
        </w:tc>
        <w:tc>
          <w:tcPr>
            <w:tcW w:type="dxa" w:w="12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28.4%</w:t>
            </w:r>
          </w:p>
        </w:tc>
        <w:tc>
          <w:tcPr>
            <w:tcW w:type="dxa" w:w="12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432</w:t>
            </w:r>
          </w:p>
        </w:tc>
        <w:tc>
          <w:tcPr>
            <w:tcW w:type="dxa" w:w="192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高</w:t>
            </w:r>
          </w:p>
        </w:tc>
      </w:tr>
      <w:tr>
        <w:tc>
          <w:tcPr>
            <w:tcW w:type="dxa" w:w="56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2</w:t>
            </w:r>
          </w:p>
        </w:tc>
        <w:tc>
          <w:tcPr>
            <w:tcW w:type="dxa" w:w="25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T1 多专业协同平台</w:t>
            </w:r>
          </w:p>
        </w:tc>
        <w:tc>
          <w:tcPr>
            <w:tcW w:type="dxa" w:w="98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89.8</w:t>
            </w:r>
          </w:p>
        </w:tc>
        <w:tc>
          <w:tcPr>
            <w:tcW w:type="dxa" w:w="9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2–4</w:t>
            </w:r>
          </w:p>
        </w:tc>
        <w:tc>
          <w:tcPr>
            <w:tcW w:type="dxa" w:w="12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27.2%</w:t>
            </w:r>
          </w:p>
        </w:tc>
        <w:tc>
          <w:tcPr>
            <w:tcW w:type="dxa" w:w="12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1080</w:t>
            </w:r>
          </w:p>
        </w:tc>
        <w:tc>
          <w:tcPr>
            <w:tcW w:type="dxa" w:w="192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高</w:t>
            </w:r>
          </w:p>
        </w:tc>
      </w:tr>
      <w:tr>
        <w:tc>
          <w:tcPr>
            <w:tcW w:type="dxa" w:w="56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3</w:t>
            </w:r>
          </w:p>
        </w:tc>
        <w:tc>
          <w:tcPr>
            <w:tcW w:type="dxa" w:w="25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T6 建筑工程大模型</w:t>
            </w:r>
          </w:p>
        </w:tc>
        <w:tc>
          <w:tcPr>
            <w:tcW w:type="dxa" w:w="98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85.2</w:t>
            </w:r>
          </w:p>
        </w:tc>
        <w:tc>
          <w:tcPr>
            <w:tcW w:type="dxa" w:w="9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2–3</w:t>
            </w:r>
          </w:p>
        </w:tc>
        <w:tc>
          <w:tcPr>
            <w:tcW w:type="dxa" w:w="12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28.4%</w:t>
            </w:r>
          </w:p>
        </w:tc>
        <w:tc>
          <w:tcPr>
            <w:tcW w:type="dxa" w:w="12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30</w:t>
            </w:r>
          </w:p>
        </w:tc>
        <w:tc>
          <w:tcPr>
            <w:tcW w:type="dxa" w:w="192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中（大模型样本起步较晚）</w:t>
            </w:r>
          </w:p>
        </w:tc>
      </w:tr>
      <w:tr>
        <w:tc>
          <w:tcPr>
            <w:tcW w:type="dxa" w:w="56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4</w:t>
            </w:r>
          </w:p>
        </w:tc>
        <w:tc>
          <w:tcPr>
            <w:tcW w:type="dxa" w:w="25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T2 参数化与生成式设计</w:t>
            </w:r>
          </w:p>
        </w:tc>
        <w:tc>
          <w:tcPr>
            <w:tcW w:type="dxa" w:w="98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84.4</w:t>
            </w:r>
          </w:p>
        </w:tc>
        <w:tc>
          <w:tcPr>
            <w:tcW w:type="dxa" w:w="9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3–4</w:t>
            </w:r>
          </w:p>
        </w:tc>
        <w:tc>
          <w:tcPr>
            <w:tcW w:type="dxa" w:w="12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28.4%</w:t>
            </w:r>
          </w:p>
        </w:tc>
        <w:tc>
          <w:tcPr>
            <w:tcW w:type="dxa" w:w="12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26</w:t>
            </w:r>
          </w:p>
        </w:tc>
        <w:tc>
          <w:tcPr>
            <w:tcW w:type="dxa" w:w="192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高</w:t>
            </w:r>
          </w:p>
        </w:tc>
      </w:tr>
      <w:tr>
        <w:tc>
          <w:tcPr>
            <w:tcW w:type="dxa" w:w="56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5</w:t>
            </w:r>
          </w:p>
        </w:tc>
        <w:tc>
          <w:tcPr>
            <w:tcW w:type="dxa" w:w="25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T3 机器人集群协同</w:t>
            </w:r>
          </w:p>
        </w:tc>
        <w:tc>
          <w:tcPr>
            <w:tcW w:type="dxa" w:w="98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72.7</w:t>
            </w:r>
          </w:p>
        </w:tc>
        <w:tc>
          <w:tcPr>
            <w:tcW w:type="dxa" w:w="9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5–6</w:t>
            </w:r>
          </w:p>
        </w:tc>
        <w:tc>
          <w:tcPr>
            <w:tcW w:type="dxa" w:w="12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7.5%</w:t>
            </w:r>
          </w:p>
        </w:tc>
        <w:tc>
          <w:tcPr>
            <w:tcW w:type="dxa" w:w="12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1197</w:t>
            </w:r>
          </w:p>
        </w:tc>
        <w:tc>
          <w:tcPr>
            <w:tcW w:type="dxa" w:w="192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高</w:t>
            </w:r>
          </w:p>
        </w:tc>
      </w:tr>
      <w:tr>
        <w:tc>
          <w:tcPr>
            <w:tcW w:type="dxa" w:w="56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6</w:t>
            </w:r>
          </w:p>
        </w:tc>
        <w:tc>
          <w:tcPr>
            <w:tcW w:type="dxa" w:w="25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T5 智能规范审查</w:t>
            </w:r>
          </w:p>
        </w:tc>
        <w:tc>
          <w:tcPr>
            <w:tcW w:type="dxa" w:w="98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72.5</w:t>
            </w:r>
          </w:p>
        </w:tc>
        <w:tc>
          <w:tcPr>
            <w:tcW w:type="dxa" w:w="9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5–6</w:t>
            </w:r>
          </w:p>
        </w:tc>
        <w:tc>
          <w:tcPr>
            <w:tcW w:type="dxa" w:w="12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22.8%</w:t>
            </w:r>
          </w:p>
        </w:tc>
        <w:tc>
          <w:tcPr>
            <w:tcW w:type="dxa" w:w="12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4</w:t>
            </w:r>
          </w:p>
        </w:tc>
        <w:tc>
          <w:tcPr>
            <w:tcW w:type="dxa" w:w="192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中（基于审查/规范词项代理）</w:t>
            </w:r>
          </w:p>
        </w:tc>
      </w:tr>
      <w:tr>
        <w:tc>
          <w:tcPr>
            <w:tcW w:type="dxa" w:w="56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7</w:t>
            </w:r>
          </w:p>
        </w:tc>
        <w:tc>
          <w:tcPr>
            <w:tcW w:type="dxa" w:w="25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T9 模块化与可重构设计</w:t>
            </w:r>
          </w:p>
        </w:tc>
        <w:tc>
          <w:tcPr>
            <w:tcW w:type="dxa" w:w="98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56.1</w:t>
            </w:r>
          </w:p>
        </w:tc>
        <w:tc>
          <w:tcPr>
            <w:tcW w:type="dxa" w:w="9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7–7</w:t>
            </w:r>
          </w:p>
        </w:tc>
        <w:tc>
          <w:tcPr>
            <w:tcW w:type="dxa" w:w="12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8.8%</w:t>
            </w:r>
          </w:p>
        </w:tc>
        <w:tc>
          <w:tcPr>
            <w:tcW w:type="dxa" w:w="12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38</w:t>
            </w:r>
          </w:p>
        </w:tc>
        <w:tc>
          <w:tcPr>
            <w:tcW w:type="dxa" w:w="192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低（基于模块化/可重构词项代理）</w:t>
            </w:r>
          </w:p>
        </w:tc>
      </w:tr>
      <w:tr>
        <w:tc>
          <w:tcPr>
            <w:tcW w:type="dxa" w:w="56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8</w:t>
            </w:r>
          </w:p>
        </w:tc>
        <w:tc>
          <w:tcPr>
            <w:tcW w:type="dxa" w:w="25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T7 装配式建筑</w:t>
            </w:r>
          </w:p>
        </w:tc>
        <w:tc>
          <w:tcPr>
            <w:tcW w:type="dxa" w:w="98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42.5</w:t>
            </w:r>
          </w:p>
        </w:tc>
        <w:tc>
          <w:tcPr>
            <w:tcW w:type="dxa" w:w="9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8–8</w:t>
            </w:r>
          </w:p>
        </w:tc>
        <w:tc>
          <w:tcPr>
            <w:tcW w:type="dxa" w:w="12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-0.1%</w:t>
            </w:r>
          </w:p>
        </w:tc>
        <w:tc>
          <w:tcPr>
            <w:tcW w:type="dxa" w:w="12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800</w:t>
            </w:r>
          </w:p>
        </w:tc>
        <w:tc>
          <w:tcPr>
            <w:tcW w:type="dxa" w:w="192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高</w:t>
            </w:r>
          </w:p>
        </w:tc>
      </w:tr>
      <w:tr>
        <w:tc>
          <w:tcPr>
            <w:tcW w:type="dxa" w:w="56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9</w:t>
            </w:r>
          </w:p>
        </w:tc>
        <w:tc>
          <w:tcPr>
            <w:tcW w:type="dxa" w:w="25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T8 建筑规模增材制造</w:t>
            </w:r>
          </w:p>
        </w:tc>
        <w:tc>
          <w:tcPr>
            <w:tcW w:type="dxa" w:w="98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24.9</w:t>
            </w:r>
          </w:p>
        </w:tc>
        <w:tc>
          <w:tcPr>
            <w:tcW w:type="dxa" w:w="9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9–9</w:t>
            </w:r>
          </w:p>
        </w:tc>
        <w:tc>
          <w:tcPr>
            <w:tcW w:type="dxa" w:w="12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0.9%</w:t>
            </w:r>
          </w:p>
        </w:tc>
        <w:tc>
          <w:tcPr>
            <w:tcW w:type="dxa" w:w="12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332</w:t>
            </w:r>
          </w:p>
        </w:tc>
        <w:tc>
          <w:tcPr>
            <w:tcW w:type="dxa" w:w="192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高</w:t>
            </w:r>
          </w:p>
        </w:tc>
      </w:tr>
    </w:tbl>
    <w:p>
      <w:pPr>
        <w:spacing w:after="160" w:line="320" w:lineRule="auto"/>
        <w:ind w:firstLine="420"/>
        <w:jc w:val="both"/>
      </w:pPr>
      <w:r>
        <w:rPr>
          <w:rFonts w:ascii="Calibri" w:hAnsi="Calibri" w:eastAsia="宋体"/>
          <w:color w:val="172033"/>
          <w:sz w:val="22"/>
        </w:rPr>
        <w:t>施工全过程数字孪生（T4）获得94.8分，并在三种情景中均排名第1，表明其优势并非单一权重设定造成。多专业协同平台（T1）、建筑工程大模型（T6）及参数化与生成式设计（T2）在不同情景下位于第2至第4名，构成高潜力融合组。机器人集群协同（T3）具有最大的近期专利活动规模之一，但其增长斜率已由高速扩张转向较稳定的应用深化，因此综合排名处于第5至第6名。</w:t>
      </w:r>
    </w:p>
    <w:p>
      <w:pPr>
        <w:spacing w:after="160" w:line="320" w:lineRule="auto"/>
        <w:ind w:firstLine="420"/>
        <w:jc w:val="both"/>
      </w:pPr>
      <w:r>
        <w:rPr>
          <w:rFonts w:ascii="Calibri" w:hAnsi="Calibri" w:eastAsia="宋体"/>
          <w:color w:val="172033"/>
          <w:sz w:val="22"/>
        </w:rPr>
        <w:t>装配式建筑（T7）与建筑规模增材制造（T8）不是“衰退技术”。其较低排名主要源于新增活动趋稳及部分IPC节点的结构跃迁减弱。例如B33Y70的度中心度由阶段2的0.1257降至阶段3的0.0951，而中介中心度由0.0349升至0.0532，说明其正在从快速扩张的独立主题转向跨技术连接与产业化整合。</w:t>
      </w:r>
    </w:p>
    <w:p>
      <w:pPr>
        <w:pStyle w:val="Heading2"/>
      </w:pPr>
      <w:r>
        <w:t>2.2 可检验的活动量预测</w:t>
      </w:r>
    </w:p>
    <w:p>
      <w:pPr>
        <w:pStyle w:val="Caption"/>
        <w:spacing w:before="100" w:after="160"/>
        <w:jc w:val="center"/>
      </w:pPr>
      <w:r>
        <w:rPr>
          <w:rFonts w:ascii="Calibri" w:hAnsi="Calibri" w:eastAsia="宋体"/>
          <w:color w:val="5B6573"/>
          <w:sz w:val="18"/>
        </w:rPr>
        <w:t>表3  截至2026年的专利活动证据延伸（中位数及80%区间）</w:t>
      </w:r>
    </w:p>
    <w:tbl>
      <w:tblPr>
        <w:tblW w:type="dxa" w:w="9360"/>
        <w:tblLayout w:type="fixed"/>
        <w:tblLook w:firstColumn="1" w:firstRow="1" w:lastColumn="0" w:lastRow="0" w:noHBand="0" w:noVBand="1" w:val="04A0"/>
        <w:jc w:val="left"/>
        <w:tblInd w:type="dxa" w:w="120"/>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Pr>
      <w:tblGrid>
        <w:gridCol w:w="2200"/>
        <w:gridCol w:w="950"/>
        <w:gridCol w:w="1150"/>
        <w:gridCol w:w="1450"/>
        <w:gridCol w:w="1450"/>
        <w:gridCol w:w="2160"/>
      </w:tblGrid>
      <w:tr>
        <w:trPr>
          <w:tblHeader w:val="true"/>
        </w:trPr>
        <w:tc>
          <w:tcPr>
            <w:tcW w:type="dxa" w:w="220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主题</w:t>
            </w:r>
          </w:p>
        </w:tc>
        <w:tc>
          <w:tcPr>
            <w:tcW w:type="dxa" w:w="95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2024观测</w:t>
            </w:r>
          </w:p>
        </w:tc>
        <w:tc>
          <w:tcPr>
            <w:tcW w:type="dxa" w:w="115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2025截尾观测</w:t>
            </w:r>
          </w:p>
        </w:tc>
        <w:tc>
          <w:tcPr>
            <w:tcW w:type="dxa" w:w="145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2025模型估计</w:t>
            </w:r>
          </w:p>
        </w:tc>
        <w:tc>
          <w:tcPr>
            <w:tcW w:type="dxa" w:w="145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2026模型估计</w:t>
            </w:r>
          </w:p>
        </w:tc>
        <w:tc>
          <w:tcPr>
            <w:tcW w:type="dxa" w:w="216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解释边界</w:t>
            </w:r>
          </w:p>
        </w:tc>
      </w:tr>
      <w:tr>
        <w:tc>
          <w:tcPr>
            <w:tcW w:type="dxa" w:w="22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T4 施工全过程数字孪生</w:t>
            </w:r>
          </w:p>
        </w:tc>
        <w:tc>
          <w:tcPr>
            <w:tcW w:type="dxa" w:w="95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130</w:t>
            </w:r>
          </w:p>
        </w:tc>
        <w:tc>
          <w:tcPr>
            <w:tcW w:type="dxa" w:w="11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56</w:t>
            </w:r>
          </w:p>
        </w:tc>
        <w:tc>
          <w:tcPr>
            <w:tcW w:type="dxa" w:w="14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167（104–267）</w:t>
            </w:r>
          </w:p>
        </w:tc>
        <w:tc>
          <w:tcPr>
            <w:tcW w:type="dxa" w:w="14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208（124–349）</w:t>
            </w:r>
          </w:p>
        </w:tc>
        <w:tc>
          <w:tcPr>
            <w:tcW w:type="dxa" w:w="216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高</w:t>
            </w:r>
          </w:p>
        </w:tc>
      </w:tr>
      <w:tr>
        <w:tc>
          <w:tcPr>
            <w:tcW w:type="dxa" w:w="22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T1 多专业协同平台</w:t>
            </w:r>
          </w:p>
        </w:tc>
        <w:tc>
          <w:tcPr>
            <w:tcW w:type="dxa" w:w="95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301</w:t>
            </w:r>
          </w:p>
        </w:tc>
        <w:tc>
          <w:tcPr>
            <w:tcW w:type="dxa" w:w="11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85</w:t>
            </w:r>
          </w:p>
        </w:tc>
        <w:tc>
          <w:tcPr>
            <w:tcW w:type="dxa" w:w="14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383（279–526）</w:t>
            </w:r>
          </w:p>
        </w:tc>
        <w:tc>
          <w:tcPr>
            <w:tcW w:type="dxa" w:w="14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473（334–670）</w:t>
            </w:r>
          </w:p>
        </w:tc>
        <w:tc>
          <w:tcPr>
            <w:tcW w:type="dxa" w:w="216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高</w:t>
            </w:r>
          </w:p>
        </w:tc>
      </w:tr>
      <w:tr>
        <w:tc>
          <w:tcPr>
            <w:tcW w:type="dxa" w:w="22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T6 建筑工程大模型</w:t>
            </w:r>
          </w:p>
        </w:tc>
        <w:tc>
          <w:tcPr>
            <w:tcW w:type="dxa" w:w="95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24</w:t>
            </w:r>
          </w:p>
        </w:tc>
        <w:tc>
          <w:tcPr>
            <w:tcW w:type="dxa" w:w="11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10</w:t>
            </w:r>
          </w:p>
        </w:tc>
        <w:tc>
          <w:tcPr>
            <w:tcW w:type="dxa" w:w="14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31（13–72）</w:t>
            </w:r>
          </w:p>
        </w:tc>
        <w:tc>
          <w:tcPr>
            <w:tcW w:type="dxa" w:w="14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38（15–97）</w:t>
            </w:r>
          </w:p>
        </w:tc>
        <w:tc>
          <w:tcPr>
            <w:tcW w:type="dxa" w:w="216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中（大模型样本起步较晚）</w:t>
            </w:r>
          </w:p>
        </w:tc>
      </w:tr>
      <w:tr>
        <w:tc>
          <w:tcPr>
            <w:tcW w:type="dxa" w:w="22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T2 参数化与生成式设计</w:t>
            </w:r>
          </w:p>
        </w:tc>
        <w:tc>
          <w:tcPr>
            <w:tcW w:type="dxa" w:w="95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11</w:t>
            </w:r>
          </w:p>
        </w:tc>
        <w:tc>
          <w:tcPr>
            <w:tcW w:type="dxa" w:w="11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3</w:t>
            </w:r>
          </w:p>
        </w:tc>
        <w:tc>
          <w:tcPr>
            <w:tcW w:type="dxa" w:w="14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14（8–26）</w:t>
            </w:r>
          </w:p>
        </w:tc>
        <w:tc>
          <w:tcPr>
            <w:tcW w:type="dxa" w:w="14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18（9–34）</w:t>
            </w:r>
          </w:p>
        </w:tc>
        <w:tc>
          <w:tcPr>
            <w:tcW w:type="dxa" w:w="216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高</w:t>
            </w:r>
          </w:p>
        </w:tc>
      </w:tr>
      <w:tr>
        <w:tc>
          <w:tcPr>
            <w:tcW w:type="dxa" w:w="22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T3 机器人集群协同</w:t>
            </w:r>
          </w:p>
        </w:tc>
        <w:tc>
          <w:tcPr>
            <w:tcW w:type="dxa" w:w="95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199</w:t>
            </w:r>
          </w:p>
        </w:tc>
        <w:tc>
          <w:tcPr>
            <w:tcW w:type="dxa" w:w="11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66</w:t>
            </w:r>
          </w:p>
        </w:tc>
        <w:tc>
          <w:tcPr>
            <w:tcW w:type="dxa" w:w="14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214（114–401）</w:t>
            </w:r>
          </w:p>
        </w:tc>
        <w:tc>
          <w:tcPr>
            <w:tcW w:type="dxa" w:w="14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228（115–454）</w:t>
            </w:r>
          </w:p>
        </w:tc>
        <w:tc>
          <w:tcPr>
            <w:tcW w:type="dxa" w:w="216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高</w:t>
            </w:r>
          </w:p>
        </w:tc>
      </w:tr>
      <w:tr>
        <w:tc>
          <w:tcPr>
            <w:tcW w:type="dxa" w:w="22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T7 装配式建筑</w:t>
            </w:r>
          </w:p>
        </w:tc>
        <w:tc>
          <w:tcPr>
            <w:tcW w:type="dxa" w:w="95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145</w:t>
            </w:r>
          </w:p>
        </w:tc>
        <w:tc>
          <w:tcPr>
            <w:tcW w:type="dxa" w:w="11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35</w:t>
            </w:r>
          </w:p>
        </w:tc>
        <w:tc>
          <w:tcPr>
            <w:tcW w:type="dxa" w:w="14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145（99–211）</w:t>
            </w:r>
          </w:p>
        </w:tc>
        <w:tc>
          <w:tcPr>
            <w:tcW w:type="dxa" w:w="14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145（96–219）</w:t>
            </w:r>
          </w:p>
        </w:tc>
        <w:tc>
          <w:tcPr>
            <w:tcW w:type="dxa" w:w="216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高</w:t>
            </w:r>
          </w:p>
        </w:tc>
      </w:tr>
      <w:tr>
        <w:tc>
          <w:tcPr>
            <w:tcW w:type="dxa" w:w="22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T8 建筑规模增材制造</w:t>
            </w:r>
          </w:p>
        </w:tc>
        <w:tc>
          <w:tcPr>
            <w:tcW w:type="dxa" w:w="95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53</w:t>
            </w:r>
          </w:p>
        </w:tc>
        <w:tc>
          <w:tcPr>
            <w:tcW w:type="dxa" w:w="11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0</w:t>
            </w:r>
          </w:p>
        </w:tc>
        <w:tc>
          <w:tcPr>
            <w:tcW w:type="dxa" w:w="14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53（33–85）</w:t>
            </w:r>
          </w:p>
        </w:tc>
        <w:tc>
          <w:tcPr>
            <w:tcW w:type="dxa" w:w="14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54（32–90）</w:t>
            </w:r>
          </w:p>
        </w:tc>
        <w:tc>
          <w:tcPr>
            <w:tcW w:type="dxa" w:w="216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高</w:t>
            </w:r>
          </w:p>
        </w:tc>
      </w:tr>
    </w:tbl>
    <w:p>
      <w:pPr>
        <w:spacing w:after="160" w:line="320" w:lineRule="auto"/>
        <w:ind w:firstLine="420"/>
        <w:jc w:val="both"/>
      </w:pPr>
      <w:r>
        <w:rPr>
          <w:rFonts w:ascii="Calibri" w:hAnsi="Calibri" w:eastAsia="宋体"/>
          <w:color w:val="172033"/>
          <w:sz w:val="22"/>
        </w:rPr>
        <w:t>2024列为完整观测，2025截尾列为截至10月1日的实际记录；2025模型估计与2026模型估计均为生成值，并非新增专利观测。它们是当前检索与主题代理口径下的年度活动信号，而非全球专利族数量。建筑工程大模型和参数化/生成式设计基数较小、区间较宽；智能规范审查和模块化/可重构设计因代理样本不足，不宜给出精确数量预测。因此，本文将数量外推限定为监测基线，核心结论仍是方向、相对优先级及跨主题依赖。</w:t>
      </w:r>
    </w:p>
    <w:p>
      <w:pPr>
        <w:pStyle w:val="Heading2"/>
      </w:pPr>
      <w:r>
        <w:t>2.3 关键IPC节点与技术含义</w:t>
      </w:r>
    </w:p>
    <w:p>
      <w:pPr>
        <w:pStyle w:val="Caption"/>
        <w:spacing w:before="100" w:after="160"/>
        <w:jc w:val="center"/>
      </w:pPr>
      <w:r>
        <w:rPr>
          <w:rFonts w:ascii="Calibri" w:hAnsi="Calibri" w:eastAsia="宋体"/>
          <w:color w:val="5B6573"/>
          <w:sz w:val="18"/>
        </w:rPr>
        <w:t>表4  阶段3关键IPC节点及预测角色</w:t>
      </w:r>
    </w:p>
    <w:tbl>
      <w:tblPr>
        <w:tblW w:type="dxa" w:w="9360"/>
        <w:tblLayout w:type="fixed"/>
        <w:tblLook w:firstColumn="1" w:firstRow="1" w:lastColumn="0" w:lastRow="0" w:noHBand="0" w:noVBand="1" w:val="04A0"/>
        <w:jc w:val="left"/>
        <w:tblInd w:type="dxa" w:w="120"/>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Pr>
      <w:tblGrid>
        <w:gridCol w:w="1100"/>
        <w:gridCol w:w="2700"/>
        <w:gridCol w:w="1250"/>
        <w:gridCol w:w="1350"/>
        <w:gridCol w:w="1300"/>
        <w:gridCol w:w="1660"/>
      </w:tblGrid>
      <w:tr>
        <w:trPr>
          <w:tblHeader w:val="true"/>
        </w:trPr>
        <w:tc>
          <w:tcPr>
            <w:tcW w:type="dxa" w:w="110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IPC</w:t>
            </w:r>
          </w:p>
        </w:tc>
        <w:tc>
          <w:tcPr>
            <w:tcW w:type="dxa" w:w="270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技术含义</w:t>
            </w:r>
          </w:p>
        </w:tc>
        <w:tc>
          <w:tcPr>
            <w:tcW w:type="dxa" w:w="125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度中心度</w:t>
            </w:r>
          </w:p>
        </w:tc>
        <w:tc>
          <w:tcPr>
            <w:tcW w:type="dxa" w:w="135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中介中心度</w:t>
            </w:r>
          </w:p>
        </w:tc>
        <w:tc>
          <w:tcPr>
            <w:tcW w:type="dxa" w:w="130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接近中心度</w:t>
            </w:r>
          </w:p>
        </w:tc>
        <w:tc>
          <w:tcPr>
            <w:tcW w:type="dxa" w:w="166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预测角色</w:t>
            </w:r>
          </w:p>
        </w:tc>
      </w:tr>
      <w:tr>
        <w:tc>
          <w:tcPr>
            <w:tcW w:type="dxa" w:w="11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G06F30</w:t>
            </w:r>
          </w:p>
        </w:tc>
        <w:tc>
          <w:tcPr>
            <w:tcW w:type="dxa" w:w="2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工程设计三维建模与仿真</w:t>
            </w:r>
          </w:p>
        </w:tc>
        <w:tc>
          <w:tcPr>
            <w:tcW w:type="dxa" w:w="12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0.1943</w:t>
            </w:r>
          </w:p>
        </w:tc>
        <w:tc>
          <w:tcPr>
            <w:tcW w:type="dxa" w:w="13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0.0745</w:t>
            </w:r>
          </w:p>
        </w:tc>
        <w:tc>
          <w:tcPr>
            <w:tcW w:type="dxa" w:w="13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0.4782</w:t>
            </w:r>
          </w:p>
        </w:tc>
        <w:tc>
          <w:tcPr>
            <w:tcW w:type="dxa" w:w="166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核心跃迁</w:t>
            </w:r>
          </w:p>
        </w:tc>
      </w:tr>
      <w:tr>
        <w:tc>
          <w:tcPr>
            <w:tcW w:type="dxa" w:w="11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G06N3</w:t>
            </w:r>
          </w:p>
        </w:tc>
        <w:tc>
          <w:tcPr>
            <w:tcW w:type="dxa" w:w="27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AI/深度学习算法</w:t>
            </w:r>
          </w:p>
        </w:tc>
        <w:tc>
          <w:tcPr>
            <w:tcW w:type="dxa" w:w="12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0.1166</w:t>
            </w:r>
          </w:p>
        </w:tc>
        <w:tc>
          <w:tcPr>
            <w:tcW w:type="dxa" w:w="13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0.0237</w:t>
            </w:r>
          </w:p>
        </w:tc>
        <w:tc>
          <w:tcPr>
            <w:tcW w:type="dxa" w:w="13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0.4257</w:t>
            </w:r>
          </w:p>
        </w:tc>
        <w:tc>
          <w:tcPr>
            <w:tcW w:type="dxa" w:w="166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核心跃迁</w:t>
            </w:r>
          </w:p>
        </w:tc>
      </w:tr>
      <w:tr>
        <w:tc>
          <w:tcPr>
            <w:tcW w:type="dxa" w:w="11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B25J11</w:t>
            </w:r>
          </w:p>
        </w:tc>
        <w:tc>
          <w:tcPr>
            <w:tcW w:type="dxa" w:w="2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建筑机器人操作与机构</w:t>
            </w:r>
          </w:p>
        </w:tc>
        <w:tc>
          <w:tcPr>
            <w:tcW w:type="dxa" w:w="12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0.1462</w:t>
            </w:r>
          </w:p>
        </w:tc>
        <w:tc>
          <w:tcPr>
            <w:tcW w:type="dxa" w:w="13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0.0648</w:t>
            </w:r>
          </w:p>
        </w:tc>
        <w:tc>
          <w:tcPr>
            <w:tcW w:type="dxa" w:w="13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0.4511</w:t>
            </w:r>
          </w:p>
        </w:tc>
        <w:tc>
          <w:tcPr>
            <w:tcW w:type="dxa" w:w="166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核心跃迁</w:t>
            </w:r>
          </w:p>
        </w:tc>
      </w:tr>
      <w:tr>
        <w:tc>
          <w:tcPr>
            <w:tcW w:type="dxa" w:w="11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G01B11</w:t>
            </w:r>
          </w:p>
        </w:tc>
        <w:tc>
          <w:tcPr>
            <w:tcW w:type="dxa" w:w="27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三维激光测量</w:t>
            </w:r>
          </w:p>
        </w:tc>
        <w:tc>
          <w:tcPr>
            <w:tcW w:type="dxa" w:w="12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0.0746</w:t>
            </w:r>
          </w:p>
        </w:tc>
        <w:tc>
          <w:tcPr>
            <w:tcW w:type="dxa" w:w="13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0.0195</w:t>
            </w:r>
          </w:p>
        </w:tc>
        <w:tc>
          <w:tcPr>
            <w:tcW w:type="dxa" w:w="13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0.4191</w:t>
            </w:r>
          </w:p>
        </w:tc>
        <w:tc>
          <w:tcPr>
            <w:tcW w:type="dxa" w:w="166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使能跃迁</w:t>
            </w:r>
          </w:p>
        </w:tc>
      </w:tr>
      <w:tr>
        <w:tc>
          <w:tcPr>
            <w:tcW w:type="dxa" w:w="11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G01S17</w:t>
            </w:r>
          </w:p>
        </w:tc>
        <w:tc>
          <w:tcPr>
            <w:tcW w:type="dxa" w:w="2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激光雷达定位</w:t>
            </w:r>
          </w:p>
        </w:tc>
        <w:tc>
          <w:tcPr>
            <w:tcW w:type="dxa" w:w="12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0.0429</w:t>
            </w:r>
          </w:p>
        </w:tc>
        <w:tc>
          <w:tcPr>
            <w:tcW w:type="dxa" w:w="13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0.0041</w:t>
            </w:r>
          </w:p>
        </w:tc>
        <w:tc>
          <w:tcPr>
            <w:tcW w:type="dxa" w:w="13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0.3746</w:t>
            </w:r>
          </w:p>
        </w:tc>
        <w:tc>
          <w:tcPr>
            <w:tcW w:type="dxa" w:w="166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使能跃迁</w:t>
            </w:r>
          </w:p>
        </w:tc>
      </w:tr>
      <w:tr>
        <w:tc>
          <w:tcPr>
            <w:tcW w:type="dxa" w:w="11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B28C7</w:t>
            </w:r>
          </w:p>
        </w:tc>
        <w:tc>
          <w:tcPr>
            <w:tcW w:type="dxa" w:w="27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智能搅拌与配送</w:t>
            </w:r>
          </w:p>
        </w:tc>
        <w:tc>
          <w:tcPr>
            <w:tcW w:type="dxa" w:w="12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0.0164</w:t>
            </w:r>
          </w:p>
        </w:tc>
        <w:tc>
          <w:tcPr>
            <w:tcW w:type="dxa" w:w="13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0.0006</w:t>
            </w:r>
          </w:p>
        </w:tc>
        <w:tc>
          <w:tcPr>
            <w:tcW w:type="dxa" w:w="13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0.3449</w:t>
            </w:r>
          </w:p>
        </w:tc>
        <w:tc>
          <w:tcPr>
            <w:tcW w:type="dxa" w:w="166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边缘候选</w:t>
            </w:r>
          </w:p>
        </w:tc>
      </w:tr>
      <w:tr>
        <w:tc>
          <w:tcPr>
            <w:tcW w:type="dxa" w:w="11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G06Q50</w:t>
            </w:r>
          </w:p>
        </w:tc>
        <w:tc>
          <w:tcPr>
            <w:tcW w:type="dxa" w:w="2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建造过程数字化管理</w:t>
            </w:r>
          </w:p>
        </w:tc>
        <w:tc>
          <w:tcPr>
            <w:tcW w:type="dxa" w:w="12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0.1524</w:t>
            </w:r>
          </w:p>
        </w:tc>
        <w:tc>
          <w:tcPr>
            <w:tcW w:type="dxa" w:w="13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0.0407</w:t>
            </w:r>
          </w:p>
        </w:tc>
        <w:tc>
          <w:tcPr>
            <w:tcW w:type="dxa" w:w="13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0.4437</w:t>
            </w:r>
          </w:p>
        </w:tc>
        <w:tc>
          <w:tcPr>
            <w:tcW w:type="dxa" w:w="166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平台核心</w:t>
            </w:r>
          </w:p>
        </w:tc>
      </w:tr>
      <w:tr>
        <w:tc>
          <w:tcPr>
            <w:tcW w:type="dxa" w:w="11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B66C23</w:t>
            </w:r>
          </w:p>
        </w:tc>
        <w:tc>
          <w:tcPr>
            <w:tcW w:type="dxa" w:w="27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智能塔吊与吊装</w:t>
            </w:r>
          </w:p>
        </w:tc>
        <w:tc>
          <w:tcPr>
            <w:tcW w:type="dxa" w:w="12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0.0583</w:t>
            </w:r>
          </w:p>
        </w:tc>
        <w:tc>
          <w:tcPr>
            <w:tcW w:type="dxa" w:w="13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0.0259</w:t>
            </w:r>
          </w:p>
        </w:tc>
        <w:tc>
          <w:tcPr>
            <w:tcW w:type="dxa" w:w="13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0.4065</w:t>
            </w:r>
          </w:p>
        </w:tc>
        <w:tc>
          <w:tcPr>
            <w:tcW w:type="dxa" w:w="166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场景枢纽</w:t>
            </w:r>
          </w:p>
        </w:tc>
      </w:tr>
      <w:tr>
        <w:tc>
          <w:tcPr>
            <w:tcW w:type="dxa" w:w="11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G16Y10</w:t>
            </w:r>
          </w:p>
        </w:tc>
        <w:tc>
          <w:tcPr>
            <w:tcW w:type="dxa" w:w="2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建造物联网接口</w:t>
            </w:r>
          </w:p>
        </w:tc>
        <w:tc>
          <w:tcPr>
            <w:tcW w:type="dxa" w:w="12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0.0245</w:t>
            </w:r>
          </w:p>
        </w:tc>
        <w:tc>
          <w:tcPr>
            <w:tcW w:type="dxa" w:w="13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0.0002</w:t>
            </w:r>
          </w:p>
        </w:tc>
        <w:tc>
          <w:tcPr>
            <w:tcW w:type="dxa" w:w="13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0.3462</w:t>
            </w:r>
          </w:p>
        </w:tc>
        <w:tc>
          <w:tcPr>
            <w:tcW w:type="dxa" w:w="166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标准候选</w:t>
            </w:r>
          </w:p>
        </w:tc>
      </w:tr>
      <w:tr>
        <w:tc>
          <w:tcPr>
            <w:tcW w:type="dxa" w:w="11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E02D33</w:t>
            </w:r>
          </w:p>
        </w:tc>
        <w:tc>
          <w:tcPr>
            <w:tcW w:type="dxa" w:w="270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地基监测与预警</w:t>
            </w:r>
          </w:p>
        </w:tc>
        <w:tc>
          <w:tcPr>
            <w:tcW w:type="dxa" w:w="12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0.0337</w:t>
            </w:r>
          </w:p>
        </w:tc>
        <w:tc>
          <w:tcPr>
            <w:tcW w:type="dxa" w:w="13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0.0076</w:t>
            </w:r>
          </w:p>
        </w:tc>
        <w:tc>
          <w:tcPr>
            <w:tcW w:type="dxa" w:w="13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0.3761</w:t>
            </w:r>
          </w:p>
        </w:tc>
        <w:tc>
          <w:tcPr>
            <w:tcW w:type="dxa" w:w="166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边缘跃迁</w:t>
            </w:r>
          </w:p>
        </w:tc>
      </w:tr>
      <w:tr>
        <w:tc>
          <w:tcPr>
            <w:tcW w:type="dxa" w:w="11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C08L97</w:t>
            </w:r>
          </w:p>
        </w:tc>
        <w:tc>
          <w:tcPr>
            <w:tcW w:type="dxa" w:w="270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生物质增强绿色材料</w:t>
            </w:r>
          </w:p>
        </w:tc>
        <w:tc>
          <w:tcPr>
            <w:tcW w:type="dxa" w:w="12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0.0061</w:t>
            </w:r>
          </w:p>
        </w:tc>
        <w:tc>
          <w:tcPr>
            <w:tcW w:type="dxa" w:w="13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0.0001</w:t>
            </w:r>
          </w:p>
        </w:tc>
        <w:tc>
          <w:tcPr>
            <w:tcW w:type="dxa" w:w="13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0.2716</w:t>
            </w:r>
          </w:p>
        </w:tc>
        <w:tc>
          <w:tcPr>
            <w:tcW w:type="dxa" w:w="166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远期前沿</w:t>
            </w:r>
          </w:p>
        </w:tc>
      </w:tr>
    </w:tbl>
    <w:p>
      <w:r>
        <w:br w:type="page"/>
      </w:r>
    </w:p>
    <w:p>
      <w:pPr>
        <w:pStyle w:val="Heading1"/>
      </w:pPr>
      <w:r>
        <w:t>3 技术预测结论与机制解释</w:t>
      </w:r>
    </w:p>
    <w:p>
      <w:pPr>
        <w:pStyle w:val="Heading2"/>
      </w:pPr>
      <w:r>
        <w:t>3.1 首要方向：数字孪生将成为施工智能闭环的控制层</w:t>
      </w:r>
    </w:p>
    <w:p>
      <w:pPr>
        <w:spacing w:after="160" w:line="320" w:lineRule="auto"/>
        <w:ind w:firstLine="420"/>
        <w:jc w:val="both"/>
      </w:pPr>
      <w:r>
        <w:rPr>
          <w:rFonts w:ascii="Calibri" w:hAnsi="Calibri" w:eastAsia="宋体"/>
          <w:color w:val="172033"/>
          <w:sz w:val="22"/>
        </w:rPr>
        <w:t>数字孪生的领先并非仅来自文本热度。G06F30在阶段2至阶段3期间，度中心度由0.0967升至0.1943，中介中心度由0.0533升至0.0745；G01B11的度中心度由0.0077升至0.0746；G06N3由0.0232升至0.1166。三类节点分别对应模型底座、现场感知与智能推理，其同步跃迁支持“感知—建模—预测—控制”链条正在成形。预计2027—2030年主要落点是进度、质量、安全和装备状态的项目级闭环；2031—2035年转向预测性控制与跨项目复用；2036—2040年才可能扩展至项目群—资产连续孪生与实时资源协同。</w:t>
      </w:r>
    </w:p>
    <w:p>
      <w:pPr>
        <w:pStyle w:val="Heading2"/>
      </w:pPr>
      <w:r>
        <w:t>3.2 第二梯队：平台、大模型与生成式设计将发生耦合增长</w:t>
      </w:r>
    </w:p>
    <w:p>
      <w:pPr>
        <w:spacing w:after="160" w:line="320" w:lineRule="auto"/>
        <w:ind w:firstLine="420"/>
        <w:jc w:val="both"/>
      </w:pPr>
      <w:r>
        <w:rPr>
          <w:rFonts w:ascii="Calibri" w:hAnsi="Calibri" w:eastAsia="宋体"/>
          <w:color w:val="172033"/>
          <w:sz w:val="22"/>
        </w:rPr>
        <w:t>T1、T6和T2的共同特征是共享G06F30、G06N3与G06Q50等核心节点。平台层提供可追溯的工程数据和组织协同，大模型层提供知识检索、计划生成与多模态理解，生成式设计层将目标约束转化为可计算方案。短期内，工程大模型更可能以检索增强、规范问答、工艺辅助和风险解释等“受约束助手”形式落地，而不是直接替代责任主体。只有在数据版本、模型来源、规则映射与审计日志形成闭环后，智能审查才可能从辅助核查进入持续合规。</w:t>
      </w:r>
    </w:p>
    <w:p>
      <w:pPr>
        <w:pStyle w:val="Heading2"/>
      </w:pPr>
      <w:r>
        <w:t>3.3 机器人从单机替代转向多装备协同</w:t>
      </w:r>
    </w:p>
    <w:p>
      <w:pPr>
        <w:spacing w:after="160" w:line="320" w:lineRule="auto"/>
        <w:ind w:firstLine="420"/>
        <w:jc w:val="both"/>
      </w:pPr>
      <w:r>
        <w:rPr>
          <w:rFonts w:ascii="Calibri" w:hAnsi="Calibri" w:eastAsia="宋体"/>
          <w:color w:val="172033"/>
          <w:sz w:val="22"/>
        </w:rPr>
        <w:t>B25J11阶段3度中心度达到0.1462、中介中心度达到0.0648，显示机器人技术已进入高连接、高桥接位置；B66C23的度中心度为0.0583、中介中心度为0.0259，体现塔吊和吊装场景的枢纽潜力。未来增长重点不再只是增加机器人品类，而是解决空间定位、任务分配、碰撞规避、设备通信与人机安全边界。预计近期首先在高危、重复和精度敏感工序形成多机协作试点，中期与数字孪生调度融合，远期才可能形成具备自主重规划能力的人机混编施工单元。</w:t>
      </w:r>
    </w:p>
    <w:p>
      <w:pPr>
        <w:pStyle w:val="Heading2"/>
      </w:pPr>
      <w:r>
        <w:t>3.4 成熟技术的再定位：装配式与增材制造成为融合载体</w:t>
      </w:r>
    </w:p>
    <w:p>
      <w:pPr>
        <w:spacing w:after="160" w:line="320" w:lineRule="auto"/>
        <w:ind w:firstLine="420"/>
        <w:jc w:val="both"/>
      </w:pPr>
      <w:r>
        <w:rPr>
          <w:rFonts w:ascii="Calibri" w:hAnsi="Calibri" w:eastAsia="宋体"/>
          <w:color w:val="172033"/>
          <w:sz w:val="22"/>
        </w:rPr>
        <w:t>装配式建筑2021—2024年仍有较高活动规模，但年度记录由267降至145；增材制造同期由91降至53。该变化不应直接解释为技术价值下降，更合理的解释是主题从概念扩散转向工程化筛选和场景整合。未来突破点将集中于三类组合：装配式与机器人装配、增材制造与智能材料配送、以及增材构件与模块化建筑的混合建造。</w:t>
      </w:r>
    </w:p>
    <w:p>
      <w:pPr>
        <w:pStyle w:val="Heading2"/>
      </w:pPr>
      <w:r>
        <w:t>3.5 边缘技术机会</w:t>
      </w:r>
    </w:p>
    <w:p>
      <w:pPr>
        <w:spacing w:after="160" w:line="320" w:lineRule="auto"/>
        <w:ind w:firstLine="420"/>
        <w:jc w:val="both"/>
      </w:pPr>
      <w:r>
        <w:rPr>
          <w:rFonts w:ascii="Calibri" w:hAnsi="Calibri" w:eastAsia="宋体"/>
          <w:color w:val="172033"/>
          <w:sz w:val="22"/>
        </w:rPr>
        <w:t>E02D33的度中心度由阶段2的0.0019升至阶段3的0.0337，且中介中心度升至0.0076，显示地基智能监测与灾害预警具有明确的边缘跃迁特征。G16Y10在阶段3首次进入网络并连接数据处理、通信与设备控制节点，具有接口标准与潜在标准必要专利布局价值。C08L97当前中心性较低，但接近中心度0.2716，适合作为远期绿色材料监测对象。B28C7则可能成为增材制造与现场浇筑之间的材料供应桥梁。</w:t>
      </w:r>
    </w:p>
    <w:p>
      <w:r>
        <w:br w:type="page"/>
      </w:r>
    </w:p>
    <w:p>
      <w:pPr>
        <w:pStyle w:val="Heading1"/>
      </w:pPr>
      <w:r>
        <w:t>4 技术发展路线图</w:t>
      </w:r>
    </w:p>
    <w:p>
      <w:pPr>
        <w:spacing w:after="0"/>
        <w:jc w:val="center"/>
      </w:pPr>
      <w:r>
        <w:drawing>
          <wp:inline xmlns:a="http://schemas.openxmlformats.org/drawingml/2006/main" xmlns:pic="http://schemas.openxmlformats.org/drawingml/2006/picture">
            <wp:extent cx="5806440" cy="5253892"/>
            <wp:docPr id="2" name="Picture 2" title="图2  智能建造九大主题技术发展路线图（2027—2040）" descr="九条独立技术泳道分别对应T1至T9，分为2027至2030奠基期、2031至2035扩展期、2036至2040转型期。各阶段以浅色卡片呈现；底部独立说明区列出数据支撑、智能与控制、设计与制造三类依赖。A指向B表示A为B提供数据、能力或接口支撑，是规划假设而非已验证因果关系。横带表示贯穿全周期的标准、安全、责任与碳核算约束。"/>
            <wp:cNvGraphicFramePr>
              <a:graphicFrameLocks noChangeAspect="1"/>
            </wp:cNvGraphicFramePr>
            <a:graphic>
              <a:graphicData uri="http://schemas.openxmlformats.org/drawingml/2006/picture">
                <pic:pic>
                  <pic:nvPicPr>
                    <pic:cNvPr id="0" name="figure_2_technology_roadmap.png"/>
                    <pic:cNvPicPr/>
                  </pic:nvPicPr>
                  <pic:blipFill>
                    <a:blip r:embed="rId14"/>
                    <a:stretch>
                      <a:fillRect/>
                    </a:stretch>
                  </pic:blipFill>
                  <pic:spPr>
                    <a:xfrm>
                      <a:off x="0" y="0"/>
                      <a:ext cx="5806440" cy="5253892"/>
                    </a:xfrm>
                    <a:prstGeom prst="rect"/>
                  </pic:spPr>
                </pic:pic>
              </a:graphicData>
            </a:graphic>
          </wp:inline>
        </w:drawing>
      </w:r>
    </w:p>
    <w:p>
      <w:pPr>
        <w:pStyle w:val="Caption"/>
        <w:spacing w:before="100" w:after="160"/>
        <w:jc w:val="center"/>
      </w:pPr>
      <w:r>
        <w:rPr>
          <w:rFonts w:ascii="Calibri" w:hAnsi="Calibri" w:eastAsia="宋体"/>
          <w:color w:val="5B6573"/>
          <w:sz w:val="18"/>
        </w:rPr>
        <w:t>图2  智能建造九大主题技术发展路线图（2027—2040）</w:t>
      </w:r>
    </w:p>
    <w:p>
      <w:pPr>
        <w:spacing w:after="160" w:line="320" w:lineRule="auto"/>
        <w:ind w:firstLine="420"/>
        <w:jc w:val="both"/>
      </w:pPr>
      <w:r>
        <w:rPr>
          <w:rFonts w:ascii="Calibri" w:hAnsi="Calibri" w:eastAsia="宋体"/>
          <w:color w:val="172033"/>
          <w:sz w:val="22"/>
        </w:rPr>
        <w:t>图2底部的关系符号表示技术支撑方向：T1为T6、T5和T4提供协同数据；T6为T2和T3提供推理能力，T4为T3提供现场状态与控制反馈；T2支撑T9和T8，T9为T7提供模块接口与构型基础。这些关系是结合主题功能与网络关联提出的路线规划假设，不表示已经通过因果检验，也不对应精确发生年份。</w:t>
      </w:r>
    </w:p>
    <w:p>
      <w:pPr>
        <w:pStyle w:val="Heading2"/>
      </w:pPr>
      <w:r>
        <w:t>4.1 奠基期：2027—2030年</w:t>
      </w:r>
    </w:p>
    <w:p>
      <w:pPr>
        <w:spacing w:after="160" w:line="320" w:lineRule="auto"/>
        <w:ind w:firstLine="420"/>
        <w:jc w:val="both"/>
      </w:pPr>
      <w:r>
        <w:rPr>
          <w:rFonts w:ascii="Calibri" w:hAnsi="Calibri" w:eastAsia="宋体"/>
          <w:color w:val="172033"/>
          <w:sz w:val="22"/>
        </w:rPr>
        <w:t>该阶段以接口统一、证据可追溯和项目级闭环为目标。T1建立openBIM/CDE跨角色工作流；T6形成领域RAG、知识图谱与受约束助手；T5推动条款机器可读及规则—模型双路径；T2与T9分别完成约束驱动生成、标准接口和可重构原型；T4形成感知—模型同步及项目级控制；T3开展高危工序多机试点；T7建设柔性制造和构件全链追溯；T8完成材料—工艺—结构联合性能验证。</w:t>
      </w:r>
    </w:p>
    <w:p>
      <w:pPr>
        <w:pStyle w:val="Heading2"/>
      </w:pPr>
      <w:r>
        <w:t>4.2 扩展期：2031—2035年</w:t>
      </w:r>
    </w:p>
    <w:p>
      <w:pPr>
        <w:spacing w:after="160" w:line="320" w:lineRule="auto"/>
        <w:ind w:firstLine="420"/>
        <w:jc w:val="both"/>
      </w:pPr>
      <w:r>
        <w:rPr>
          <w:rFonts w:ascii="Calibri" w:hAnsi="Calibri" w:eastAsia="宋体"/>
          <w:color w:val="172033"/>
          <w:sz w:val="22"/>
        </w:rPr>
        <w:t>该阶段以系统闭环和跨项目复制为目标。T1演化为可信工程数据空间与数字线程；T6支持多模态任务生成、工具调用和可追溯执行；T5进入多模态人机共审；T2将DfMA模块库与审查反馈耦合，T9推进自动构型与快速装拆；T4承担质量、安全和进度的预测性控制；T3实现异构机器人集群调度和孪生驱动重规划；T7打通机器人装配与供应链协同；T8形成搅拌—配送—打印质量闭环。</w:t>
      </w:r>
    </w:p>
    <w:p>
      <w:pPr>
        <w:pStyle w:val="Heading2"/>
      </w:pPr>
      <w:r>
        <w:t>4.3 转型期：2036—2040年</w:t>
      </w:r>
    </w:p>
    <w:p>
      <w:pPr>
        <w:spacing w:after="160" w:line="320" w:lineRule="auto"/>
        <w:ind w:firstLine="420"/>
        <w:jc w:val="both"/>
      </w:pPr>
      <w:r>
        <w:rPr>
          <w:rFonts w:ascii="Calibri" w:hAnsi="Calibri" w:eastAsia="宋体"/>
          <w:color w:val="172033"/>
          <w:sz w:val="22"/>
        </w:rPr>
        <w:t>该阶段以受控自治、持续合规和循环建造为目标。T1支持跨组织知识网络与自治数据治理；T6进入经验证的智能体编排，T5贯通设计—施工—运维持续合规；T2纳入全寿命与循环约束，T9支持建筑全寿命重构和适应性空间；T4扩展为项目群—资产连续孪生；T3形成具备安全边界的人机混编自治单元；T7实现规模化定制、拆解复用与循环建造；T8发展增材—装配混合低碳制造。完全无人化不作为该阶段的默认假设。</w:t>
      </w:r>
    </w:p>
    <w:p>
      <w:pPr>
        <w:pStyle w:val="Caption"/>
        <w:spacing w:before="100" w:after="160"/>
        <w:jc w:val="center"/>
      </w:pPr>
      <w:r>
        <w:rPr>
          <w:rFonts w:ascii="Calibri" w:hAnsi="Calibri" w:eastAsia="宋体"/>
          <w:color w:val="5B6573"/>
          <w:sz w:val="18"/>
        </w:rPr>
        <w:t>表5  九大主题的阶段里程碑与依赖关系</w:t>
      </w:r>
    </w:p>
    <w:tbl>
      <w:tblPr>
        <w:tblW w:type="dxa" w:w="9360"/>
        <w:tblLayout w:type="fixed"/>
        <w:tblLook w:firstColumn="1" w:firstRow="1" w:lastColumn="0" w:lastRow="0" w:noHBand="0" w:noVBand="1" w:val="04A0"/>
        <w:jc w:val="left"/>
        <w:tblInd w:type="dxa" w:w="120"/>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Pr>
      <w:tblGrid>
        <w:gridCol w:w="1400"/>
        <w:gridCol w:w="1850"/>
        <w:gridCol w:w="1850"/>
        <w:gridCol w:w="1850"/>
        <w:gridCol w:w="2410"/>
      </w:tblGrid>
      <w:tr>
        <w:trPr>
          <w:tblHeader w:val="true"/>
        </w:trPr>
        <w:tc>
          <w:tcPr>
            <w:tcW w:type="dxa" w:w="140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主题</w:t>
            </w:r>
          </w:p>
        </w:tc>
        <w:tc>
          <w:tcPr>
            <w:tcW w:type="dxa" w:w="185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2027—2030</w:t>
            </w:r>
          </w:p>
        </w:tc>
        <w:tc>
          <w:tcPr>
            <w:tcW w:type="dxa" w:w="185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2031—2035</w:t>
            </w:r>
          </w:p>
        </w:tc>
        <w:tc>
          <w:tcPr>
            <w:tcW w:type="dxa" w:w="185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2036—2040</w:t>
            </w:r>
          </w:p>
        </w:tc>
        <w:tc>
          <w:tcPr>
            <w:tcW w:type="dxa" w:w="241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主要前置依赖</w:t>
            </w:r>
          </w:p>
        </w:tc>
      </w:tr>
      <w:tr>
        <w:tc>
          <w:tcPr>
            <w:tcW w:type="dxa" w:w="14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T1 协同平台</w:t>
            </w:r>
          </w:p>
        </w:tc>
        <w:tc>
          <w:tcPr>
            <w:tcW w:type="dxa" w:w="185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跨角色工作流</w:t>
            </w:r>
          </w:p>
        </w:tc>
        <w:tc>
          <w:tcPr>
            <w:tcW w:type="dxa" w:w="18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可信数据空间/数字线程</w:t>
            </w:r>
          </w:p>
        </w:tc>
        <w:tc>
          <w:tcPr>
            <w:tcW w:type="dxa" w:w="18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跨组织知识网络</w:t>
            </w:r>
          </w:p>
        </w:tc>
        <w:tc>
          <w:tcPr>
            <w:tcW w:type="dxa" w:w="241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开放标准、数据权属</w:t>
            </w:r>
          </w:p>
        </w:tc>
      </w:tr>
      <w:tr>
        <w:tc>
          <w:tcPr>
            <w:tcW w:type="dxa" w:w="14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T2 生成式设计</w:t>
            </w:r>
          </w:p>
        </w:tc>
        <w:tc>
          <w:tcPr>
            <w:tcW w:type="dxa" w:w="185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约束驱动多目标生成</w:t>
            </w:r>
          </w:p>
        </w:tc>
        <w:tc>
          <w:tcPr>
            <w:tcW w:type="dxa" w:w="18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DfMA与审查反馈闭环</w:t>
            </w:r>
          </w:p>
        </w:tc>
        <w:tc>
          <w:tcPr>
            <w:tcW w:type="dxa" w:w="18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全寿命循环设计</w:t>
            </w:r>
          </w:p>
        </w:tc>
        <w:tc>
          <w:tcPr>
            <w:tcW w:type="dxa" w:w="241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T1、T5、T6</w:t>
            </w:r>
          </w:p>
        </w:tc>
      </w:tr>
      <w:tr>
        <w:tc>
          <w:tcPr>
            <w:tcW w:type="dxa" w:w="14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T3 机器人集群</w:t>
            </w:r>
          </w:p>
        </w:tc>
        <w:tc>
          <w:tcPr>
            <w:tcW w:type="dxa" w:w="185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多机试点与接口互操作</w:t>
            </w:r>
          </w:p>
        </w:tc>
        <w:tc>
          <w:tcPr>
            <w:tcW w:type="dxa" w:w="18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异构集群调度</w:t>
            </w:r>
          </w:p>
        </w:tc>
        <w:tc>
          <w:tcPr>
            <w:tcW w:type="dxa" w:w="18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人机混编受控自治</w:t>
            </w:r>
          </w:p>
        </w:tc>
        <w:tc>
          <w:tcPr>
            <w:tcW w:type="dxa" w:w="241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T1、T4、T6</w:t>
            </w:r>
          </w:p>
        </w:tc>
      </w:tr>
      <w:tr>
        <w:tc>
          <w:tcPr>
            <w:tcW w:type="dxa" w:w="14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T4 数字孪生</w:t>
            </w:r>
          </w:p>
        </w:tc>
        <w:tc>
          <w:tcPr>
            <w:tcW w:type="dxa" w:w="185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项目级控制闭环</w:t>
            </w:r>
          </w:p>
        </w:tc>
        <w:tc>
          <w:tcPr>
            <w:tcW w:type="dxa" w:w="18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预测性控制</w:t>
            </w:r>
          </w:p>
        </w:tc>
        <w:tc>
          <w:tcPr>
            <w:tcW w:type="dxa" w:w="18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项目群—资产连续孪生</w:t>
            </w:r>
          </w:p>
        </w:tc>
        <w:tc>
          <w:tcPr>
            <w:tcW w:type="dxa" w:w="241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T1、感知/测量IPC</w:t>
            </w:r>
          </w:p>
        </w:tc>
      </w:tr>
      <w:tr>
        <w:tc>
          <w:tcPr>
            <w:tcW w:type="dxa" w:w="14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T5 智能审查</w:t>
            </w:r>
          </w:p>
        </w:tc>
        <w:tc>
          <w:tcPr>
            <w:tcW w:type="dxa" w:w="185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规则+模型双路径</w:t>
            </w:r>
          </w:p>
        </w:tc>
        <w:tc>
          <w:tcPr>
            <w:tcW w:type="dxa" w:w="18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多模态人机共审</w:t>
            </w:r>
          </w:p>
        </w:tc>
        <w:tc>
          <w:tcPr>
            <w:tcW w:type="dxa" w:w="18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全周期持续合规</w:t>
            </w:r>
          </w:p>
        </w:tc>
        <w:tc>
          <w:tcPr>
            <w:tcW w:type="dxa" w:w="241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T1、T6、法规机器可读</w:t>
            </w:r>
          </w:p>
        </w:tc>
      </w:tr>
      <w:tr>
        <w:tc>
          <w:tcPr>
            <w:tcW w:type="dxa" w:w="14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T6 工程大模型</w:t>
            </w:r>
          </w:p>
        </w:tc>
        <w:tc>
          <w:tcPr>
            <w:tcW w:type="dxa" w:w="185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领域RAG与受约束助手</w:t>
            </w:r>
          </w:p>
        </w:tc>
        <w:tc>
          <w:tcPr>
            <w:tcW w:type="dxa" w:w="18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多模态任务/工具调用</w:t>
            </w:r>
          </w:p>
        </w:tc>
        <w:tc>
          <w:tcPr>
            <w:tcW w:type="dxa" w:w="18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经验证智能体编排</w:t>
            </w:r>
          </w:p>
        </w:tc>
        <w:tc>
          <w:tcPr>
            <w:tcW w:type="dxa" w:w="241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T1、模型验证、安全边界</w:t>
            </w:r>
          </w:p>
        </w:tc>
      </w:tr>
      <w:tr>
        <w:tc>
          <w:tcPr>
            <w:tcW w:type="dxa" w:w="14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T7 装配式建筑</w:t>
            </w:r>
          </w:p>
        </w:tc>
        <w:tc>
          <w:tcPr>
            <w:tcW w:type="dxa" w:w="185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柔性制造与全链追溯</w:t>
            </w:r>
          </w:p>
        </w:tc>
        <w:tc>
          <w:tcPr>
            <w:tcW w:type="dxa" w:w="18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机器人装配/供应链协同</w:t>
            </w:r>
          </w:p>
        </w:tc>
        <w:tc>
          <w:tcPr>
            <w:tcW w:type="dxa" w:w="18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拆解复用与循环建造</w:t>
            </w:r>
          </w:p>
        </w:tc>
        <w:tc>
          <w:tcPr>
            <w:tcW w:type="dxa" w:w="241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T3、T9</w:t>
            </w:r>
          </w:p>
        </w:tc>
      </w:tr>
      <w:tr>
        <w:tc>
          <w:tcPr>
            <w:tcW w:type="dxa" w:w="14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T8 增材制造</w:t>
            </w:r>
          </w:p>
        </w:tc>
        <w:tc>
          <w:tcPr>
            <w:tcW w:type="dxa" w:w="185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材料—工艺—结构验证</w:t>
            </w:r>
          </w:p>
        </w:tc>
        <w:tc>
          <w:tcPr>
            <w:tcW w:type="dxa" w:w="18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打印质量闭环</w:t>
            </w:r>
          </w:p>
        </w:tc>
        <w:tc>
          <w:tcPr>
            <w:tcW w:type="dxa" w:w="18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增材×装配低碳制造</w:t>
            </w:r>
          </w:p>
        </w:tc>
        <w:tc>
          <w:tcPr>
            <w:tcW w:type="dxa" w:w="241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T2、T4、材料标准</w:t>
            </w:r>
          </w:p>
        </w:tc>
      </w:tr>
      <w:tr>
        <w:tc>
          <w:tcPr>
            <w:tcW w:type="dxa" w:w="14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T9 可重构设计</w:t>
            </w:r>
          </w:p>
        </w:tc>
        <w:tc>
          <w:tcPr>
            <w:tcW w:type="dxa" w:w="185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标准接口与原型</w:t>
            </w:r>
          </w:p>
        </w:tc>
        <w:tc>
          <w:tcPr>
            <w:tcW w:type="dxa" w:w="18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自动构型与快速装拆</w:t>
            </w:r>
          </w:p>
        </w:tc>
        <w:tc>
          <w:tcPr>
            <w:tcW w:type="dxa" w:w="18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全寿命重构</w:t>
            </w:r>
          </w:p>
        </w:tc>
        <w:tc>
          <w:tcPr>
            <w:tcW w:type="dxa" w:w="241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T2、T7</w:t>
            </w:r>
          </w:p>
        </w:tc>
      </w:tr>
    </w:tbl>
    <w:p>
      <w:pPr>
        <w:pStyle w:val="Heading1"/>
      </w:pPr>
      <w:r>
        <w:t>5 监测指标与证伪条件</w:t>
      </w:r>
    </w:p>
    <w:p>
      <w:pPr>
        <w:spacing w:after="160" w:line="320" w:lineRule="auto"/>
        <w:ind w:firstLine="420"/>
        <w:jc w:val="both"/>
      </w:pPr>
      <w:r>
        <w:rPr>
          <w:rFonts w:ascii="Calibri" w:hAnsi="Calibri" w:eastAsia="宋体"/>
          <w:color w:val="172033"/>
          <w:sz w:val="22"/>
        </w:rPr>
        <w:t>技术预测应被视为可更新假设。若后续数据不能满足以下监测条件，应下调相应路线的优先级或延后时间窗口。</w:t>
      </w:r>
    </w:p>
    <w:p>
      <w:pPr>
        <w:pStyle w:val="Caption"/>
        <w:spacing w:before="100" w:after="160"/>
        <w:jc w:val="center"/>
      </w:pPr>
      <w:r>
        <w:rPr>
          <w:rFonts w:ascii="Calibri" w:hAnsi="Calibri" w:eastAsia="宋体"/>
          <w:color w:val="5B6573"/>
          <w:sz w:val="18"/>
        </w:rPr>
        <w:t>表6  路线图的年度监测指标</w:t>
      </w:r>
    </w:p>
    <w:tbl>
      <w:tblPr>
        <w:tblW w:type="dxa" w:w="9360"/>
        <w:tblLayout w:type="fixed"/>
        <w:tblLook w:firstColumn="1" w:firstRow="1" w:lastColumn="0" w:lastRow="0" w:noHBand="0" w:noVBand="1" w:val="04A0"/>
        <w:jc w:val="left"/>
        <w:tblInd w:type="dxa" w:w="120"/>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Pr>
      <w:tblGrid>
        <w:gridCol w:w="1350"/>
        <w:gridCol w:w="2850"/>
        <w:gridCol w:w="2500"/>
        <w:gridCol w:w="2660"/>
      </w:tblGrid>
      <w:tr>
        <w:trPr>
          <w:tblHeader w:val="true"/>
        </w:trPr>
        <w:tc>
          <w:tcPr>
            <w:tcW w:type="dxa" w:w="135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方向</w:t>
            </w:r>
          </w:p>
        </w:tc>
        <w:tc>
          <w:tcPr>
            <w:tcW w:type="dxa" w:w="285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领先指标</w:t>
            </w:r>
          </w:p>
        </w:tc>
        <w:tc>
          <w:tcPr>
            <w:tcW w:type="dxa" w:w="250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支持信号</w:t>
            </w:r>
          </w:p>
        </w:tc>
        <w:tc>
          <w:tcPr>
            <w:tcW w:type="dxa" w:w="266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5"/>
              </w:rPr>
              <w:t>证伪/降级条件</w:t>
            </w:r>
          </w:p>
        </w:tc>
      </w:tr>
      <w:tr>
        <w:tc>
          <w:tcPr>
            <w:tcW w:type="dxa" w:w="13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数字孪生</w:t>
            </w:r>
          </w:p>
        </w:tc>
        <w:tc>
          <w:tcPr>
            <w:tcW w:type="dxa" w:w="285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G06F30/G01B11/G01S17共现；闭环控制项目数</w:t>
            </w:r>
          </w:p>
        </w:tc>
        <w:tc>
          <w:tcPr>
            <w:tcW w:type="dxa" w:w="25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连续两年中心性与项目复用上升</w:t>
            </w:r>
          </w:p>
        </w:tc>
        <w:tc>
          <w:tcPr>
            <w:tcW w:type="dxa" w:w="266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只做可视化、无控制闭环；中心性持续下降</w:t>
            </w:r>
          </w:p>
        </w:tc>
      </w:tr>
      <w:tr>
        <w:tc>
          <w:tcPr>
            <w:tcW w:type="dxa" w:w="13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工程大模型</w:t>
            </w:r>
          </w:p>
        </w:tc>
        <w:tc>
          <w:tcPr>
            <w:tcW w:type="dxa" w:w="285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工程数据集、RAG命中率、审查可追溯率</w:t>
            </w:r>
          </w:p>
        </w:tc>
        <w:tc>
          <w:tcPr>
            <w:tcW w:type="dxa" w:w="25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跨阶段复用且错误可定位</w:t>
            </w:r>
          </w:p>
        </w:tc>
        <w:tc>
          <w:tcPr>
            <w:tcW w:type="dxa" w:w="266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幻觉率高、无法审计、责任边界不清</w:t>
            </w:r>
          </w:p>
        </w:tc>
      </w:tr>
      <w:tr>
        <w:tc>
          <w:tcPr>
            <w:tcW w:type="dxa" w:w="13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生成式设计</w:t>
            </w:r>
          </w:p>
        </w:tc>
        <w:tc>
          <w:tcPr>
            <w:tcW w:type="dxa" w:w="285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约束满足率、方案采纳率、设计周期</w:t>
            </w:r>
          </w:p>
        </w:tc>
        <w:tc>
          <w:tcPr>
            <w:tcW w:type="dxa" w:w="25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从演示转为工程交付</w:t>
            </w:r>
          </w:p>
        </w:tc>
        <w:tc>
          <w:tcPr>
            <w:tcW w:type="dxa" w:w="266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采纳率长期低或需大量人工返工</w:t>
            </w:r>
          </w:p>
        </w:tc>
      </w:tr>
      <w:tr>
        <w:tc>
          <w:tcPr>
            <w:tcW w:type="dxa" w:w="13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机器人集群</w:t>
            </w:r>
          </w:p>
        </w:tc>
        <w:tc>
          <w:tcPr>
            <w:tcW w:type="dxa" w:w="285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协同任务数、停机率、单位工序成本</w:t>
            </w:r>
          </w:p>
        </w:tc>
        <w:tc>
          <w:tcPr>
            <w:tcW w:type="dxa" w:w="25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多设备协调优于单机</w:t>
            </w:r>
          </w:p>
        </w:tc>
        <w:tc>
          <w:tcPr>
            <w:tcW w:type="dxa" w:w="266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接口割裂或安全事件频发</w:t>
            </w:r>
          </w:p>
        </w:tc>
      </w:tr>
      <w:tr>
        <w:tc>
          <w:tcPr>
            <w:tcW w:type="dxa" w:w="13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智能审查</w:t>
            </w:r>
          </w:p>
        </w:tc>
        <w:tc>
          <w:tcPr>
            <w:tcW w:type="dxa" w:w="285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规则覆盖率、误报漏报、人工复核量</w:t>
            </w:r>
          </w:p>
        </w:tc>
        <w:tc>
          <w:tcPr>
            <w:tcW w:type="dxa" w:w="25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规则/模型双路径可解释</w:t>
            </w:r>
          </w:p>
        </w:tc>
        <w:tc>
          <w:tcPr>
            <w:tcW w:type="dxa" w:w="266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缺少法定认可或漏报不可控</w:t>
            </w:r>
          </w:p>
        </w:tc>
      </w:tr>
      <w:tr>
        <w:tc>
          <w:tcPr>
            <w:tcW w:type="dxa" w:w="135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增材×装配</w:t>
            </w:r>
          </w:p>
        </w:tc>
        <w:tc>
          <w:tcPr>
            <w:tcW w:type="dxa" w:w="285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材料闭环控制、构件合格率、混合工法项目</w:t>
            </w:r>
          </w:p>
        </w:tc>
        <w:tc>
          <w:tcPr>
            <w:tcW w:type="dxa" w:w="25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形成稳定工程标准</w:t>
            </w:r>
          </w:p>
        </w:tc>
        <w:tc>
          <w:tcPr>
            <w:tcW w:type="dxa" w:w="2660"/>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成本/质量不优于传统方案</w:t>
            </w:r>
          </w:p>
        </w:tc>
      </w:tr>
      <w:tr>
        <w:tc>
          <w:tcPr>
            <w:tcW w:type="dxa" w:w="135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新兴IPC</w:t>
            </w:r>
          </w:p>
        </w:tc>
        <w:tc>
          <w:tcPr>
            <w:tcW w:type="dxa" w:w="285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节点中心性、跨簇连接、标准提案</w:t>
            </w:r>
          </w:p>
        </w:tc>
        <w:tc>
          <w:tcPr>
            <w:tcW w:type="dxa" w:w="25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5"/>
              </w:rPr>
              <w:t>由边缘进入核心或标准网络</w:t>
            </w:r>
          </w:p>
        </w:tc>
        <w:tc>
          <w:tcPr>
            <w:tcW w:type="dxa" w:w="2660"/>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5"/>
              </w:rPr>
              <w:t>连续两个阶段保持孤立且无场景验证</w:t>
            </w:r>
          </w:p>
        </w:tc>
      </w:tr>
    </w:tbl>
    <w:p>
      <w:pPr>
        <w:pStyle w:val="Heading1"/>
      </w:pPr>
      <w:r>
        <w:t>6 讨论与局限</w:t>
      </w:r>
    </w:p>
    <w:p>
      <w:pPr>
        <w:spacing w:after="160" w:line="320" w:lineRule="auto"/>
        <w:ind w:firstLine="420"/>
        <w:jc w:val="both"/>
      </w:pPr>
      <w:r>
        <w:rPr>
          <w:rFonts w:ascii="Calibri" w:hAnsi="Calibri" w:eastAsia="宋体"/>
          <w:color w:val="172033"/>
          <w:sz w:val="22"/>
        </w:rPr>
        <w:t>本研究的主要贡献在于把主题语义、时间动量和网络结构放入同一预测框架，从而避免仅凭高频词或单一中心性判断技术前景。主题聚类揭示技术功能结构，时间序列描述活动变化，IPC网络反映知识组合与桥接位置；三者一致时，预测可信度相对更高。</w:t>
      </w:r>
    </w:p>
    <w:p>
      <w:pPr>
        <w:spacing w:after="160" w:line="320" w:lineRule="auto"/>
        <w:ind w:firstLine="420"/>
        <w:jc w:val="both"/>
      </w:pPr>
      <w:r>
        <w:rPr>
          <w:rFonts w:ascii="Calibri" w:hAnsi="Calibri" w:eastAsia="宋体"/>
          <w:color w:val="172033"/>
          <w:sz w:val="22"/>
        </w:rPr>
        <w:t>局限性主要包括：第一，Excel记录与论文样本数存在13条差异；第二，2025年为部分年度且可能受到专利公开滞后影响，2025完整年度与2026均为模型估计；第三，时间标签来自检索词集合，不等同于BERTopic逐文档主题概率；第四，T5与T9使用词项代理，样本量小；第五，IPC网络中心性反映结构位置，不直接等同于市场规模、技术成熟度或社会收益；第六，外推模型未引入宏观政策、资本投入、成本曲线和专家德尔菲结果；第七，2036—2040路线属于条件性情景，随标准、法规、成本和安全验证进展滚动修订。因此，结果适合用于技术监测与优先级讨论，不宜解释为确定性预测。</w:t>
      </w:r>
    </w:p>
    <w:p>
      <w:pPr>
        <w:pStyle w:val="Heading1"/>
      </w:pPr>
      <w:r>
        <w:t>7 结论</w:t>
      </w:r>
    </w:p>
    <w:p>
      <w:pPr>
        <w:spacing w:after="160" w:line="320" w:lineRule="auto"/>
        <w:ind w:firstLine="420"/>
        <w:jc w:val="both"/>
      </w:pPr>
      <w:r>
        <w:rPr>
          <w:rFonts w:ascii="Calibri" w:hAnsi="Calibri" w:eastAsia="宋体"/>
          <w:color w:val="172033"/>
          <w:sz w:val="22"/>
        </w:rPr>
        <w:t>本研究的多源证据一致支持一个系统性判断：2027—2040年智能建造的主要演化单元将由孤立技术转向可验证、可追溯的技术组合。施工全过程数字孪生在三种权重情景下均位列第一，表明其作为现场状态估计与控制层的相对优先级具有稳健性；多专业协同平台、建筑工程大模型和参数化/生成式设计形成第二梯队，并通过G06F30、G06N3与G06Q50等共享节点产生耦合。机器人集群协同的核心变量将由设备数量转向异构任务协同与安全重规划；装配式建筑、增材制造和可重构设计则更可能作为规模化定制、混合制造与循环建造的工程载体。</w:t>
      </w:r>
    </w:p>
    <w:p>
      <w:pPr>
        <w:spacing w:after="160" w:line="320" w:lineRule="auto"/>
        <w:ind w:firstLine="420"/>
        <w:jc w:val="both"/>
      </w:pPr>
      <w:r>
        <w:rPr>
          <w:rFonts w:ascii="Calibri" w:hAnsi="Calibri" w:eastAsia="宋体"/>
          <w:color w:val="172033"/>
          <w:sz w:val="22"/>
        </w:rPr>
        <w:t>上述结论应按条件性预测解释。2025完整年度与2026的活动量为模型估计，不能替代后续真实观测；2036—2040阶段尤其依赖开放接口、法规机器可读、模型验证、故障降级、全寿命碳核算及责任边界的共同成熟。实践上，研发与政策资源宜优先配置于可信数据底座、项目级闭环验证和跨系统互操作，并通过“年度更新—场景验证—证伪调整”机制，以中心性迁移、跨项目复用、经济性、安全性和合规性持续校正路线图。</w:t>
      </w:r>
    </w:p>
    <w:p>
      <w:pPr>
        <w:pStyle w:val="Heading1"/>
      </w:pPr>
      <w:r>
        <w:t>附录A  年度主题代理计数</w:t>
      </w:r>
    </w:p>
    <w:tbl>
      <w:tblPr>
        <w:tblW w:type="dxa" w:w="9360"/>
        <w:tblLayout w:type="fixed"/>
        <w:tblLook w:firstColumn="1" w:firstRow="1" w:lastColumn="0" w:lastRow="0" w:noHBand="0" w:noVBand="1" w:val="04A0"/>
        <w:jc w:val="left"/>
        <w:tblInd w:type="dxa" w:w="120"/>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Pr>
      <w:tblGrid>
        <w:gridCol w:w="2100"/>
        <w:gridCol w:w="726"/>
        <w:gridCol w:w="726"/>
        <w:gridCol w:w="726"/>
        <w:gridCol w:w="726"/>
        <w:gridCol w:w="726"/>
        <w:gridCol w:w="726"/>
        <w:gridCol w:w="726"/>
        <w:gridCol w:w="726"/>
        <w:gridCol w:w="726"/>
        <w:gridCol w:w="726"/>
      </w:tblGrid>
      <w:tr>
        <w:trPr>
          <w:tblHeader w:val="true"/>
        </w:trPr>
        <w:tc>
          <w:tcPr>
            <w:tcW w:type="dxa" w:w="2100"/>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主题</w:t>
            </w:r>
          </w:p>
        </w:tc>
        <w:tc>
          <w:tcPr>
            <w:tcW w:type="dxa" w:w="726"/>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2015</w:t>
            </w:r>
          </w:p>
        </w:tc>
        <w:tc>
          <w:tcPr>
            <w:tcW w:type="dxa" w:w="726"/>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2016</w:t>
            </w:r>
          </w:p>
        </w:tc>
        <w:tc>
          <w:tcPr>
            <w:tcW w:type="dxa" w:w="726"/>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2017</w:t>
            </w:r>
          </w:p>
        </w:tc>
        <w:tc>
          <w:tcPr>
            <w:tcW w:type="dxa" w:w="726"/>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2018</w:t>
            </w:r>
          </w:p>
        </w:tc>
        <w:tc>
          <w:tcPr>
            <w:tcW w:type="dxa" w:w="726"/>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2019</w:t>
            </w:r>
          </w:p>
        </w:tc>
        <w:tc>
          <w:tcPr>
            <w:tcW w:type="dxa" w:w="726"/>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2020</w:t>
            </w:r>
          </w:p>
        </w:tc>
        <w:tc>
          <w:tcPr>
            <w:tcW w:type="dxa" w:w="726"/>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2021</w:t>
            </w:r>
          </w:p>
        </w:tc>
        <w:tc>
          <w:tcPr>
            <w:tcW w:type="dxa" w:w="726"/>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2022</w:t>
            </w:r>
          </w:p>
        </w:tc>
        <w:tc>
          <w:tcPr>
            <w:tcW w:type="dxa" w:w="726"/>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2023</w:t>
            </w:r>
          </w:p>
        </w:tc>
        <w:tc>
          <w:tcPr>
            <w:tcW w:type="dxa" w:w="726"/>
            <w:tcMar>
              <w:top w:w="80" w:type="dxa"/>
              <w:start w:w="120" w:type="dxa"/>
              <w:bottom w:w="80" w:type="dxa"/>
              <w:end w:w="120" w:type="dxa"/>
            </w:tcMar>
            <w:shd w:fill="0F2B46"/>
            <w:vAlign w:val="center"/>
          </w:tcPr>
          <w:p>
            <w:pPr>
              <w:spacing w:before="40" w:after="40"/>
              <w:jc w:val="center"/>
            </w:pPr>
            <w:r>
              <w:rPr>
                <w:rFonts w:ascii="Calibri" w:hAnsi="Calibri" w:eastAsia="微软雅黑"/>
                <w:b/>
                <w:color w:val="FFFFFF"/>
                <w:sz w:val="14"/>
              </w:rPr>
              <w:t>2024</w:t>
            </w:r>
          </w:p>
        </w:tc>
      </w:tr>
      <w:tr>
        <w:tc>
          <w:tcPr>
            <w:tcW w:type="dxa" w:w="21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T1 多专业协同平台</w:t>
            </w:r>
          </w:p>
        </w:tc>
        <w:tc>
          <w:tcPr>
            <w:tcW w:type="dxa" w:w="726"/>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14</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22</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37</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57</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76</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111</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244</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283</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252</w:t>
            </w:r>
          </w:p>
        </w:tc>
        <w:tc>
          <w:tcPr>
            <w:tcW w:type="dxa" w:w="726"/>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301</w:t>
            </w:r>
          </w:p>
        </w:tc>
      </w:tr>
      <w:tr>
        <w:tc>
          <w:tcPr>
            <w:tcW w:type="dxa" w:w="21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T2 参数化与生成式设计</w:t>
            </w:r>
          </w:p>
        </w:tc>
        <w:tc>
          <w:tcPr>
            <w:tcW w:type="dxa" w:w="726"/>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0</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0</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4</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0</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4</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6</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5</w:t>
            </w:r>
          </w:p>
        </w:tc>
        <w:tc>
          <w:tcPr>
            <w:tcW w:type="dxa" w:w="726"/>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11</w:t>
            </w:r>
          </w:p>
        </w:tc>
      </w:tr>
      <w:tr>
        <w:tc>
          <w:tcPr>
            <w:tcW w:type="dxa" w:w="21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T3 机器人集群协同</w:t>
            </w:r>
          </w:p>
        </w:tc>
        <w:tc>
          <w:tcPr>
            <w:tcW w:type="dxa" w:w="726"/>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21</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47</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61</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80</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95</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167</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350</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456</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192</w:t>
            </w:r>
          </w:p>
        </w:tc>
        <w:tc>
          <w:tcPr>
            <w:tcW w:type="dxa" w:w="726"/>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199</w:t>
            </w:r>
          </w:p>
        </w:tc>
      </w:tr>
      <w:tr>
        <w:tc>
          <w:tcPr>
            <w:tcW w:type="dxa" w:w="21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T4 施工全过程数字孪生</w:t>
            </w:r>
          </w:p>
        </w:tc>
        <w:tc>
          <w:tcPr>
            <w:tcW w:type="dxa" w:w="726"/>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8</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8</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20</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17</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26</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24</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98</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121</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83</w:t>
            </w:r>
          </w:p>
        </w:tc>
        <w:tc>
          <w:tcPr>
            <w:tcW w:type="dxa" w:w="726"/>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130</w:t>
            </w:r>
          </w:p>
        </w:tc>
      </w:tr>
      <w:tr>
        <w:tc>
          <w:tcPr>
            <w:tcW w:type="dxa" w:w="21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T5 智能规范审查</w:t>
            </w:r>
          </w:p>
        </w:tc>
        <w:tc>
          <w:tcPr>
            <w:tcW w:type="dxa" w:w="726"/>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0</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0</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0</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0</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0</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0</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0</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w:t>
            </w:r>
          </w:p>
        </w:tc>
        <w:tc>
          <w:tcPr>
            <w:tcW w:type="dxa" w:w="726"/>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2</w:t>
            </w:r>
          </w:p>
        </w:tc>
      </w:tr>
      <w:tr>
        <w:tc>
          <w:tcPr>
            <w:tcW w:type="dxa" w:w="21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T6 建筑工程大模型</w:t>
            </w:r>
          </w:p>
        </w:tc>
        <w:tc>
          <w:tcPr>
            <w:tcW w:type="dxa" w:w="726"/>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0</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0</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0</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0</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4</w:t>
            </w:r>
          </w:p>
        </w:tc>
        <w:tc>
          <w:tcPr>
            <w:tcW w:type="dxa" w:w="726"/>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24</w:t>
            </w:r>
          </w:p>
        </w:tc>
      </w:tr>
      <w:tr>
        <w:tc>
          <w:tcPr>
            <w:tcW w:type="dxa" w:w="21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T7 装配式建筑</w:t>
            </w:r>
          </w:p>
        </w:tc>
        <w:tc>
          <w:tcPr>
            <w:tcW w:type="dxa" w:w="726"/>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10</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18</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32</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80</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136</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194</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267</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218</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170</w:t>
            </w:r>
          </w:p>
        </w:tc>
        <w:tc>
          <w:tcPr>
            <w:tcW w:type="dxa" w:w="726"/>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145</w:t>
            </w:r>
          </w:p>
        </w:tc>
      </w:tr>
      <w:tr>
        <w:tc>
          <w:tcPr>
            <w:tcW w:type="dxa" w:w="2100"/>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T8 建筑规模增材制造</w:t>
            </w:r>
          </w:p>
        </w:tc>
        <w:tc>
          <w:tcPr>
            <w:tcW w:type="dxa" w:w="726"/>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12</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19</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23</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38</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48</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51</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91</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120</w:t>
            </w:r>
          </w:p>
        </w:tc>
        <w:tc>
          <w:tcPr>
            <w:tcW w:type="dxa" w:w="726"/>
            <w:shd w:fill="F4F6F9"/>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68</w:t>
            </w:r>
          </w:p>
        </w:tc>
        <w:tc>
          <w:tcPr>
            <w:tcW w:type="dxa" w:w="726"/>
            <w:shd w:fill="F4F6F9"/>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53</w:t>
            </w:r>
          </w:p>
        </w:tc>
      </w:tr>
      <w:tr>
        <w:tc>
          <w:tcPr>
            <w:tcW w:type="dxa" w:w="2100"/>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T9 模块化与可重构设计</w:t>
            </w:r>
          </w:p>
        </w:tc>
        <w:tc>
          <w:tcPr>
            <w:tcW w:type="dxa" w:w="726"/>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1</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2</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3</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4</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3</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6</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12</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11</w:t>
            </w:r>
          </w:p>
        </w:tc>
        <w:tc>
          <w:tcPr>
            <w:tcW w:type="dxa" w:w="726"/>
            <w:vAlign w:val="center"/>
            <w:tcMar>
              <w:top w:w="80" w:type="dxa"/>
              <w:start w:w="120" w:type="dxa"/>
              <w:bottom w:w="80" w:type="dxa"/>
              <w:end w:w="120" w:type="dxa"/>
            </w:tcMar>
          </w:tcPr>
          <w:p>
            <w:pPr>
              <w:spacing w:before="20" w:after="20" w:line="264" w:lineRule="auto"/>
              <w:jc w:val="center"/>
            </w:pPr>
            <w:r>
              <w:rPr>
                <w:rFonts w:ascii="Calibri" w:hAnsi="Calibri" w:eastAsia="宋体"/>
                <w:color w:val="172033"/>
                <w:sz w:val="14"/>
              </w:rPr>
              <w:t>6</w:t>
            </w:r>
          </w:p>
        </w:tc>
        <w:tc>
          <w:tcPr>
            <w:tcW w:type="dxa" w:w="726"/>
            <w:vAlign w:val="center"/>
            <w:tcMar>
              <w:top w:w="80" w:type="dxa"/>
              <w:start w:w="120" w:type="dxa"/>
              <w:bottom w:w="80" w:type="dxa"/>
              <w:end w:w="120" w:type="dxa"/>
            </w:tcMar>
          </w:tcPr>
          <w:p>
            <w:pPr>
              <w:spacing w:before="20" w:after="20" w:line="264" w:lineRule="auto"/>
              <w:jc w:val="left"/>
            </w:pPr>
            <w:r>
              <w:rPr>
                <w:rFonts w:ascii="Calibri" w:hAnsi="Calibri" w:eastAsia="宋体"/>
                <w:color w:val="172033"/>
                <w:sz w:val="14"/>
              </w:rPr>
              <w:t>9</w:t>
            </w:r>
          </w:p>
        </w:tc>
      </w:tr>
    </w:tbl>
    <w:p>
      <w:pPr>
        <w:pStyle w:val="Caption"/>
        <w:spacing w:before="100" w:after="160"/>
        <w:jc w:val="center"/>
      </w:pPr>
      <w:r>
        <w:rPr>
          <w:rFonts w:ascii="Calibri" w:hAnsi="Calibri" w:eastAsia="宋体"/>
          <w:color w:val="5B6573"/>
          <w:sz w:val="18"/>
        </w:rPr>
        <w:t>注：本表仅列完整观测年度。2025年为截尾观测，2025完整年度与2026的模型估计见表3；T5与T9为词项代理。</w:t>
      </w:r>
    </w:p>
    <w:p>
      <w:pPr>
        <w:pStyle w:val="Heading1"/>
      </w:pPr>
      <w:r>
        <w:t>附录B  证据追溯与方法说明</w:t>
      </w:r>
    </w:p>
    <w:p>
      <w:pPr>
        <w:spacing w:after="160" w:line="320" w:lineRule="auto"/>
        <w:ind w:firstLine="420"/>
        <w:jc w:val="both"/>
      </w:pPr>
      <w:r>
        <w:rPr>
          <w:rFonts w:ascii="Calibri" w:hAnsi="Calibri" w:eastAsia="宋体"/>
          <w:color w:val="172033"/>
          <w:sz w:val="22"/>
        </w:rPr>
        <w:t>E1：论文初稿《基于动态演化的智能建造领域关键技术识别及预测》，用于BERTopic主题、聚类关系、生命周期与IPC解释。E2：专利主题时间表，用于申请年、检索标签与主题代理时序。E3：IPCnetwork结果，用于三个阶段的Degree、Betweenness、Closeness、Eigenvector与Eccentricity指标。所有材料均在本地处理，未上传外部服务。</w:t>
      </w:r>
    </w:p>
    <w:p>
      <w:pPr>
        <w:spacing w:after="160" w:line="320" w:lineRule="auto"/>
        <w:ind w:firstLine="420"/>
        <w:jc w:val="both"/>
      </w:pPr>
      <w:r>
        <w:rPr>
          <w:rFonts w:ascii="Calibri" w:hAnsi="Calibri" w:eastAsia="宋体"/>
          <w:color w:val="172033"/>
          <w:sz w:val="22"/>
        </w:rPr>
        <w:t>方法程序化规范参考：Kassis, T., Agarwal, V., He, Y., Patel, D., &amp; Brueckner, A. M. (2026). Scientific Agent Skills: A Library of Procedural Knowledge for Research Agents. arXiv:2609.00065. https://doi.org/10.48550/arXiv.2609.00065。该文献仅说明科学写作与可视化流程规范，不作为本报告技术预测结论的外部证据。</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宋体"/>
        <w:color w:val="5B6573"/>
        <w:sz w:val="16"/>
      </w:rPr>
      <w:t xml:space="preserve">Page </w:t>
    </w:r>
    <w:r>
      <w:rPr>
        <w:rFonts w:ascii="Calibri" w:hAnsi="Calibri" w:eastAsia="宋体"/>
        <w:color w:val="5B6573"/>
        <w:sz w:val="16"/>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微软雅黑"/>
        <w:color w:val="5B6573"/>
        <w:sz w:val="16"/>
      </w:rPr>
      <w:t>智能建造关键技术预测 | 多源证据融合报告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eastAsia="宋体"/>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eastAsia="微软雅黑"/>
      <w:b/>
      <w:color w:val="0F2B4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ascii="Calibri" w:hAnsi="Calibri" w:eastAsia="微软雅黑"/>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宋体"/>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智能建造领域关键技术预测成果与发展路线图</dc:title>
  <dc:subject>BERTopic主题演化与IPC动态网络的多源证据融合</dc:subject>
  <dc:creator>Research analysis workflow</dc:creator>
  <cp:keywords>智能建造, BERTopic, IPC网络, 技术预测, 技术路线图</cp:keywords>
  <dc:description>generated by python-docx</dc:description>
  <cp:lastModifiedBy/>
  <cp:revision>1</cp:revision>
  <dcterms:created xsi:type="dcterms:W3CDTF">2013-12-23T23:15:00Z</dcterms:created>
  <dcterms:modified xsi:type="dcterms:W3CDTF">2013-12-23T23:15:00Z</dcterms:modified>
  <cp:category/>
</cp:coreProperties>
</file>