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xmlns:w="http://schemas.openxmlformats.org/wordprocessingml/2006/main">
      <w:pPr>
        <w:pStyle w:val="2"/>
        <w:numPr>
          <w:numId w:val="0"/>
        </w:numPr>
      </w:pPr>
      <w:r>
        <w:t xml:space="preserve">第3章 智能建造技术发展态势与生命周期阶段分析</w:t>
      </w:r>
    </w:p>
    <w:p xmlns:w="http://schemas.openxmlformats.org/wordprocessingml/2006/main">
      <w:pPr>
        <w:spacing w:line="480" w:lineRule="auto"/>
        <w:ind w:firstLine="480" w:firstLineChars="200"/>
        <w:rPr>
          <w:rFonts w:ascii="宋体" w:hAnsi="宋体" w:eastAsia="宋体"/>
          <w:sz w:val="24"/>
          <w:szCs w:val="24"/>
        </w:rPr>
      </w:pPr>
      <w:r>
        <w:t xml:space="preserve">智能建造关键技术的形成与其所处的发展阶段、技术构成及创新活动密切相关。第二章从生命周期与知识组合的角度说明了技术成长和关联变化的理论基础，本章据此将研究对象落实到专利与期刊文献样本，从时间变化、技术分布和创新主体三个方面考察智能建造领域的发展态势。分析重点在于辨明技术活动的增长特征及其工程内容，为第四章比较不同阶段的技术关联结构提供时间背景和语义参照。专利与文献分别呈现技术方案和学术研究的不同侧面，将两类材料相互对照，有助于形成对领域技术环境较为完整的认识。</w:t>
      </w:r>
    </w:p>
    <w:p xmlns:w="http://schemas.openxmlformats.org/wordprocessingml/2006/main">
      <w:pPr>
        <w:pStyle w:val="3"/>
        <w:numPr>
          <w:numId w:val="0"/>
        </w:numPr>
      </w:pPr>
      <w:r>
        <w:t xml:space="preserve">3.1 数据来源与预处理</w:t>
      </w:r>
    </w:p>
    <w:p xmlns:w="http://schemas.openxmlformats.org/wordprocessingml/2006/main">
      <w:pPr>
        <w:pStyle w:val="4"/>
        <w:numPr>
          <w:numId w:val="0"/>
        </w:numPr>
      </w:pPr>
      <w:r>
        <w:t xml:space="preserve">3.1.1 数据来源与检索策略</w:t>
      </w:r>
    </w:p>
    <w:p xmlns:w="http://schemas.openxmlformats.org/wordprocessingml/2006/main">
      <w:pPr>
        <w:spacing w:line="480" w:lineRule="auto"/>
        <w:ind w:firstLine="480" w:firstLineChars="200"/>
        <w:rPr>
          <w:rFonts w:ascii="宋体" w:hAnsi="宋体" w:eastAsia="宋体"/>
          <w:sz w:val="24"/>
          <w:szCs w:val="24"/>
        </w:rPr>
      </w:pPr>
      <w:r>
        <w:t xml:space="preserve">本研究以incoPat专利数据库和中国知网为数据来源，检索时间范围为2010年1月1日至2025年10月1日。专利样本限定于土木建筑领域，文献样本限定于建筑科学与工程学科的期刊文献，现有统计样本分别为5926项专利和6758篇文献。两类样本均围绕智能建造的工程应用范围组织，专利用于观察技术方案的形成、分类联系及申请主体分布，期刊文献用于分析研究关注点及相关技术的工程解释。数据库的收录范围和筛选条件构成本文结论的适用边界，样本规模表示既定检索条件下所获得的记录数量。</w:t>
      </w:r>
    </w:p>
    <w:p xmlns:w="http://schemas.openxmlformats.org/wordprocessingml/2006/main">
      <w:pPr>
        <w:spacing w:line="480" w:lineRule="auto"/>
        <w:ind w:firstLine="480" w:firstLineChars="200"/>
        <w:rPr>
          <w:rFonts w:ascii="宋体" w:hAnsi="宋体" w:eastAsia="宋体"/>
          <w:sz w:val="24"/>
          <w:szCs w:val="24"/>
        </w:rPr>
      </w:pPr>
      <w:r>
        <w:t xml:space="preserve">检索词的选择以第二章界定的五个子领域为基础，将工程功能与具体技术名称相结合。工程软件侧重BIM、数字设计、参数化设计、生成式设计、工程分析、工程模拟与仿真、智能设计等关键词；工程物联网侧重智慧工地与施工监测；构件智能生产涵盖装配式建筑和3D打印；智能施工机械涵盖建筑机器人、盾构机、塔吊与造桥机等装备；工程大数据与互联网平台涉及大数据、大模型、自然语言处理、数字孪生和区块链等技术。部分关键词同时关联多个子领域，其作用是拓展检索覆盖范围，而不预先确定样本在后续分析中的唯一归属。</w:t>
      </w:r>
    </w:p>
    <w:p xmlns:w="http://schemas.openxmlformats.org/wordprocessingml/2006/main">
      <w:pPr>
        <w:spacing w:line="480" w:lineRule="auto"/>
        <w:ind w:firstLine="480" w:firstLineChars="200"/>
        <w:rPr>
          <w:rFonts w:ascii="宋体" w:hAnsi="宋体" w:eastAsia="宋体"/>
          <w:sz w:val="24"/>
          <w:szCs w:val="24"/>
        </w:rPr>
      </w:pPr>
      <w:r>
        <w:t xml:space="preserve">表3-1列示了既有研究记录中的检索词、时间范围及样本数量。检索式以题名字段连接技术关键词，能够将样本集中于明确讨论相关技术的记录。题名检索也意味着，未在题名中直接使用上述术语、但在正文中包含相关技术内容的记录可能未被纳入。因此，本研究据此讨论的是可检索技术活动的分布特征，技术名称出现较少与工程作用有限之间仍有区别。对于同义表述及跨领域通用词，技术内容与土木建筑应用对象的关联构成判定样本相关性的依据。</w:t>
      </w:r>
    </w:p>
    <w:p xmlns:w="http://schemas.openxmlformats.org/wordprocessingml/2006/main">
      <w:pPr>
        <w:spacing w:line="480" w:lineRule="auto"/>
        <w:ind w:firstLine="480" w:firstLineChars="200"/>
        <w:rPr>
          <w:rFonts w:ascii="宋体" w:hAnsi="宋体" w:eastAsia="宋体"/>
          <w:sz w:val="24"/>
          <w:szCs w:val="24"/>
        </w:rPr>
      </w:pPr>
      <w:r>
        <w:t xml:space="preserve">表3-1 专利与文献检索词及样本数量</w:t>
      </w:r>
    </w:p>
    <w:tbl xmlns:ns1="http://schemas.microsoft.com/office/word/2010/wordml" xmlns:w="http://schemas.openxmlformats.org/wordprocessingml/2006/main">
      <w:tblPr>
        <w:tblStyle w:val="37"/>
        <w:tblW w:w="8866" w:type="dxa"/>
        <w:jc w:val="center"/>
        <w:tblBorders>
          <w:top w:val="single" w:color="auto" w:sz="4"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04"/>
        <w:gridCol w:w="4539"/>
        <w:gridCol w:w="2923"/>
      </w:tblGrid>
      <w:tr ns1:paraId="19FDDB14">
        <w:trPr>
          <w:jc w:val="center"/>
        </w:trPr>
        <w:tc>
          <w:tcPr>
            <w:tcW w:w="1404" w:type="dxa"/>
            <w:tcBorders>
              <w:bottom w:val="single" w:color="auto" w:sz="4" w:space="0"/>
            </w:tcBorders>
          </w:tcPr>
          <w:p ns1:paraId="011C4C61">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数据库</w:t>
            </w:r>
          </w:p>
        </w:tc>
        <w:tc>
          <w:tcPr>
            <w:tcW w:w="4539" w:type="dxa"/>
            <w:tcBorders>
              <w:bottom w:val="single" w:color="auto" w:sz="4" w:space="0"/>
            </w:tcBorders>
          </w:tcPr>
          <w:p ns1:paraId="35AAC83B">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incopPat</w:t>
            </w:r>
          </w:p>
        </w:tc>
        <w:tc>
          <w:tcPr>
            <w:tcW w:w="2923" w:type="dxa"/>
            <w:tcBorders>
              <w:bottom w:val="single" w:color="auto" w:sz="4" w:space="0"/>
            </w:tcBorders>
          </w:tcPr>
          <w:p ns1:paraId="73D0529A">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中国知网</w:t>
            </w:r>
          </w:p>
        </w:tc>
      </w:tr>
      <w:tr ns1:paraId="64563DCF">
        <w:trPr>
          <w:trHeight w:val="1984" w:hRule="atLeast"/>
          <w:jc w:val="center"/>
        </w:trPr>
        <w:tc>
          <w:tcPr>
            <w:tcW w:w="1404" w:type="dxa"/>
            <w:tcBorders>
              <w:top w:val="single" w:color="auto" w:sz="4" w:space="0"/>
            </w:tcBorders>
          </w:tcPr>
          <w:p ns1:paraId="3ACA4E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检索词</w:t>
            </w:r>
          </w:p>
        </w:tc>
        <w:tc>
          <w:tcPr>
            <w:tcW w:w="7462" w:type="dxa"/>
            <w:gridSpan w:val="2"/>
            <w:tcBorders>
              <w:top w:val="single" w:color="auto" w:sz="4" w:space="0"/>
            </w:tcBorders>
          </w:tcPr>
          <w:p ns1:paraId="7E42D0EE">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TI=(BIM) OR TI=(数字设计) OR TI=(参数化设计) OR TI=(生成式设计) OR TI=(工程分析) OR (TI=(工程模拟) OR TI=(工程仿真)) OR TI=(智能设计) OR TI=(智慧工地) OR TI=(施工监测) OR TI=(智能施工) OR TI=(建筑机器人) OR TI=(盾构机) OR TI=(塔吊) OR TI=(造桥机)  OR TI=(大数据) OR TI=(大模型) OR TI=(自然语言处理) OR TI=(数字孪生) OR TI=(区块链) OR TI=(3D打印) OR TI=(装配式建筑)</w:t>
            </w:r>
          </w:p>
        </w:tc>
      </w:tr>
      <w:tr ns1:paraId="749AC353">
        <w:trPr>
          <w:jc w:val="center"/>
        </w:trPr>
        <w:tc>
          <w:tcPr>
            <w:tcW w:w="1404" w:type="dxa"/>
          </w:tcPr>
          <w:p ns1:paraId="5B8E1812">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年份区间</w:t>
            </w:r>
          </w:p>
        </w:tc>
        <w:tc>
          <w:tcPr>
            <w:tcW w:w="7462" w:type="dxa"/>
            <w:gridSpan w:val="2"/>
          </w:tcPr>
          <w:p ns1:paraId="753E5DA0">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2010.1.1-2025.10.1(2025年部分)</w:t>
            </w:r>
          </w:p>
        </w:tc>
      </w:tr>
      <w:tr ns1:paraId="7D5A2C3D">
        <w:trPr>
          <w:jc w:val="center"/>
        </w:trPr>
        <w:tc>
          <w:tcPr>
            <w:tcW w:w="1404" w:type="dxa"/>
          </w:tcPr>
          <w:p ns1:paraId="70443F4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专利/文献数量</w:t>
            </w:r>
          </w:p>
        </w:tc>
        <w:tc>
          <w:tcPr>
            <w:tcW w:w="4539" w:type="dxa"/>
            <w:vAlign w:val="center"/>
          </w:tcPr>
          <w:p ns1:paraId="053BCDC7">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5926</w:t>
            </w:r>
          </w:p>
        </w:tc>
        <w:tc>
          <w:tcPr>
            <w:tcW w:w="2923" w:type="dxa"/>
            <w:vAlign w:val="center"/>
          </w:tcPr>
          <w:p ns1:paraId="6251F613">
            <w:pPr>
              <w:adjustRightInd w:val="0"/>
              <w:snapToGrid w:val="0"/>
              <w:spacing w:line="360" w:lineRule="auto"/>
              <w:jc w:val="center"/>
              <w:rPr>
                <w:rFonts w:ascii="Times New Roman" w:hAnsi="Times New Roman" w:eastAsia="宋体" w:cs="Times New Roman"/>
                <w:sz w:val="24"/>
                <w:szCs w:val="24"/>
              </w:rPr>
            </w:pPr>
            <w:r>
              <w:rPr>
                <w:rFonts w:hint="eastAsia" w:ascii="Times New Roman" w:hAnsi="Times New Roman" w:eastAsia="宋体" w:cs="Times New Roman"/>
                <w:sz w:val="24"/>
                <w:szCs w:val="24"/>
              </w:rPr>
              <w:t>6758</w:t>
            </w:r>
          </w:p>
        </w:tc>
      </w:tr>
    </w:tbl>
    <w:p xmlns:w="http://schemas.openxmlformats.org/wordprocessingml/2006/main">
      <w:pPr>
        <w:pStyle w:val="4"/>
        <w:numPr>
          <w:numId w:val="0"/>
        </w:numPr>
      </w:pPr>
      <w:r>
        <w:t xml:space="preserve">3.1.2 样本筛选、去重与清洗</w:t>
      </w:r>
    </w:p>
    <w:p xmlns:w="http://schemas.openxmlformats.org/wordprocessingml/2006/main">
      <w:pPr>
        <w:spacing w:line="480" w:lineRule="auto"/>
        <w:ind w:firstLine="480" w:firstLineChars="200"/>
        <w:rPr>
          <w:rFonts w:ascii="宋体" w:hAnsi="宋体" w:eastAsia="宋体"/>
          <w:sz w:val="24"/>
          <w:szCs w:val="24"/>
        </w:rPr>
      </w:pPr>
      <w:r>
        <w:t xml:space="preserve">检索样本的可比性取决于记录层面的一致性。对于大数据、工程分析及智能设计等应用范围较广的术语，仅依据关键词命中难以判断记录是否属于智能建造。本文采用工程任务作为相关性解释标准：研究对象应与建筑设计、构件生产、施工执行、工程监测或建造信息管理形成明确联系。单纯涉及通用计算方法而缺少建造应用对象的内容，与直接服务于工程问题的技术方案具有不同的研究含义。以题名、摘要和分类信息共同理解样本，能够使领域边界与第二章的概念界定保持一致。</w:t>
      </w:r>
    </w:p>
    <w:p xmlns:w="http://schemas.openxmlformats.org/wordprocessingml/2006/main">
      <w:pPr>
        <w:spacing w:line="480" w:lineRule="auto"/>
        <w:ind w:firstLine="480" w:firstLineChars="200"/>
        <w:rPr>
          <w:rFonts w:ascii="宋体" w:hAnsi="宋体" w:eastAsia="宋体"/>
          <w:sz w:val="24"/>
          <w:szCs w:val="24"/>
        </w:rPr>
      </w:pPr>
      <w:r>
        <w:t xml:space="preserve">专利记录的处理还涉及同一申请的不同公开阶段以及同族专利之间的关系。公布号、公告号和申请号承担不同的标识功能，以不同编号直接计数可能影响样本规模。本文沿用现有记录所报告的5926项专利开展分析，其统计单位暂表述为专利样本记录；在缺少完整去重日志的情况下，不将其改称为5926个专利家族，也不将全部记录认定为授权专利。专利示例中保留原公布或公告标识，便于后续追溯具体技术内容。文献样本同样以既有记录为基础，篇名、期刊和发表年份用于区分研究对象，重复收录及版本关系则依赖原始导出记录确认。</w:t>
      </w:r>
    </w:p>
    <w:p xmlns:w="http://schemas.openxmlformats.org/wordprocessingml/2006/main">
      <w:pPr>
        <w:spacing w:line="480" w:lineRule="auto"/>
        <w:ind w:firstLine="480" w:firstLineChars="200"/>
        <w:rPr>
          <w:rFonts w:ascii="宋体" w:hAnsi="宋体" w:eastAsia="宋体"/>
          <w:sz w:val="24"/>
          <w:szCs w:val="24"/>
        </w:rPr>
      </w:pPr>
      <w:r>
        <w:t xml:space="preserve">数据清洗在本章中主要体现为统计解释的一致性要求。时间信息应对应具体记录的申请或发表活动，技术名称应在同义表述之间保持统一，申请主体名称应保留可追溯的对应关系。涉及多项IPC分类的专利，其类别信息是后续共现网络的基础，清洗时应区分同一记录内的重复分类与不同类别的共同出现。现有材料包括论文统计、年度图示与专利主题时间工作簿。工作簿保存5913条记录，可用于核对申请年份、题名、已有标签和IPC信息；其记录数比论文报告的5926项少13条，因此本文将其作为分期整理的辅助样本，不直接替换原有统计总体。辅助整理保留来源行号和原始字段，按申请日期划入统一时间窗口，技术标签依照工作簿原有分组向下继承，并在子领域内按题名与申请年份组合进行近似去重。这一操作用于控制同一分类内重复文本对数量的影响，其结果仍不同于按申请号或专利族归并后的独立发明数量。[待补充：两个数据库的完整检索记录、领域及法律状态过滤条件、5926项样本的唯一标识与清洗日志，以及工作簿与论文总样本相差13条的对应记录。]</w:t>
      </w:r>
    </w:p>
    <w:p xmlns:w="http://schemas.openxmlformats.org/wordprocessingml/2006/main">
      <w:pPr>
        <w:pStyle w:val="4"/>
        <w:numPr>
          <w:numId w:val="0"/>
        </w:numPr>
      </w:pPr>
      <w:r>
        <w:t xml:space="preserve">3.1.3 分析单位、统计口径与技术范围</w:t>
      </w:r>
    </w:p>
    <w:p xmlns:w="http://schemas.openxmlformats.org/wordprocessingml/2006/main">
      <w:pPr>
        <w:spacing w:line="480" w:lineRule="auto"/>
        <w:ind w:firstLine="480" w:firstLineChars="200"/>
        <w:rPr>
          <w:rFonts w:ascii="宋体" w:hAnsi="宋体" w:eastAsia="宋体"/>
          <w:sz w:val="24"/>
          <w:szCs w:val="24"/>
        </w:rPr>
      </w:pPr>
      <w:r>
        <w:t xml:space="preserve">本章从时间、技术和主体三个层次组织统计。时间层面分别观察专利申请与文献发表数量，专利年度数量描述新增技术活动，累计数量用于考察长期增长过程；文献年度数量反映学术研究关注的变化。技术层面采用五个子领域组织内容，并以具体关键词及代表性记录解释内部差异。主体层面依据现有申请人分类，比较企业、高校与科研机构及个人对应的专利规模。三个层次共同回答领域活动如何增长、主要涉及何种技术、由何类主体参与等问题。</w:t>
      </w:r>
    </w:p>
    <w:p xmlns:w="http://schemas.openxmlformats.org/wordprocessingml/2006/main">
      <w:pPr>
        <w:spacing w:line="480" w:lineRule="auto"/>
        <w:ind w:firstLine="480" w:firstLineChars="200"/>
        <w:rPr>
          <w:rFonts w:ascii="宋体" w:hAnsi="宋体" w:eastAsia="宋体"/>
          <w:sz w:val="24"/>
          <w:szCs w:val="24"/>
        </w:rPr>
      </w:pPr>
      <w:r>
        <w:t xml:space="preserve">检索截止时间与完整统计年度并不完全一致。样本检索延伸至2025年10月1日，但2025年仅覆盖部分月份，专利公开的时间差也影响该年度记录的完整程度。专利与文献年度图均包含2010—2025年的记录，图中逐年数量合计分别与5926项专利和6758篇文献一致。因此，观察期末数量变化应结合覆盖区间理解，不以2025年截尾数据直接计算全年增速。不同技术类别之间可能存在交叉，主题数量及占比用于描述关注分布，不据此将所有类别加总为互斥构成。</w:t>
      </w:r>
    </w:p>
    <w:p xmlns:w="http://schemas.openxmlformats.org/wordprocessingml/2006/main">
      <w:pPr>
        <w:spacing w:line="480" w:lineRule="auto"/>
        <w:ind w:firstLine="480" w:firstLineChars="200"/>
        <w:rPr>
          <w:rFonts w:ascii="宋体" w:hAnsi="宋体" w:eastAsia="宋体"/>
          <w:sz w:val="24"/>
          <w:szCs w:val="24"/>
        </w:rPr>
      </w:pPr>
      <w:r>
        <w:t xml:space="preserve">本章所列专利和文献示例用于说明技术任务及研究内容，不构成对全部样本的质量排名。文献表中的引用数沿用原采集记录，表示当时记录的引用情况；申请时间用于定位专利方案出现的时间，公布或公告标识用于检索回溯。将统计结果与技术内容相联系，可以减少仅凭数量高低判断技术重要性的偏差，也为第四章进一步考察技术关系提供明确对象。</w:t>
      </w:r>
    </w:p>
    <w:p xmlns:w="http://schemas.openxmlformats.org/wordprocessingml/2006/main">
      <w:pPr>
        <w:spacing w:line="480" w:lineRule="auto"/>
        <w:ind w:firstLine="480" w:firstLineChars="200"/>
        <w:rPr>
          <w:rFonts w:ascii="宋体" w:hAnsi="宋体" w:eastAsia="宋体"/>
          <w:sz w:val="24"/>
          <w:szCs w:val="24"/>
        </w:rPr>
      </w:pPr>
      <w:r>
        <w:t xml:space="preserve">技术子领域与后续主题识别对应不同分析尺度。五个子领域依据工程功能建立，适合比较设计表达、现场感知、构件制造、设备执行及数据服务的总体分布；第四章的主题来自筛选专利的语义分析，其命名和样本范围由相应方法决定。本章不将已有关键词标签视为主题模型输出，也不依据子领域数量直接认定关键技术。保持分析尺度的区分，使总体态势能够为后续识别提供背景，同时避免宏观分类提前限定微观技术之间的关联。</w:t>
      </w:r>
    </w:p>
    <w:p xmlns:w="http://schemas.openxmlformats.org/wordprocessingml/2006/main">
      <w:pPr>
        <w:pStyle w:val="3"/>
        <w:numPr>
          <w:numId w:val="0"/>
        </w:numPr>
      </w:pPr>
      <w:r>
        <w:t xml:space="preserve">3.2 智能建造技术总体发展态势</w:t>
      </w:r>
    </w:p>
    <w:p xmlns:w="http://schemas.openxmlformats.org/wordprocessingml/2006/main">
      <w:pPr>
        <w:pStyle w:val="4"/>
        <w:numPr>
          <w:numId w:val="0"/>
        </w:numPr>
      </w:pPr>
      <w:r>
        <w:t xml:space="preserve">3.2.1 专利与文献数量变化</w:t>
      </w:r>
    </w:p>
    <w:p xmlns:w="http://schemas.openxmlformats.org/wordprocessingml/2006/main">
      <w:pPr>
        <w:spacing w:line="480" w:lineRule="auto"/>
        <w:ind w:firstLine="480" w:firstLineChars="200"/>
        <w:rPr>
          <w:rFonts w:ascii="宋体" w:hAnsi="宋体" w:eastAsia="宋体"/>
          <w:sz w:val="24"/>
          <w:szCs w:val="24"/>
        </w:rPr>
      </w:pPr>
      <w:r>
        <w:t xml:space="preserve">智能建造专利申请数量在观察期内总体上升，增长强度在不同时段存在差异。2010—2013年申请活动规模较小，四年合计65项，其中2012年年度申请量为24项，表现为早期技术方案的逐步积累。2014—2019年专利活动进一步增加，六年合计1085项，年度数量由2014年的62项增加至2019年的392项。2020—2025年增长更加集中，六年记录合计4776项，其中2020年为560项，2021年增至1071项，2022年达到1225项。上述变化说明，后期样本中可观察的技术方案明显增多，领域技术活动由较小规模的积累转向较大规模的扩展。</w:t>
      </w:r>
    </w:p>
    <w:p xmlns:w="http://schemas.openxmlformats.org/wordprocessingml/2006/main">
      <w:pPr>
        <w:spacing w:line="480" w:lineRule="auto"/>
        <w:ind w:firstLine="480" w:firstLineChars="200"/>
        <w:rPr>
          <w:rFonts w:ascii="宋体" w:hAnsi="宋体" w:eastAsia="宋体"/>
          <w:sz w:val="24"/>
          <w:szCs w:val="24"/>
        </w:rPr>
      </w:pPr>
      <w:r>
        <w:t xml:space="preserve">三个时段的专利量合计为5926项，与总样本一致，其中1085项与4776项均表示对应时段内的申请量合计。较大规模的新增活动并不意味着各年度持续增长：2023年专利量回落至781项，2024年回升至874项，体现出高位波动；2025年现有记录为265项，其下降还受到观察期截尾与公开时间差的影响。因而，2020年后的阶段特征主要表现为相较前期更高的活动规模。专利申请的增长体现了技术方案形成及保护活动的扩展，其与工程部署规模之间的关系还取决于具体技术的实施条件。</w:t>
      </w:r>
    </w:p>
    <w:p xmlns:w="http://schemas.openxmlformats.org/wordprocessingml/2006/main">
      <w:pPr>
        <w:spacing w:line="480" w:lineRule="auto"/>
        <w:ind w:firstLine="480" w:firstLineChars="200"/>
        <w:rPr>
          <w:rFonts w:ascii="宋体" w:hAnsi="宋体" w:eastAsia="宋体"/>
          <w:sz w:val="24"/>
          <w:szCs w:val="24"/>
        </w:rPr>
      </w:pPr>
      <w:r>
        <w:t xml:space="preserve">[图3-1 智能建造相关专利年度数量变化（待插入）]</w:t>
      </w:r>
    </w:p>
    <w:p xmlns:w="http://schemas.openxmlformats.org/wordprocessingml/2006/main">
      <w:pPr>
        <w:spacing w:line="480" w:lineRule="auto"/>
        <w:ind w:firstLine="480" w:firstLineChars="200"/>
        <w:rPr>
          <w:rFonts w:ascii="宋体" w:hAnsi="宋体" w:eastAsia="宋体"/>
          <w:sz w:val="24"/>
          <w:szCs w:val="24"/>
        </w:rPr>
      </w:pPr>
      <w:r>
        <w:t xml:space="preserve">文献数量的变化与专利总体增长方向相近，但后期增势有所不同。2010—2013年，文献发表数量增长较慢，2013年为150篇。2014年增至249篇，2017年达到527篇，显示这一阶段相关问题获得了更多学术关注。2018年与2019年分别为463篇和512篇，2020年增至682篇。2020—2023年数量介于658—690篇之间，表现出相对平稳的发表规模；2024年降至485篇，2025年部分年度记录为567篇。由此，后期文献活动具有平台波动特征，不能将整个时段表述为连续快速增长。专利与文献的时间变化具有联系，同时也反映出研究发表与技术方案形成的不同节奏。</w:t>
      </w:r>
    </w:p>
    <w:p xmlns:w="http://schemas.openxmlformats.org/wordprocessingml/2006/main">
      <w:pPr>
        <w:spacing w:line="480" w:lineRule="auto"/>
        <w:ind w:firstLine="480" w:firstLineChars="200"/>
        <w:rPr>
          <w:rFonts w:ascii="宋体" w:hAnsi="宋体" w:eastAsia="宋体"/>
          <w:sz w:val="24"/>
          <w:szCs w:val="24"/>
        </w:rPr>
      </w:pPr>
      <w:r>
        <w:t xml:space="preserve">[图3-2 智能建造相关文献年度数量变化（待插入）]</w:t>
      </w:r>
    </w:p>
    <w:p xmlns:w="http://schemas.openxmlformats.org/wordprocessingml/2006/main">
      <w:pPr>
        <w:spacing w:line="480" w:lineRule="auto"/>
        <w:ind w:firstLine="480" w:firstLineChars="200"/>
        <w:rPr>
          <w:rFonts w:ascii="宋体" w:hAnsi="宋体" w:eastAsia="宋体"/>
          <w:sz w:val="24"/>
          <w:szCs w:val="24"/>
        </w:rPr>
      </w:pPr>
      <w:r>
        <w:t xml:space="preserve">两类时间序列共同构成领域成长性的观察基础。文献增长反映对模型表达、材料性能、监测方法及装备控制等问题的持续研究，专利增长则呈现相关知识在具体方案中的组织和表达。文献数量趋稳并不排除其内部研究方向发生变化，专利数量较快增长也可能同时包含已有方案的改进和新的技术组合。因而，年度数量适合识别总体活动强度，技术结构是否随之改变，还应结合分领域内容及关联关系进一步分析。上述数量依据既有图中标注值整理，其记录层面的重现仍有待数据库导出数据支持。</w:t>
      </w:r>
    </w:p>
    <w:p xmlns:w="http://schemas.openxmlformats.org/wordprocessingml/2006/main">
      <w:pPr>
        <w:pStyle w:val="4"/>
        <w:numPr>
          <w:numId w:val="0"/>
        </w:numPr>
      </w:pPr>
      <w:r>
        <w:t xml:space="preserve">3.2.2 技术子领域分布</w:t>
      </w:r>
    </w:p>
    <w:p xmlns:w="http://schemas.openxmlformats.org/wordprocessingml/2006/main">
      <w:pPr>
        <w:spacing w:line="480" w:lineRule="auto"/>
        <w:ind w:firstLine="480" w:firstLineChars="200"/>
        <w:rPr>
          <w:rFonts w:ascii="宋体" w:hAnsi="宋体" w:eastAsia="宋体"/>
          <w:sz w:val="24"/>
          <w:szCs w:val="24"/>
        </w:rPr>
      </w:pPr>
      <w:r>
        <w:t xml:space="preserve">文献与专利的技术关注分布存在差异。文献中，BIM相关研究占32.8%，大数据占14.2%，装配式建筑占12.7%，智能设计占6.4%，施工监测和塔吊分别占6.1%与5.8%。3D打印文献为350篇，占比约5.2%，工程仿真模拟及数字孪生等主题的占比在1%—5%之间，盾构机、数字设计、大模型和自然语言处理等主题均低于1%。这一分布显示，现有期刊样本较多关注信息模型、数据利用与工业化建造，研究内容同时覆盖设计分析、结构性能和施工控制等任务。</w:t>
      </w:r>
    </w:p>
    <w:p xmlns:w="http://schemas.openxmlformats.org/wordprocessingml/2006/main">
      <w:pPr>
        <w:spacing w:line="480" w:lineRule="auto"/>
        <w:ind w:firstLine="480" w:firstLineChars="200"/>
        <w:rPr>
          <w:rFonts w:ascii="宋体" w:hAnsi="宋体" w:eastAsia="宋体"/>
          <w:sz w:val="24"/>
          <w:szCs w:val="24"/>
        </w:rPr>
      </w:pPr>
      <w:r>
        <w:t xml:space="preserve">[图3-3 智能建造文献关注技术分布（待插入）]</w:t>
      </w:r>
    </w:p>
    <w:p xmlns:w="http://schemas.openxmlformats.org/wordprocessingml/2006/main">
      <w:pPr>
        <w:spacing w:line="480" w:lineRule="auto"/>
        <w:ind w:firstLine="480" w:firstLineChars="200"/>
        <w:rPr>
          <w:rFonts w:ascii="宋体" w:hAnsi="宋体" w:eastAsia="宋体"/>
          <w:sz w:val="24"/>
          <w:szCs w:val="24"/>
        </w:rPr>
      </w:pPr>
      <w:r>
        <w:t xml:space="preserve">专利统计中，构件智能生产相关技术占32.4%，建筑机器人占24%，BIM占14.7%，3D打印占9.6%，大数据占7.6%。原有文字统计将数字孪生、区块链、架桥机和盾构机等主题概括为1%—5%，并将生成式设计、数字设计、智能设计、大模型及自然语言处理等主题列为低于1%。其中盾构机在原分布图中标为5.7%，与文字区间存在差异，具体分类结果仍需原始频数表支持。与文献分布对照，专利在构件生产和机器人等具体生产、作业方案上较为集中，文献则对BIM及数据分析表现出较高关注。</w:t>
      </w:r>
    </w:p>
    <w:p xmlns:w="http://schemas.openxmlformats.org/wordprocessingml/2006/main">
      <w:pPr>
        <w:spacing w:line="480" w:lineRule="auto"/>
        <w:ind w:firstLine="480" w:firstLineChars="200"/>
        <w:rPr>
          <w:rFonts w:ascii="宋体" w:hAnsi="宋体" w:eastAsia="宋体"/>
          <w:sz w:val="24"/>
          <w:szCs w:val="24"/>
        </w:rPr>
      </w:pPr>
      <w:r>
        <w:t xml:space="preserve">构件智能生产属于较高层次的子领域，分布图中的装配式建筑则标为22.9%，其与3D打印等具体技术类别具有层次联系。上述比例分别沿用对应技术标签的统计，不将构件智能生产的32.4%与3D打印的9.6%作为独立份额重复加总。分类层次及交叉归属会影响技术规模的比较，本文据此将总体分布用于描述关注方向，并通过代表性记录解释具体技术内容。[待补充：技术标签对应频数、子领域与具体技术的映射及交叉归类规则，盾构机图文比例不一致的原始统计依据。]</w:t>
      </w:r>
    </w:p>
    <w:p xmlns:w="http://schemas.openxmlformats.org/wordprocessingml/2006/main">
      <w:pPr>
        <w:spacing w:line="480" w:lineRule="auto"/>
        <w:ind w:firstLine="480" w:firstLineChars="200"/>
        <w:rPr>
          <w:rFonts w:ascii="宋体" w:hAnsi="宋体" w:eastAsia="宋体"/>
          <w:sz w:val="24"/>
          <w:szCs w:val="24"/>
        </w:rPr>
      </w:pPr>
      <w:r>
        <w:t xml:space="preserve">[图3-4 智能建造专利关注技术分布（待插入）]</w:t>
      </w:r>
    </w:p>
    <w:p xmlns:w="http://schemas.openxmlformats.org/wordprocessingml/2006/main">
      <w:pPr>
        <w:spacing w:line="480" w:lineRule="auto"/>
        <w:ind w:firstLine="480" w:firstLineChars="200"/>
        <w:rPr>
          <w:rFonts w:ascii="宋体" w:hAnsi="宋体" w:eastAsia="宋体"/>
          <w:sz w:val="24"/>
          <w:szCs w:val="24"/>
        </w:rPr>
      </w:pPr>
      <w:r>
        <w:t xml:space="preserve">工程软件在技术体系中承担工程对象表达、设计分析及信息集成等功能。现有样本包含BIM相关专利872项，其内容主要围绕建筑设计、构件信息组织和不同工程环节之间的数据联系展开。例如，基于BIM的设计方法将几何参数与构件信息关联，使设计变更能够在模型层面得到表达；面向装配式建筑的数据协同与设计建造一体化方案，则关注不同参与者如何围绕同一工程对象使用信息。由此，工程软件的作用不仅体现在图形表达，也体现在设计内容与后续制造、施工任务之间的对应关系。</w:t>
      </w:r>
    </w:p>
    <w:p xmlns:w="http://schemas.openxmlformats.org/wordprocessingml/2006/main">
      <w:pPr>
        <w:spacing w:line="480" w:lineRule="auto"/>
        <w:ind w:firstLine="480" w:firstLineChars="200"/>
        <w:rPr>
          <w:rFonts w:ascii="宋体" w:hAnsi="宋体" w:eastAsia="宋体"/>
          <w:sz w:val="24"/>
          <w:szCs w:val="24"/>
        </w:rPr>
      </w:pPr>
      <w:r>
        <w:t xml:space="preserve">[图3-5 工程软件相关技术词云（待插入）]</w:t>
      </w:r>
    </w:p>
    <w:p xmlns:w="http://schemas.openxmlformats.org/wordprocessingml/2006/main">
      <w:pPr>
        <w:spacing w:line="480" w:lineRule="auto"/>
        <w:ind w:firstLine="480" w:firstLineChars="200"/>
        <w:rPr>
          <w:rFonts w:ascii="宋体" w:hAnsi="宋体" w:eastAsia="宋体"/>
          <w:sz w:val="24"/>
          <w:szCs w:val="24"/>
        </w:rPr>
      </w:pPr>
      <w:r>
        <w:t xml:space="preserve">表3-2 工程软件相关专利示例</w:t>
      </w:r>
    </w:p>
    <w:tbl xmlns:ns1="http://schemas.microsoft.com/office/word/2010/wordml" xmlns:w="http://schemas.openxmlformats.org/wordprocessingml/2006/main">
      <w:tblPr>
        <w:tblStyle w:val="93"/>
        <w:tblW w:w="5109"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815"/>
        <w:gridCol w:w="2096"/>
        <w:gridCol w:w="1348"/>
      </w:tblGrid>
      <w:tr ns1:paraId="11AA8FB9">
        <w:tc>
          <w:tcPr>
            <w:tcW w:w="3140" w:type="pct"/>
            <w:tcBorders>
              <w:bottom w:val="single" w:color="7E7E7E" w:themeColor="text1" w:themeTint="80" w:sz="4" w:space="0"/>
              <w:insideH w:val="single" w:sz="4" w:space="0"/>
            </w:tcBorders>
          </w:tcPr>
          <w:p ns1:paraId="724DA0AB">
            <w:pPr>
              <w:pStyle w:val="33"/>
              <w:widowControl/>
              <w:spacing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w:t>
            </w:r>
          </w:p>
        </w:tc>
        <w:tc>
          <w:tcPr>
            <w:tcW w:w="1132" w:type="pct"/>
            <w:tcBorders>
              <w:bottom w:val="single" w:color="7E7E7E" w:themeColor="text1" w:themeTint="80" w:sz="4" w:space="0"/>
              <w:insideH w:val="single" w:sz="4" w:space="0"/>
            </w:tcBorders>
          </w:tcPr>
          <w:p ns1:paraId="2719B370">
            <w:pPr>
              <w:pStyle w:val="33"/>
              <w:widowControl/>
              <w:spacing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专利号</w:t>
            </w:r>
          </w:p>
        </w:tc>
        <w:tc>
          <w:tcPr>
            <w:tcW w:w="728" w:type="pct"/>
            <w:tcBorders>
              <w:bottom w:val="single" w:color="7E7E7E" w:themeColor="text1" w:themeTint="80" w:sz="4" w:space="0"/>
              <w:insideH w:val="single" w:sz="4" w:space="0"/>
            </w:tcBorders>
          </w:tcPr>
          <w:p ns1:paraId="20059825">
            <w:pPr>
              <w:pStyle w:val="33"/>
              <w:widowControl/>
              <w:spacing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申请时间</w:t>
            </w:r>
          </w:p>
        </w:tc>
      </w:tr>
      <w:tr ns1:paraId="0F2E68C5">
        <w:trPr>
          <w:trHeight w:val="510" w:hRule="atLeast"/>
        </w:trPr>
        <w:tc>
          <w:tcPr>
            <w:tcW w:w="3140" w:type="pct"/>
            <w:tcBorders>
              <w:top w:val="single" w:color="7E7E7E" w:themeColor="text1" w:themeTint="80" w:sz="4" w:space="0"/>
              <w:bottom w:val="single" w:color="7E7E7E" w:themeColor="text1" w:themeTint="80" w:sz="4" w:space="0"/>
            </w:tcBorders>
          </w:tcPr>
          <w:p ns1:paraId="57585C3C">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一种基于BIM的装配式建筑数据协同管理方法及系统</w:t>
            </w:r>
          </w:p>
        </w:tc>
        <w:tc>
          <w:tcPr>
            <w:tcW w:w="1132" w:type="pct"/>
            <w:tcBorders>
              <w:top w:val="single" w:color="7E7E7E" w:themeColor="text1" w:themeTint="80" w:sz="4" w:space="0"/>
              <w:bottom w:val="single" w:color="7E7E7E" w:themeColor="text1" w:themeTint="80" w:sz="4" w:space="0"/>
            </w:tcBorders>
          </w:tcPr>
          <w:p ns1:paraId="73D7543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CN108595594A</w:t>
            </w:r>
          </w:p>
        </w:tc>
        <w:tc>
          <w:tcPr>
            <w:tcW w:w="728" w:type="pct"/>
            <w:tcBorders>
              <w:top w:val="single" w:color="7E7E7E" w:themeColor="text1" w:themeTint="80" w:sz="4" w:space="0"/>
              <w:bottom w:val="single" w:color="7E7E7E" w:themeColor="text1" w:themeTint="80" w:sz="4" w:space="0"/>
            </w:tcBorders>
          </w:tcPr>
          <w:p ns1:paraId="26C5D94F">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2018/4/19</w:t>
            </w:r>
          </w:p>
        </w:tc>
      </w:tr>
      <w:tr ns1:paraId="3206E3AA">
        <w:trPr>
          <w:trHeight w:val="510" w:hRule="atLeast"/>
        </w:trPr>
        <w:tc>
          <w:tcPr>
            <w:tcW w:w="3140" w:type="pct"/>
          </w:tcPr>
          <w:p ns1:paraId="02760278">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一种基于BIM的地铁车站建筑结构构件智能设计方法</w:t>
            </w:r>
          </w:p>
        </w:tc>
        <w:tc>
          <w:tcPr>
            <w:tcW w:w="1132" w:type="pct"/>
          </w:tcPr>
          <w:p ns1:paraId="0449723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CN109948181A</w:t>
            </w:r>
          </w:p>
        </w:tc>
        <w:tc>
          <w:tcPr>
            <w:tcW w:w="728" w:type="pct"/>
          </w:tcPr>
          <w:p ns1:paraId="10AF597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2019/1/29</w:t>
            </w:r>
          </w:p>
        </w:tc>
      </w:tr>
      <w:tr ns1:paraId="3513A32B">
        <w:trPr>
          <w:trHeight w:val="510" w:hRule="atLeast"/>
        </w:trPr>
        <w:tc>
          <w:tcPr>
            <w:tcW w:w="3140" w:type="pct"/>
            <w:tcBorders>
              <w:top w:val="single" w:color="7E7E7E" w:themeColor="text1" w:themeTint="80" w:sz="4" w:space="0"/>
              <w:bottom w:val="single" w:color="7E7E7E" w:themeColor="text1" w:themeTint="80" w:sz="4" w:space="0"/>
            </w:tcBorders>
          </w:tcPr>
          <w:p ns1:paraId="4D58AE03">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一种基于BIM的钢结构桥梁信息化运维系统及处理方法</w:t>
            </w:r>
          </w:p>
        </w:tc>
        <w:tc>
          <w:tcPr>
            <w:tcW w:w="1132" w:type="pct"/>
            <w:tcBorders>
              <w:top w:val="single" w:color="7E7E7E" w:themeColor="text1" w:themeTint="80" w:sz="4" w:space="0"/>
              <w:bottom w:val="single" w:color="7E7E7E" w:themeColor="text1" w:themeTint="80" w:sz="4" w:space="0"/>
            </w:tcBorders>
          </w:tcPr>
          <w:p ns1:paraId="5E18829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CN110516820A</w:t>
            </w:r>
          </w:p>
        </w:tc>
        <w:tc>
          <w:tcPr>
            <w:tcW w:w="728" w:type="pct"/>
            <w:tcBorders>
              <w:top w:val="single" w:color="7E7E7E" w:themeColor="text1" w:themeTint="80" w:sz="4" w:space="0"/>
              <w:bottom w:val="single" w:color="7E7E7E" w:themeColor="text1" w:themeTint="80" w:sz="4" w:space="0"/>
            </w:tcBorders>
          </w:tcPr>
          <w:p ns1:paraId="6D56C6C0">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2019/7/16</w:t>
            </w:r>
          </w:p>
        </w:tc>
      </w:tr>
      <w:tr ns1:paraId="71E14272">
        <w:trPr>
          <w:trHeight w:val="510" w:hRule="atLeast"/>
        </w:trPr>
        <w:tc>
          <w:tcPr>
            <w:tcW w:w="3140" w:type="pct"/>
          </w:tcPr>
          <w:p ns1:paraId="4D67865B">
            <w:pPr>
              <w:widowControl/>
              <w:spacing w:line="360" w:lineRule="auto"/>
              <w:jc w:val="left"/>
              <w:textAlignment w:val="bottom"/>
              <w:rPr>
                <w:rFonts w:ascii="宋体" w:hAnsi="宋体" w:eastAsia="宋体"/>
                <w:b w:val="0"/>
                <w:bCs w:val="0"/>
                <w:szCs w:val="21"/>
              </w:rPr>
            </w:pPr>
            <w:r>
              <w:rPr>
                <w:rFonts w:hint="eastAsia" w:ascii="宋体" w:hAnsi="宋体" w:eastAsia="宋体" w:cs="宋体"/>
                <w:b w:val="0"/>
                <w:bCs w:val="0"/>
                <w:color w:val="000000"/>
                <w:kern w:val="0"/>
                <w:szCs w:val="21"/>
                <w:lang w:bidi="ar"/>
              </w:rPr>
              <w:t>一种基于BIM建筑设计施工用支撑平台</w:t>
            </w:r>
          </w:p>
        </w:tc>
        <w:tc>
          <w:tcPr>
            <w:tcW w:w="1132" w:type="pct"/>
          </w:tcPr>
          <w:p ns1:paraId="179A33D1">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CN216568925U</w:t>
            </w:r>
          </w:p>
        </w:tc>
        <w:tc>
          <w:tcPr>
            <w:tcW w:w="728" w:type="pct"/>
          </w:tcPr>
          <w:p ns1:paraId="11C29BD7">
            <w:pPr>
              <w:widowControl/>
              <w:spacing w:line="360" w:lineRule="auto"/>
              <w:jc w:val="center"/>
              <w:textAlignment w:val="bottom"/>
              <w:rPr>
                <w:rFonts w:ascii="宋体" w:hAnsi="宋体" w:eastAsia="宋体"/>
                <w:szCs w:val="21"/>
              </w:rPr>
            </w:pPr>
            <w:r>
              <w:rPr>
                <w:rFonts w:hint="eastAsia" w:ascii="宋体" w:hAnsi="宋体" w:eastAsia="宋体" w:cs="宋体"/>
                <w:color w:val="000000"/>
                <w:kern w:val="0"/>
                <w:szCs w:val="21"/>
                <w:lang w:bidi="ar"/>
              </w:rPr>
              <w:t>2021/4/1</w:t>
            </w:r>
          </w:p>
        </w:tc>
      </w:tr>
      <w:tr ns1:paraId="7325D4FA">
        <w:trPr>
          <w:trHeight w:val="510" w:hRule="atLeast"/>
        </w:trPr>
        <w:tc>
          <w:tcPr>
            <w:tcW w:w="3140" w:type="pct"/>
            <w:tcBorders>
              <w:top w:val="single" w:color="7E7E7E" w:themeColor="text1" w:themeTint="80" w:sz="4" w:space="0"/>
              <w:bottom w:val="single" w:color="7E7E7E" w:themeColor="text1" w:themeTint="80" w:sz="4" w:space="0"/>
            </w:tcBorders>
          </w:tcPr>
          <w:p ns1:paraId="69BF0A38">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基于BIM的装配式建筑设计建造一体化决策优化方法及系统</w:t>
            </w:r>
          </w:p>
        </w:tc>
        <w:tc>
          <w:tcPr>
            <w:tcW w:w="1132" w:type="pct"/>
            <w:tcBorders>
              <w:top w:val="single" w:color="7E7E7E" w:themeColor="text1" w:themeTint="80" w:sz="4" w:space="0"/>
              <w:bottom w:val="single" w:color="7E7E7E" w:themeColor="text1" w:themeTint="80" w:sz="4" w:space="0"/>
            </w:tcBorders>
          </w:tcPr>
          <w:p ns1:paraId="60F7FB74">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CN113569382A</w:t>
            </w:r>
          </w:p>
        </w:tc>
        <w:tc>
          <w:tcPr>
            <w:tcW w:w="728" w:type="pct"/>
            <w:tcBorders>
              <w:top w:val="single" w:color="7E7E7E" w:themeColor="text1" w:themeTint="80" w:sz="4" w:space="0"/>
              <w:bottom w:val="single" w:color="7E7E7E" w:themeColor="text1" w:themeTint="80" w:sz="4" w:space="0"/>
            </w:tcBorders>
          </w:tcPr>
          <w:p ns1:paraId="24768DA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2021/6/25</w:t>
            </w:r>
          </w:p>
        </w:tc>
      </w:tr>
      <w:tr ns1:paraId="781A5534">
        <w:trPr>
          <w:trHeight w:val="510" w:hRule="atLeast"/>
        </w:trPr>
        <w:tc>
          <w:tcPr>
            <w:tcW w:w="3140" w:type="pct"/>
          </w:tcPr>
          <w:p ns1:paraId="0D685E5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一种基于AI的建筑消防设计的评估方法与装置</w:t>
            </w:r>
          </w:p>
        </w:tc>
        <w:tc>
          <w:tcPr>
            <w:tcW w:w="1132" w:type="pct"/>
          </w:tcPr>
          <w:p ns1:paraId="77F77861">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CN114036613B</w:t>
            </w:r>
          </w:p>
        </w:tc>
        <w:tc>
          <w:tcPr>
            <w:tcW w:w="728" w:type="pct"/>
          </w:tcPr>
          <w:p ns1:paraId="6BD22675">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2021/11/9</w:t>
            </w:r>
          </w:p>
        </w:tc>
      </w:tr>
      <w:tr ns1:paraId="5CD9D22E">
        <w:trPr>
          <w:trHeight w:val="510" w:hRule="atLeast"/>
        </w:trPr>
        <w:tc>
          <w:tcPr>
            <w:tcW w:w="3140" w:type="pct"/>
            <w:tcBorders>
              <w:top w:val="single" w:color="7E7E7E" w:themeColor="text1" w:themeTint="80" w:sz="4" w:space="0"/>
              <w:bottom w:val="single" w:color="7E7E7E" w:themeColor="text1" w:themeTint="80" w:sz="4" w:space="0"/>
            </w:tcBorders>
          </w:tcPr>
          <w:p ns1:paraId="2543B217">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一种基于BIM平台的隧道衬砌病害信息可视化方法</w:t>
            </w:r>
          </w:p>
        </w:tc>
        <w:tc>
          <w:tcPr>
            <w:tcW w:w="1132" w:type="pct"/>
            <w:tcBorders>
              <w:top w:val="single" w:color="7E7E7E" w:themeColor="text1" w:themeTint="80" w:sz="4" w:space="0"/>
              <w:bottom w:val="single" w:color="7E7E7E" w:themeColor="text1" w:themeTint="80" w:sz="4" w:space="0"/>
            </w:tcBorders>
          </w:tcPr>
          <w:p ns1:paraId="3113DC1F">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CN114218508A</w:t>
            </w:r>
          </w:p>
        </w:tc>
        <w:tc>
          <w:tcPr>
            <w:tcW w:w="728" w:type="pct"/>
            <w:tcBorders>
              <w:top w:val="single" w:color="7E7E7E" w:themeColor="text1" w:themeTint="80" w:sz="4" w:space="0"/>
              <w:bottom w:val="single" w:color="7E7E7E" w:themeColor="text1" w:themeTint="80" w:sz="4" w:space="0"/>
            </w:tcBorders>
          </w:tcPr>
          <w:p ns1:paraId="61F05AD7">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2021/12/7</w:t>
            </w:r>
          </w:p>
        </w:tc>
      </w:tr>
      <w:tr ns1:paraId="1E937D61">
        <w:trPr>
          <w:trHeight w:val="510" w:hRule="atLeast"/>
        </w:trPr>
        <w:tc>
          <w:tcPr>
            <w:tcW w:w="3140" w:type="pct"/>
            <w:tcBorders>
              <w:top w:val="single" w:color="7E7E7E" w:themeColor="text1" w:themeTint="80" w:sz="4" w:space="0"/>
              <w:bottom w:val="single" w:color="7E7E7E" w:themeColor="text1" w:themeTint="80" w:sz="4" w:space="0"/>
            </w:tcBorders>
          </w:tcPr>
          <w:p ns1:paraId="2B611404">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一种基于BIM的智能建筑设计方法及系统</w:t>
            </w:r>
          </w:p>
        </w:tc>
        <w:tc>
          <w:tcPr>
            <w:tcW w:w="1132" w:type="pct"/>
            <w:tcBorders>
              <w:top w:val="single" w:color="7E7E7E" w:themeColor="text1" w:themeTint="80" w:sz="4" w:space="0"/>
              <w:bottom w:val="single" w:color="7E7E7E" w:themeColor="text1" w:themeTint="80" w:sz="4" w:space="0"/>
            </w:tcBorders>
          </w:tcPr>
          <w:p ns1:paraId="4649A71C">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CN115470557A</w:t>
            </w:r>
          </w:p>
        </w:tc>
        <w:tc>
          <w:tcPr>
            <w:tcW w:w="728" w:type="pct"/>
            <w:tcBorders>
              <w:top w:val="single" w:color="7E7E7E" w:themeColor="text1" w:themeTint="80" w:sz="4" w:space="0"/>
              <w:bottom w:val="single" w:color="7E7E7E" w:themeColor="text1" w:themeTint="80" w:sz="4" w:space="0"/>
            </w:tcBorders>
          </w:tcPr>
          <w:p ns1:paraId="129CA5DB">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2022/9/16</w:t>
            </w:r>
          </w:p>
        </w:tc>
      </w:tr>
      <w:tr ns1:paraId="1267BD36">
        <w:trPr>
          <w:trHeight w:val="510" w:hRule="atLeast"/>
        </w:trPr>
        <w:tc>
          <w:tcPr>
            <w:tcW w:w="3140" w:type="pct"/>
            <w:tcBorders>
              <w:top w:val="single" w:color="7E7E7E" w:themeColor="text1" w:themeTint="80" w:sz="4" w:space="0"/>
              <w:bottom w:val="single" w:color="7E7E7E" w:themeColor="text1" w:themeTint="80" w:sz="4" w:space="0"/>
            </w:tcBorders>
          </w:tcPr>
          <w:p ns1:paraId="1B3DBC45">
            <w:pPr>
              <w:widowControl/>
              <w:spacing w:line="360" w:lineRule="auto"/>
              <w:jc w:val="left"/>
              <w:textAlignment w:val="bottom"/>
              <w:rPr>
                <w:rFonts w:ascii="宋体" w:hAnsi="宋体" w:eastAsia="宋体"/>
                <w:b w:val="0"/>
                <w:bCs w:val="0"/>
                <w:color w:val="000000"/>
                <w:szCs w:val="21"/>
              </w:rPr>
            </w:pPr>
            <w:r>
              <w:rPr>
                <w:rFonts w:hint="eastAsia" w:ascii="宋体" w:hAnsi="宋体" w:eastAsia="宋体" w:cs="宋体"/>
                <w:b w:val="0"/>
                <w:bCs w:val="0"/>
                <w:color w:val="000000"/>
                <w:kern w:val="0"/>
                <w:szCs w:val="21"/>
                <w:lang w:bidi="ar"/>
              </w:rPr>
              <w:t>一种基于BIM的建筑设计系统及方法</w:t>
            </w:r>
          </w:p>
        </w:tc>
        <w:tc>
          <w:tcPr>
            <w:tcW w:w="1132" w:type="pct"/>
            <w:tcBorders>
              <w:top w:val="single" w:color="7E7E7E" w:themeColor="text1" w:themeTint="80" w:sz="4" w:space="0"/>
              <w:bottom w:val="single" w:color="7E7E7E" w:themeColor="text1" w:themeTint="80" w:sz="4" w:space="0"/>
            </w:tcBorders>
          </w:tcPr>
          <w:p ns1:paraId="2A6C683A">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CN116756829B</w:t>
            </w:r>
          </w:p>
        </w:tc>
        <w:tc>
          <w:tcPr>
            <w:tcW w:w="728" w:type="pct"/>
            <w:tcBorders>
              <w:top w:val="single" w:color="7E7E7E" w:themeColor="text1" w:themeTint="80" w:sz="4" w:space="0"/>
              <w:bottom w:val="single" w:color="7E7E7E" w:themeColor="text1" w:themeTint="80" w:sz="4" w:space="0"/>
            </w:tcBorders>
          </w:tcPr>
          <w:p ns1:paraId="1BE745A6">
            <w:pPr>
              <w:widowControl/>
              <w:spacing w:line="360" w:lineRule="auto"/>
              <w:jc w:val="center"/>
              <w:textAlignment w:val="bottom"/>
              <w:rPr>
                <w:rFonts w:ascii="宋体" w:hAnsi="宋体" w:eastAsia="宋体"/>
                <w:color w:val="000000"/>
                <w:szCs w:val="21"/>
              </w:rPr>
            </w:pPr>
            <w:r>
              <w:rPr>
                <w:rFonts w:hint="eastAsia" w:ascii="宋体" w:hAnsi="宋体" w:eastAsia="宋体" w:cs="宋体"/>
                <w:color w:val="000000"/>
                <w:kern w:val="0"/>
                <w:szCs w:val="21"/>
                <w:lang w:bidi="ar"/>
              </w:rPr>
              <w:t>2023/6/29</w:t>
            </w:r>
          </w:p>
        </w:tc>
      </w:tr>
    </w:tbl>
    <w:p xmlns:w="http://schemas.openxmlformats.org/wordprocessingml/2006/main">
      <w:pPr>
        <w:spacing w:line="480" w:lineRule="auto"/>
        <w:ind w:firstLine="480" w:firstLineChars="200"/>
        <w:rPr>
          <w:rFonts w:ascii="宋体" w:hAnsi="宋体" w:eastAsia="宋体"/>
          <w:sz w:val="24"/>
          <w:szCs w:val="24"/>
        </w:rPr>
      </w:pPr>
      <w:r>
        <w:t xml:space="preserve">工程软件专利示例覆盖装配式建筑协同、地铁车站构件设计、钢结构桥梁运维及隧道病害可视化等任务，说明模型表达可以服务于不同工程对象。建筑消防设计评估和智能建筑设计等方案也体现了设计信息与规则、分析方法之间的联系。表中记录用于揭示技术方案的应用范围，具体性能及实施效果仍取决于专利内容和工程验证。对于后续技术识别，具有相近BIM表述的方案可能在功能上分别侧重信息集成、结构设计或状态管理，因而还应通过文本内容区分其技术主题。</w:t>
      </w:r>
    </w:p>
    <w:p xmlns:w="http://schemas.openxmlformats.org/wordprocessingml/2006/main">
      <w:pPr>
        <w:spacing w:line="480" w:lineRule="auto"/>
        <w:ind w:firstLine="480" w:firstLineChars="200"/>
        <w:rPr>
          <w:rFonts w:ascii="宋体" w:hAnsi="宋体" w:eastAsia="宋体"/>
          <w:sz w:val="24"/>
          <w:szCs w:val="24"/>
        </w:rPr>
      </w:pPr>
      <w:r>
        <w:t xml:space="preserve">BIM相关文献共2216篇，较多涉及建筑结构深化设计与构件建模。表3-3所列研究包括装配式混凝土构件系统设计、超高层钢结构设计与施工、叠合梁深化平台以及面向制造与装配的设计（DfMA）等内容。以面向DfMA的装配式异形BIM构件建模为例，其研究关注设计几何、制造约束和现场安装之间的信息传递，通过共享模型组织设计与制造要求。该方向所面对的问题是构件信息在跨环节使用中的连续性，其技术价值应联系具体建模任务及协同条件理解。</w:t>
      </w:r>
    </w:p>
    <w:p xmlns:w="http://schemas.openxmlformats.org/wordprocessingml/2006/main">
      <w:pPr>
        <w:spacing w:line="480" w:lineRule="auto"/>
        <w:ind w:firstLine="480" w:firstLineChars="200"/>
        <w:rPr>
          <w:rFonts w:ascii="宋体" w:hAnsi="宋体" w:eastAsia="宋体"/>
          <w:sz w:val="24"/>
          <w:szCs w:val="24"/>
        </w:rPr>
      </w:pPr>
      <w:r>
        <w:t xml:space="preserve">表3-3 工程软件相关文献示例</w:t>
      </w:r>
    </w:p>
    <w:tbl xmlns:ns1="http://schemas.microsoft.com/office/word/2010/wordml" xmlns:w="http://schemas.openxmlformats.org/wordprocessingml/2006/main">
      <w:tblPr>
        <w:tblStyle w:val="93"/>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6016"/>
        <w:gridCol w:w="1215"/>
        <w:gridCol w:w="971"/>
        <w:gridCol w:w="788"/>
      </w:tblGrid>
      <w:tr ns1:paraId="5A409ED1">
        <w:tc>
          <w:tcPr>
            <w:tcW w:w="3346" w:type="pct"/>
            <w:tcBorders>
              <w:bottom w:val="single" w:color="7E7E7E" w:themeColor="text1" w:themeTint="80" w:sz="4" w:space="0"/>
              <w:insideH w:val="single" w:sz="4" w:space="0"/>
            </w:tcBorders>
          </w:tcPr>
          <w:p ns1:paraId="0EF5D59D">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676" w:type="pct"/>
            <w:tcBorders>
              <w:bottom w:val="single" w:color="7E7E7E" w:themeColor="text1" w:themeTint="80" w:sz="4" w:space="0"/>
              <w:insideH w:val="single" w:sz="4" w:space="0"/>
            </w:tcBorders>
          </w:tcPr>
          <w:p ns1:paraId="08109047">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40" w:type="pct"/>
            <w:tcBorders>
              <w:bottom w:val="single" w:color="7E7E7E" w:themeColor="text1" w:themeTint="80" w:sz="4" w:space="0"/>
              <w:insideH w:val="single" w:sz="4" w:space="0"/>
            </w:tcBorders>
          </w:tcPr>
          <w:p ns1:paraId="7E7B95A8">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438" w:type="pct"/>
            <w:tcBorders>
              <w:bottom w:val="single" w:color="7E7E7E" w:themeColor="text1" w:themeTint="80" w:sz="4" w:space="0"/>
              <w:insideH w:val="single" w:sz="4" w:space="0"/>
            </w:tcBorders>
          </w:tcPr>
          <w:p ns1:paraId="66295221">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617F00CE">
        <w:tc>
          <w:tcPr>
            <w:tcW w:w="3346" w:type="pct"/>
            <w:tcBorders>
              <w:top w:val="single" w:color="7E7E7E" w:themeColor="text1" w:themeTint="80" w:sz="4" w:space="0"/>
              <w:bottom w:val="single" w:color="7E7E7E" w:themeColor="text1" w:themeTint="80" w:sz="4" w:space="0"/>
            </w:tcBorders>
          </w:tcPr>
          <w:p ns1:paraId="7C19A82A">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基于BIM的装配式混凝土建筑构件系统设计分析与研究</w:t>
            </w:r>
          </w:p>
        </w:tc>
        <w:tc>
          <w:tcPr>
            <w:tcW w:w="676" w:type="pct"/>
            <w:tcBorders>
              <w:top w:val="single" w:color="7E7E7E" w:themeColor="text1" w:themeTint="80" w:sz="4" w:space="0"/>
              <w:bottom w:val="single" w:color="7E7E7E" w:themeColor="text1" w:themeTint="80" w:sz="4" w:space="0"/>
            </w:tcBorders>
          </w:tcPr>
          <w:p ns1:paraId="7F55573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ns1:paraId="07FF612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tcPr>
          <w:p ns1:paraId="6B3EC1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130</w:t>
            </w:r>
          </w:p>
        </w:tc>
      </w:tr>
      <w:tr ns1:paraId="576F209A">
        <w:tc>
          <w:tcPr>
            <w:tcW w:w="3346" w:type="pct"/>
          </w:tcPr>
          <w:p ns1:paraId="604EB693">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BIM技术在超高层大型综合体钢结构设计与施工中的应用</w:t>
            </w:r>
          </w:p>
        </w:tc>
        <w:tc>
          <w:tcPr>
            <w:tcW w:w="676" w:type="pct"/>
          </w:tcPr>
          <w:p ns1:paraId="46BF1A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Pr>
          <w:p ns1:paraId="2C5AB0C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Pr>
          <w:p ns1:paraId="2E3C394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11</w:t>
            </w:r>
          </w:p>
        </w:tc>
      </w:tr>
      <w:tr ns1:paraId="7C59DBD5">
        <w:tc>
          <w:tcPr>
            <w:tcW w:w="3346" w:type="pct"/>
            <w:tcBorders>
              <w:top w:val="single" w:color="7E7E7E" w:themeColor="text1" w:themeTint="80" w:sz="4" w:space="0"/>
              <w:bottom w:val="single" w:color="7E7E7E" w:themeColor="text1" w:themeTint="80" w:sz="4" w:space="0"/>
            </w:tcBorders>
          </w:tcPr>
          <w:p ns1:paraId="5D42A7C8">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BIM技术在装配式建筑深化设计中的应用研究</w:t>
            </w:r>
          </w:p>
        </w:tc>
        <w:tc>
          <w:tcPr>
            <w:tcW w:w="676" w:type="pct"/>
            <w:tcBorders>
              <w:top w:val="single" w:color="7E7E7E" w:themeColor="text1" w:themeTint="80" w:sz="4" w:space="0"/>
              <w:bottom w:val="single" w:color="7E7E7E" w:themeColor="text1" w:themeTint="80" w:sz="4" w:space="0"/>
            </w:tcBorders>
          </w:tcPr>
          <w:p ns1:paraId="612B9CD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40" w:type="pct"/>
            <w:tcBorders>
              <w:top w:val="single" w:color="7E7E7E" w:themeColor="text1" w:themeTint="80" w:sz="4" w:space="0"/>
              <w:bottom w:val="single" w:color="7E7E7E" w:themeColor="text1" w:themeTint="80" w:sz="4" w:space="0"/>
            </w:tcBorders>
          </w:tcPr>
          <w:p ns1:paraId="612BCC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2017</w:t>
            </w:r>
          </w:p>
        </w:tc>
        <w:tc>
          <w:tcPr>
            <w:tcW w:w="438" w:type="pct"/>
            <w:tcBorders>
              <w:top w:val="single" w:color="7E7E7E" w:themeColor="text1" w:themeTint="80" w:sz="4" w:space="0"/>
              <w:bottom w:val="single" w:color="7E7E7E" w:themeColor="text1" w:themeTint="80" w:sz="4" w:space="0"/>
            </w:tcBorders>
          </w:tcPr>
          <w:p ns1:paraId="685ABEE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87</w:t>
            </w:r>
          </w:p>
        </w:tc>
      </w:tr>
      <w:tr ns1:paraId="096A60FF">
        <w:tc>
          <w:tcPr>
            <w:tcW w:w="3346" w:type="pct"/>
          </w:tcPr>
          <w:p ns1:paraId="1E5384A0">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BIM技术在装配式混凝土结构深化中的应用探究</w:t>
            </w:r>
          </w:p>
        </w:tc>
        <w:tc>
          <w:tcPr>
            <w:tcW w:w="676" w:type="pct"/>
          </w:tcPr>
          <w:p ns1:paraId="0513A68D">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建筑经济</w:t>
            </w:r>
          </w:p>
        </w:tc>
        <w:tc>
          <w:tcPr>
            <w:tcW w:w="540" w:type="pct"/>
          </w:tcPr>
          <w:p ns1:paraId="5DE91A1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Pr>
          <w:p ns1:paraId="529A6D9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7</w:t>
            </w:r>
          </w:p>
        </w:tc>
      </w:tr>
      <w:tr ns1:paraId="4C3A94EF">
        <w:tc>
          <w:tcPr>
            <w:tcW w:w="3346" w:type="pct"/>
            <w:tcBorders>
              <w:top w:val="single" w:color="7E7E7E" w:themeColor="text1" w:themeTint="80" w:sz="4" w:space="0"/>
              <w:bottom w:val="single" w:color="7E7E7E" w:themeColor="text1" w:themeTint="80" w:sz="4" w:space="0"/>
            </w:tcBorders>
          </w:tcPr>
          <w:p ns1:paraId="5117B9C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基于BIM的装配式叠合梁构件深化设计平台开发与应用</w:t>
            </w:r>
          </w:p>
        </w:tc>
        <w:tc>
          <w:tcPr>
            <w:tcW w:w="676" w:type="pct"/>
            <w:tcBorders>
              <w:top w:val="single" w:color="7E7E7E" w:themeColor="text1" w:themeTint="80" w:sz="4" w:space="0"/>
              <w:bottom w:val="single" w:color="7E7E7E" w:themeColor="text1" w:themeTint="80" w:sz="4" w:space="0"/>
            </w:tcBorders>
          </w:tcPr>
          <w:p ns1:paraId="163EE86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Borders>
              <w:top w:val="single" w:color="7E7E7E" w:themeColor="text1" w:themeTint="80" w:sz="4" w:space="0"/>
              <w:bottom w:val="single" w:color="7E7E7E" w:themeColor="text1" w:themeTint="80" w:sz="4" w:space="0"/>
            </w:tcBorders>
          </w:tcPr>
          <w:p ns1:paraId="06667A7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tcPr>
          <w:p ns1:paraId="247589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28</w:t>
            </w:r>
          </w:p>
        </w:tc>
      </w:tr>
      <w:tr ns1:paraId="05D68717">
        <w:tc>
          <w:tcPr>
            <w:tcW w:w="3346" w:type="pct"/>
          </w:tcPr>
          <w:p ns1:paraId="7E70643F">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某超高层项目幕墙附属结构深化设计及BIM的应用</w:t>
            </w:r>
          </w:p>
        </w:tc>
        <w:tc>
          <w:tcPr>
            <w:tcW w:w="676" w:type="pct"/>
          </w:tcPr>
          <w:p ns1:paraId="38C2B36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Pr>
          <w:p ns1:paraId="206973A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Pr>
          <w:p ns1:paraId="0885889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6</w:t>
            </w:r>
          </w:p>
        </w:tc>
      </w:tr>
      <w:tr ns1:paraId="1A3EF487">
        <w:tc>
          <w:tcPr>
            <w:tcW w:w="3346" w:type="pct"/>
            <w:tcBorders>
              <w:top w:val="single" w:color="7E7E7E" w:themeColor="text1" w:themeTint="80" w:sz="4" w:space="0"/>
              <w:bottom w:val="single" w:color="7E7E7E" w:themeColor="text1" w:themeTint="80" w:sz="4" w:space="0"/>
            </w:tcBorders>
          </w:tcPr>
          <w:p ns1:paraId="12093C99">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面向DFMA的装配式异形BIM构件快速建模设计与深化应用</w:t>
            </w:r>
          </w:p>
        </w:tc>
        <w:tc>
          <w:tcPr>
            <w:tcW w:w="676" w:type="pct"/>
            <w:tcBorders>
              <w:top w:val="single" w:color="7E7E7E" w:themeColor="text1" w:themeTint="80" w:sz="4" w:space="0"/>
              <w:bottom w:val="single" w:color="7E7E7E" w:themeColor="text1" w:themeTint="80" w:sz="4" w:space="0"/>
            </w:tcBorders>
          </w:tcPr>
          <w:p ns1:paraId="076678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实验技术与管理</w:t>
            </w:r>
          </w:p>
        </w:tc>
        <w:tc>
          <w:tcPr>
            <w:tcW w:w="540" w:type="pct"/>
            <w:tcBorders>
              <w:top w:val="single" w:color="7E7E7E" w:themeColor="text1" w:themeTint="80" w:sz="4" w:space="0"/>
              <w:bottom w:val="single" w:color="7E7E7E" w:themeColor="text1" w:themeTint="80" w:sz="4" w:space="0"/>
            </w:tcBorders>
          </w:tcPr>
          <w:p ns1:paraId="013315F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ns1:paraId="1FDDC79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w:t>
            </w:r>
          </w:p>
        </w:tc>
      </w:tr>
      <w:tr ns1:paraId="45E44347">
        <w:tc>
          <w:tcPr>
            <w:tcW w:w="3346" w:type="pct"/>
          </w:tcPr>
          <w:p ns1:paraId="7C37AA01">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快速建造导向下的箱式房住宅DfMA深化设计策略研究——以SDC2021作品Aurora为例</w:t>
            </w:r>
          </w:p>
        </w:tc>
        <w:tc>
          <w:tcPr>
            <w:tcW w:w="676" w:type="pct"/>
          </w:tcPr>
          <w:p ns1:paraId="7E81F17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建筑科学</w:t>
            </w:r>
          </w:p>
        </w:tc>
        <w:tc>
          <w:tcPr>
            <w:tcW w:w="540" w:type="pct"/>
          </w:tcPr>
          <w:p ns1:paraId="5A18750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Pr>
          <w:p ns1:paraId="774FA7C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w:t>
            </w:r>
          </w:p>
        </w:tc>
      </w:tr>
      <w:tr ns1:paraId="38400403">
        <w:tc>
          <w:tcPr>
            <w:tcW w:w="3346" w:type="pct"/>
            <w:tcBorders>
              <w:top w:val="single" w:color="7E7E7E" w:themeColor="text1" w:themeTint="80" w:sz="4" w:space="0"/>
              <w:bottom w:val="single" w:color="7E7E7E" w:themeColor="text1" w:themeTint="80" w:sz="4" w:space="0"/>
            </w:tcBorders>
          </w:tcPr>
          <w:p ns1:paraId="60F5C771">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基于BIM技术的数字化结构设计与数字建造应用——以鄂州花湖机场转运中心工程为例</w:t>
            </w:r>
          </w:p>
        </w:tc>
        <w:tc>
          <w:tcPr>
            <w:tcW w:w="676" w:type="pct"/>
            <w:tcBorders>
              <w:top w:val="single" w:color="7E7E7E" w:themeColor="text1" w:themeTint="80" w:sz="4" w:space="0"/>
              <w:bottom w:val="single" w:color="7E7E7E" w:themeColor="text1" w:themeTint="80" w:sz="4" w:space="0"/>
            </w:tcBorders>
          </w:tcPr>
          <w:p ns1:paraId="4FF1334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tcPr>
          <w:p ns1:paraId="73494D4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tcPr>
          <w:p ns1:paraId="5E27CF1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26</w:t>
            </w:r>
          </w:p>
        </w:tc>
      </w:tr>
      <w:tr ns1:paraId="03C0C41C">
        <w:tc>
          <w:tcPr>
            <w:tcW w:w="3346" w:type="pct"/>
          </w:tcPr>
          <w:p ns1:paraId="0AE6C774">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基于模型预测控制的多钢筋并行排布智能深化设计方法</w:t>
            </w:r>
          </w:p>
        </w:tc>
        <w:tc>
          <w:tcPr>
            <w:tcW w:w="676" w:type="pct"/>
          </w:tcPr>
          <w:p ns1:paraId="527E50E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计算机工程</w:t>
            </w:r>
          </w:p>
        </w:tc>
        <w:tc>
          <w:tcPr>
            <w:tcW w:w="540" w:type="pct"/>
          </w:tcPr>
          <w:p ns1:paraId="52F1BA3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38" w:type="pct"/>
          </w:tcPr>
          <w:p ns1:paraId="1E8231E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w:t>
            </w:r>
          </w:p>
        </w:tc>
      </w:tr>
    </w:tbl>
    <w:p xmlns:w="http://schemas.openxmlformats.org/wordprocessingml/2006/main">
      <w:pPr>
        <w:spacing w:line="480" w:lineRule="auto"/>
        <w:ind w:firstLine="480" w:firstLineChars="200"/>
        <w:rPr>
          <w:rFonts w:ascii="宋体" w:hAnsi="宋体" w:eastAsia="宋体"/>
          <w:sz w:val="24"/>
          <w:szCs w:val="24"/>
        </w:rPr>
      </w:pPr>
      <w:r>
        <w:t xml:space="preserve">工程物联网侧重对建造现场状态的获取和传递，为模型分析与作业控制提供动态信息。该子领域在现有统计中包含125项专利，占专利样本的2.11%，相关文献为518篇。其应用对象覆盖人员行为、设备状态、构件状态及现场环境，专利和文献均较多涉及施工监测。专利侧重数据采集、检测系统及模块组织，文献则更多围绕结构监测和监测结果分析展开。两类材料共同体现了从状态获取到工程解释的联系，但不同技术分类中可能同时包含感知内容，较小的分类占比不直接代表现场感知作用有限。</w:t>
      </w:r>
    </w:p>
    <w:p xmlns:w="http://schemas.openxmlformats.org/wordprocessingml/2006/main">
      <w:pPr>
        <w:spacing w:line="480" w:lineRule="auto"/>
        <w:ind w:firstLine="480" w:firstLineChars="200"/>
        <w:rPr>
          <w:rFonts w:ascii="宋体" w:hAnsi="宋体" w:eastAsia="宋体"/>
          <w:sz w:val="24"/>
          <w:szCs w:val="24"/>
        </w:rPr>
      </w:pPr>
      <w:r>
        <w:t xml:space="preserve">装配式建筑吊装监测体现了工程物联网与构件施工之间的衔接。在既有技术描述中，无线拉力传感器布设于预制叠合板、预制剪力墙等构件的吊点，倾角传感器部署于起重机吊钩，系统采集吊索拉力、构件倾斜角度和提升速度等状态信息，为识别异常吊装状态及防范坠落、碰撞提供依据。施工监测分析系统则将数据采集、构件信息和数据分析模块连接起来，使测量值能够对应具体工程对象。此类方案的共同特征是将现场变化转化为可分析信息，进而服务于状态判断。</w:t>
      </w:r>
    </w:p>
    <w:p xmlns:w="http://schemas.openxmlformats.org/wordprocessingml/2006/main">
      <w:pPr>
        <w:spacing w:line="480" w:lineRule="auto"/>
        <w:ind w:firstLine="480" w:firstLineChars="200"/>
        <w:rPr>
          <w:rFonts w:ascii="宋体" w:hAnsi="宋体" w:eastAsia="宋体"/>
          <w:sz w:val="24"/>
          <w:szCs w:val="24"/>
        </w:rPr>
      </w:pPr>
      <w:r>
        <w:t xml:space="preserve">表3-4 工程物联网相关文献示例</w:t>
      </w:r>
    </w:p>
    <w:tbl xmlns:ns1="http://schemas.microsoft.com/office/word/2010/wordml" xmlns:w="http://schemas.openxmlformats.org/wordprocessingml/2006/main">
      <w:tblPr>
        <w:tblStyle w:val="93"/>
        <w:tblW w:w="505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165"/>
        <w:gridCol w:w="2066"/>
        <w:gridCol w:w="971"/>
        <w:gridCol w:w="788"/>
      </w:tblGrid>
      <w:tr ns1:paraId="532C328E">
        <w:tc>
          <w:tcPr>
            <w:tcW w:w="2873" w:type="pct"/>
            <w:tcBorders>
              <w:bottom w:val="single" w:color="7E7E7E" w:themeColor="text1" w:themeTint="80" w:sz="4" w:space="0"/>
              <w:insideH w:val="single" w:sz="4" w:space="0"/>
            </w:tcBorders>
          </w:tcPr>
          <w:p ns1:paraId="0BBB373E">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1149" w:type="pct"/>
            <w:tcBorders>
              <w:bottom w:val="single" w:color="7E7E7E" w:themeColor="text1" w:themeTint="80" w:sz="4" w:space="0"/>
              <w:insideH w:val="single" w:sz="4" w:space="0"/>
            </w:tcBorders>
          </w:tcPr>
          <w:p ns1:paraId="28430297">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40" w:type="pct"/>
            <w:tcBorders>
              <w:bottom w:val="single" w:color="7E7E7E" w:themeColor="text1" w:themeTint="80" w:sz="4" w:space="0"/>
              <w:insideH w:val="single" w:sz="4" w:space="0"/>
            </w:tcBorders>
          </w:tcPr>
          <w:p ns1:paraId="2DC7361F">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438" w:type="pct"/>
            <w:tcBorders>
              <w:bottom w:val="single" w:color="7E7E7E" w:themeColor="text1" w:themeTint="80" w:sz="4" w:space="0"/>
              <w:insideH w:val="single" w:sz="4" w:space="0"/>
            </w:tcBorders>
          </w:tcPr>
          <w:p ns1:paraId="4E73FFE1">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01B4438D">
        <w:tc>
          <w:tcPr>
            <w:tcW w:w="2873" w:type="pct"/>
            <w:tcBorders>
              <w:top w:val="single" w:color="7E7E7E" w:themeColor="text1" w:themeTint="80" w:sz="4" w:space="0"/>
              <w:bottom w:val="single" w:color="7E7E7E" w:themeColor="text1" w:themeTint="80" w:sz="4" w:space="0"/>
            </w:tcBorders>
            <w:vAlign w:val="center"/>
          </w:tcPr>
          <w:p ns1:paraId="619C46ED">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杭州某地铁车站深基坑开挖施工监测分析</w:t>
            </w:r>
          </w:p>
        </w:tc>
        <w:tc>
          <w:tcPr>
            <w:tcW w:w="1149" w:type="pct"/>
            <w:tcBorders>
              <w:top w:val="single" w:color="7E7E7E" w:themeColor="text1" w:themeTint="80" w:sz="4" w:space="0"/>
              <w:bottom w:val="single" w:color="7E7E7E" w:themeColor="text1" w:themeTint="80" w:sz="4" w:space="0"/>
            </w:tcBorders>
            <w:vAlign w:val="center"/>
          </w:tcPr>
          <w:p ns1:paraId="4359EE0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武汉大学学报(工学版)</w:t>
            </w:r>
          </w:p>
        </w:tc>
        <w:tc>
          <w:tcPr>
            <w:tcW w:w="540" w:type="pct"/>
            <w:tcBorders>
              <w:top w:val="single" w:color="7E7E7E" w:themeColor="text1" w:themeTint="80" w:sz="4" w:space="0"/>
              <w:bottom w:val="single" w:color="7E7E7E" w:themeColor="text1" w:themeTint="80" w:sz="4" w:space="0"/>
            </w:tcBorders>
            <w:vAlign w:val="center"/>
          </w:tcPr>
          <w:p ns1:paraId="6C0D6D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38" w:type="pct"/>
            <w:tcBorders>
              <w:top w:val="single" w:color="7E7E7E" w:themeColor="text1" w:themeTint="80" w:sz="4" w:space="0"/>
              <w:bottom w:val="single" w:color="7E7E7E" w:themeColor="text1" w:themeTint="80" w:sz="4" w:space="0"/>
            </w:tcBorders>
            <w:vAlign w:val="center"/>
          </w:tcPr>
          <w:p ns1:paraId="5A1C109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42</w:t>
            </w:r>
          </w:p>
        </w:tc>
      </w:tr>
      <w:tr ns1:paraId="0F93F0D0">
        <w:tc>
          <w:tcPr>
            <w:tcW w:w="2873" w:type="pct"/>
            <w:vAlign w:val="center"/>
          </w:tcPr>
          <w:p ns1:paraId="7B902686">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超长混凝土结构施工过程中的安全监测分析</w:t>
            </w:r>
          </w:p>
        </w:tc>
        <w:tc>
          <w:tcPr>
            <w:tcW w:w="1149" w:type="pct"/>
            <w:vAlign w:val="center"/>
          </w:tcPr>
          <w:p ns1:paraId="6422ECA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ns1:paraId="2ADC8F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38" w:type="pct"/>
            <w:vAlign w:val="center"/>
          </w:tcPr>
          <w:p ns1:paraId="6A8BC86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w:t>
            </w:r>
          </w:p>
        </w:tc>
      </w:tr>
      <w:tr ns1:paraId="78FAF568">
        <w:tc>
          <w:tcPr>
            <w:tcW w:w="2873" w:type="pct"/>
            <w:tcBorders>
              <w:top w:val="single" w:color="7E7E7E" w:themeColor="text1" w:themeTint="80" w:sz="4" w:space="0"/>
              <w:bottom w:val="single" w:color="7E7E7E" w:themeColor="text1" w:themeTint="80" w:sz="4" w:space="0"/>
            </w:tcBorders>
            <w:vAlign w:val="center"/>
          </w:tcPr>
          <w:p ns1:paraId="398A036D">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南京长江漫滩区某超大深基坑支护与监测结果分析</w:t>
            </w:r>
          </w:p>
        </w:tc>
        <w:tc>
          <w:tcPr>
            <w:tcW w:w="1149" w:type="pct"/>
            <w:tcBorders>
              <w:top w:val="single" w:color="7E7E7E" w:themeColor="text1" w:themeTint="80" w:sz="4" w:space="0"/>
              <w:bottom w:val="single" w:color="7E7E7E" w:themeColor="text1" w:themeTint="80" w:sz="4" w:space="0"/>
            </w:tcBorders>
            <w:vAlign w:val="center"/>
          </w:tcPr>
          <w:p ns1:paraId="7EB2385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南京工业大学学报(自然科学版)</w:t>
            </w:r>
          </w:p>
        </w:tc>
        <w:tc>
          <w:tcPr>
            <w:tcW w:w="540" w:type="pct"/>
            <w:tcBorders>
              <w:top w:val="single" w:color="7E7E7E" w:themeColor="text1" w:themeTint="80" w:sz="4" w:space="0"/>
              <w:bottom w:val="single" w:color="7E7E7E" w:themeColor="text1" w:themeTint="80" w:sz="4" w:space="0"/>
            </w:tcBorders>
            <w:vAlign w:val="center"/>
          </w:tcPr>
          <w:p ns1:paraId="1628A0A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38" w:type="pct"/>
            <w:tcBorders>
              <w:top w:val="single" w:color="7E7E7E" w:themeColor="text1" w:themeTint="80" w:sz="4" w:space="0"/>
              <w:bottom w:val="single" w:color="7E7E7E" w:themeColor="text1" w:themeTint="80" w:sz="4" w:space="0"/>
            </w:tcBorders>
            <w:vAlign w:val="center"/>
          </w:tcPr>
          <w:p ns1:paraId="2FA8C78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35</w:t>
            </w:r>
          </w:p>
        </w:tc>
      </w:tr>
      <w:tr ns1:paraId="29C49F62">
        <w:tc>
          <w:tcPr>
            <w:tcW w:w="2873" w:type="pct"/>
            <w:vAlign w:val="center"/>
          </w:tcPr>
          <w:p ns1:paraId="4EA58A8B">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复杂环境深基坑施工土体变形监测与分析</w:t>
            </w:r>
          </w:p>
        </w:tc>
        <w:tc>
          <w:tcPr>
            <w:tcW w:w="1149" w:type="pct"/>
            <w:vAlign w:val="center"/>
          </w:tcPr>
          <w:p ns1:paraId="3FC0E8C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建筑结构</w:t>
            </w:r>
          </w:p>
        </w:tc>
        <w:tc>
          <w:tcPr>
            <w:tcW w:w="540" w:type="pct"/>
            <w:vAlign w:val="center"/>
          </w:tcPr>
          <w:p ns1:paraId="66AE5A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vAlign w:val="center"/>
          </w:tcPr>
          <w:p ns1:paraId="49DC76C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ns1:paraId="1448FC9B">
        <w:tc>
          <w:tcPr>
            <w:tcW w:w="2873" w:type="pct"/>
            <w:tcBorders>
              <w:top w:val="single" w:color="7E7E7E" w:themeColor="text1" w:themeTint="80" w:sz="4" w:space="0"/>
              <w:bottom w:val="single" w:color="7E7E7E" w:themeColor="text1" w:themeTint="80" w:sz="4" w:space="0"/>
            </w:tcBorders>
            <w:vAlign w:val="center"/>
          </w:tcPr>
          <w:p ns1:paraId="7723413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基于统计过程控制的建筑沉降监测分析方法</w:t>
            </w:r>
          </w:p>
        </w:tc>
        <w:tc>
          <w:tcPr>
            <w:tcW w:w="1149" w:type="pct"/>
            <w:tcBorders>
              <w:top w:val="single" w:color="7E7E7E" w:themeColor="text1" w:themeTint="80" w:sz="4" w:space="0"/>
              <w:bottom w:val="single" w:color="7E7E7E" w:themeColor="text1" w:themeTint="80" w:sz="4" w:space="0"/>
            </w:tcBorders>
            <w:vAlign w:val="center"/>
          </w:tcPr>
          <w:p ns1:paraId="1E89302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北京工业大学学报</w:t>
            </w:r>
          </w:p>
        </w:tc>
        <w:tc>
          <w:tcPr>
            <w:tcW w:w="540" w:type="pct"/>
            <w:tcBorders>
              <w:top w:val="single" w:color="7E7E7E" w:themeColor="text1" w:themeTint="80" w:sz="4" w:space="0"/>
              <w:bottom w:val="single" w:color="7E7E7E" w:themeColor="text1" w:themeTint="80" w:sz="4" w:space="0"/>
            </w:tcBorders>
            <w:vAlign w:val="center"/>
          </w:tcPr>
          <w:p ns1:paraId="1007F3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38" w:type="pct"/>
            <w:tcBorders>
              <w:top w:val="single" w:color="7E7E7E" w:themeColor="text1" w:themeTint="80" w:sz="4" w:space="0"/>
              <w:bottom w:val="single" w:color="7E7E7E" w:themeColor="text1" w:themeTint="80" w:sz="4" w:space="0"/>
            </w:tcBorders>
            <w:vAlign w:val="center"/>
          </w:tcPr>
          <w:p ns1:paraId="1C02036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ns1:paraId="138EF08B">
        <w:tc>
          <w:tcPr>
            <w:tcW w:w="2873" w:type="pct"/>
            <w:vAlign w:val="center"/>
          </w:tcPr>
          <w:p ns1:paraId="4F0F81A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软土地区深基坑监测技术项目实例分析</w:t>
            </w:r>
          </w:p>
        </w:tc>
        <w:tc>
          <w:tcPr>
            <w:tcW w:w="1149" w:type="pct"/>
            <w:vAlign w:val="center"/>
          </w:tcPr>
          <w:p ns1:paraId="20EDB81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ns1:paraId="5ABCFF3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ns1:paraId="1F9789D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ns1:paraId="5E12D5AB">
        <w:tc>
          <w:tcPr>
            <w:tcW w:w="2873" w:type="pct"/>
            <w:tcBorders>
              <w:top w:val="single" w:color="7E7E7E" w:themeColor="text1" w:themeTint="80" w:sz="4" w:space="0"/>
              <w:bottom w:val="single" w:color="7E7E7E" w:themeColor="text1" w:themeTint="80" w:sz="4" w:space="0"/>
            </w:tcBorders>
            <w:vAlign w:val="center"/>
          </w:tcPr>
          <w:p ns1:paraId="6DAEC14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高层建筑深基坑开挖监测与变形特性分析</w:t>
            </w:r>
          </w:p>
        </w:tc>
        <w:tc>
          <w:tcPr>
            <w:tcW w:w="1149" w:type="pct"/>
            <w:tcBorders>
              <w:top w:val="single" w:color="7E7E7E" w:themeColor="text1" w:themeTint="80" w:sz="4" w:space="0"/>
              <w:bottom w:val="single" w:color="7E7E7E" w:themeColor="text1" w:themeTint="80" w:sz="4" w:space="0"/>
            </w:tcBorders>
            <w:vAlign w:val="center"/>
          </w:tcPr>
          <w:p ns1:paraId="64390D1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tcBorders>
              <w:top w:val="single" w:color="7E7E7E" w:themeColor="text1" w:themeTint="80" w:sz="4" w:space="0"/>
              <w:bottom w:val="single" w:color="7E7E7E" w:themeColor="text1" w:themeTint="80" w:sz="4" w:space="0"/>
            </w:tcBorders>
            <w:vAlign w:val="center"/>
          </w:tcPr>
          <w:p ns1:paraId="7BB81EF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ns1:paraId="6188F45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ns1:paraId="527FEBDE">
        <w:tc>
          <w:tcPr>
            <w:tcW w:w="2873" w:type="pct"/>
            <w:vAlign w:val="center"/>
          </w:tcPr>
          <w:p ns1:paraId="139BEB1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大面积深基坑工程支护设计与变形监测分析</w:t>
            </w:r>
          </w:p>
        </w:tc>
        <w:tc>
          <w:tcPr>
            <w:tcW w:w="1149" w:type="pct"/>
            <w:vAlign w:val="center"/>
          </w:tcPr>
          <w:p ns1:paraId="5F95E53B">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w:t>
            </w:r>
          </w:p>
        </w:tc>
        <w:tc>
          <w:tcPr>
            <w:tcW w:w="540" w:type="pct"/>
            <w:vAlign w:val="center"/>
          </w:tcPr>
          <w:p ns1:paraId="1488048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vAlign w:val="center"/>
          </w:tcPr>
          <w:p ns1:paraId="41220E0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8</w:t>
            </w:r>
          </w:p>
        </w:tc>
      </w:tr>
      <w:tr ns1:paraId="4FE50928">
        <w:tc>
          <w:tcPr>
            <w:tcW w:w="2873" w:type="pct"/>
            <w:tcBorders>
              <w:top w:val="single" w:color="7E7E7E" w:themeColor="text1" w:themeTint="80" w:sz="4" w:space="0"/>
              <w:bottom w:val="single" w:color="7E7E7E" w:themeColor="text1" w:themeTint="80" w:sz="4" w:space="0"/>
            </w:tcBorders>
            <w:vAlign w:val="center"/>
          </w:tcPr>
          <w:p ns1:paraId="108883A3">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基于北斗卫星导航系统的地下车库深基坑沉降监测与分析</w:t>
            </w:r>
          </w:p>
        </w:tc>
        <w:tc>
          <w:tcPr>
            <w:tcW w:w="1149" w:type="pct"/>
            <w:tcBorders>
              <w:top w:val="single" w:color="7E7E7E" w:themeColor="text1" w:themeTint="80" w:sz="4" w:space="0"/>
              <w:bottom w:val="single" w:color="7E7E7E" w:themeColor="text1" w:themeTint="80" w:sz="4" w:space="0"/>
            </w:tcBorders>
            <w:vAlign w:val="center"/>
          </w:tcPr>
          <w:p ns1:paraId="602EAB7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40" w:type="pct"/>
            <w:tcBorders>
              <w:top w:val="single" w:color="7E7E7E" w:themeColor="text1" w:themeTint="80" w:sz="4" w:space="0"/>
              <w:bottom w:val="single" w:color="7E7E7E" w:themeColor="text1" w:themeTint="80" w:sz="4" w:space="0"/>
            </w:tcBorders>
            <w:vAlign w:val="center"/>
          </w:tcPr>
          <w:p ns1:paraId="7975480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38" w:type="pct"/>
            <w:tcBorders>
              <w:top w:val="single" w:color="7E7E7E" w:themeColor="text1" w:themeTint="80" w:sz="4" w:space="0"/>
              <w:bottom w:val="single" w:color="7E7E7E" w:themeColor="text1" w:themeTint="80" w:sz="4" w:space="0"/>
            </w:tcBorders>
            <w:vAlign w:val="center"/>
          </w:tcPr>
          <w:p ns1:paraId="235A07A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ns1:paraId="2F98D782">
        <w:tc>
          <w:tcPr>
            <w:tcW w:w="2873" w:type="pct"/>
            <w:vAlign w:val="center"/>
          </w:tcPr>
          <w:p ns1:paraId="209D1BCD">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1149" w:type="pct"/>
            <w:vAlign w:val="center"/>
          </w:tcPr>
          <w:p ns1:paraId="464039E6">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0" w:type="pct"/>
            <w:vAlign w:val="center"/>
          </w:tcPr>
          <w:p ns1:paraId="28FA0FC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38" w:type="pct"/>
            <w:vAlign w:val="center"/>
          </w:tcPr>
          <w:p ns1:paraId="1C3B723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xmlns:w="http://schemas.openxmlformats.org/wordprocessingml/2006/main">
      <w:pPr>
        <w:spacing w:line="480" w:lineRule="auto"/>
        <w:ind w:firstLine="480" w:firstLineChars="200"/>
        <w:rPr>
          <w:rFonts w:ascii="宋体" w:hAnsi="宋体" w:eastAsia="宋体"/>
          <w:sz w:val="24"/>
          <w:szCs w:val="24"/>
        </w:rPr>
      </w:pPr>
      <w:r>
        <w:t xml:space="preserve">表3-4中的研究涉及深基坑、超长混凝土结构、建筑沉降及周边土体变形，说明监测技术的工程解释与结构形式、施工过程及环境条件相联系。同一类传感信息在不同对象中具有不同的评价含义，例如沉降变化与支护结构变形分别关联不同的安全控制问题。因此，物联网技术的分析既包括传感与通信能力，也包括数据与工程状态之间的对应方式。这一特点使其能够与软件模型、施工装备和平台分析形成交叉联系。</w:t>
      </w:r>
    </w:p>
    <w:p xmlns:w="http://schemas.openxmlformats.org/wordprocessingml/2006/main">
      <w:pPr>
        <w:spacing w:line="480" w:lineRule="auto"/>
        <w:ind w:firstLine="480" w:firstLineChars="200"/>
        <w:rPr>
          <w:rFonts w:ascii="宋体" w:hAnsi="宋体" w:eastAsia="宋体"/>
          <w:sz w:val="24"/>
          <w:szCs w:val="24"/>
        </w:rPr>
      </w:pPr>
      <w:r>
        <w:t xml:space="preserve">构件智能生产围绕构件成型、连接及制造过程展开，相关专利共1922项。装配式建筑相关方案较多涉及墙体预制构件的结构设计和连接工艺，关注工厂制造与现场安装的适配。既有描述中的预制节点连接方案，在工厂将连接件与柱体焊接固定，并设置内螺纹螺栓孔和定位销孔；梁端预设相匹配的法兰盘，以长圆孔为安装调整提供余量。该类技术将连接构造、定位方式和施工容差纳入同一方案，反映出构件生产与装配任务之间的紧密联系。</w:t>
      </w:r>
    </w:p>
    <w:p xmlns:w="http://schemas.openxmlformats.org/wordprocessingml/2006/main">
      <w:pPr>
        <w:spacing w:line="480" w:lineRule="auto"/>
        <w:ind w:firstLine="480" w:firstLineChars="200"/>
        <w:rPr>
          <w:rFonts w:ascii="宋体" w:hAnsi="宋体" w:eastAsia="宋体"/>
          <w:sz w:val="24"/>
          <w:szCs w:val="24"/>
        </w:rPr>
      </w:pPr>
      <w:r>
        <w:t xml:space="preserve">[图3-6 装配式建筑相关技术词云（待插入）]</w:t>
      </w:r>
    </w:p>
    <w:p xmlns:w="http://schemas.openxmlformats.org/wordprocessingml/2006/main">
      <w:pPr>
        <w:spacing w:line="480" w:lineRule="auto"/>
        <w:ind w:firstLine="480" w:firstLineChars="200"/>
        <w:rPr>
          <w:rFonts w:ascii="宋体" w:hAnsi="宋体" w:eastAsia="宋体"/>
          <w:sz w:val="24"/>
          <w:szCs w:val="24"/>
        </w:rPr>
      </w:pPr>
      <w:r>
        <w:t xml:space="preserve">3D打印以数字模型和逐层成型方式组织构件制造，现有专利内容主要涉及材料性能测试及打印路径规划。与预制构件连接工艺相比，其关注点进一步延伸至材料能否按预定方式沉积、打印过程如何适应几何形态等问题。表3-5中的网格遍历路径优化、水下建筑砂浆性能测试及多层打印路径规划，分别从路径和材料条件切入成型过程。数字模型、材料行为与设备运动共同约束构件的实际形成，由此构成软件设计与物理制造之间的联系。</w:t>
      </w:r>
    </w:p>
    <w:p xmlns:w="http://schemas.openxmlformats.org/wordprocessingml/2006/main">
      <w:pPr>
        <w:spacing w:line="480" w:lineRule="auto"/>
        <w:ind w:firstLine="480" w:firstLineChars="200"/>
        <w:rPr>
          <w:rFonts w:ascii="宋体" w:hAnsi="宋体" w:eastAsia="宋体"/>
          <w:sz w:val="24"/>
          <w:szCs w:val="24"/>
        </w:rPr>
      </w:pPr>
      <w:r>
        <w:t xml:space="preserve">[图3-7 3D打印相关技术词云（待插入）]</w:t>
      </w:r>
    </w:p>
    <w:p xmlns:w="http://schemas.openxmlformats.org/wordprocessingml/2006/main">
      <w:pPr>
        <w:spacing w:line="480" w:lineRule="auto"/>
        <w:ind w:firstLine="480" w:firstLineChars="200"/>
        <w:rPr>
          <w:rFonts w:ascii="宋体" w:hAnsi="宋体" w:eastAsia="宋体"/>
          <w:sz w:val="24"/>
          <w:szCs w:val="24"/>
        </w:rPr>
      </w:pPr>
      <w:r>
        <w:t xml:space="preserve">表3-5 构件智能生产相关专利示例</w:t>
      </w:r>
    </w:p>
    <w:tbl xmlns:ns1="http://schemas.microsoft.com/office/word/2010/wordml" xmlns:w="http://schemas.openxmlformats.org/wordprocessingml/2006/main">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ns1:paraId="400D114E">
        <w:trPr>
          <w:trHeight w:val="510" w:hRule="atLeast"/>
        </w:trPr>
        <w:tc>
          <w:tcPr>
            <w:tcW w:w="5159" w:type="dxa"/>
            <w:tcBorders>
              <w:bottom w:val="single" w:color="7E7E7E" w:themeColor="text1" w:themeTint="80" w:sz="4" w:space="0"/>
              <w:insideH w:val="single" w:sz="4" w:space="0"/>
            </w:tcBorders>
            <w:vAlign w:val="center"/>
          </w:tcPr>
          <w:p ns1:paraId="3569436B">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w:t>
            </w:r>
          </w:p>
        </w:tc>
        <w:tc>
          <w:tcPr>
            <w:tcW w:w="1476" w:type="dxa"/>
            <w:tcBorders>
              <w:bottom w:val="single" w:color="7E7E7E" w:themeColor="text1" w:themeTint="80" w:sz="4" w:space="0"/>
              <w:insideH w:val="single" w:sz="4" w:space="0"/>
            </w:tcBorders>
            <w:vAlign w:val="center"/>
          </w:tcPr>
          <w:p ns1:paraId="224C3F09">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专利号</w:t>
            </w:r>
          </w:p>
        </w:tc>
        <w:tc>
          <w:tcPr>
            <w:tcW w:w="1303" w:type="dxa"/>
            <w:tcBorders>
              <w:bottom w:val="single" w:color="7E7E7E" w:themeColor="text1" w:themeTint="80" w:sz="4" w:space="0"/>
              <w:insideH w:val="single" w:sz="4" w:space="0"/>
            </w:tcBorders>
            <w:vAlign w:val="center"/>
          </w:tcPr>
          <w:p ns1:paraId="621AFA9C">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申请时间</w:t>
            </w:r>
          </w:p>
        </w:tc>
      </w:tr>
      <w:tr ns1:paraId="6D1A1243">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505DC6F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一种预制型钢混凝土剪力墙预拼结构装配式建筑</w:t>
            </w:r>
          </w:p>
        </w:tc>
        <w:tc>
          <w:tcPr>
            <w:tcW w:w="1476" w:type="dxa"/>
            <w:tcBorders>
              <w:top w:val="single" w:color="7E7E7E" w:themeColor="text1" w:themeTint="80" w:sz="4" w:space="0"/>
              <w:bottom w:val="single" w:color="7E7E7E" w:themeColor="text1" w:themeTint="80" w:sz="4" w:space="0"/>
            </w:tcBorders>
            <w:vAlign w:val="center"/>
          </w:tcPr>
          <w:p ns1:paraId="38A78FBC">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CN105089178A</w:t>
            </w:r>
          </w:p>
        </w:tc>
        <w:tc>
          <w:tcPr>
            <w:tcW w:w="1303" w:type="dxa"/>
            <w:tcBorders>
              <w:top w:val="single" w:color="7E7E7E" w:themeColor="text1" w:themeTint="80" w:sz="4" w:space="0"/>
              <w:bottom w:val="single" w:color="7E7E7E" w:themeColor="text1" w:themeTint="80" w:sz="4" w:space="0"/>
            </w:tcBorders>
            <w:vAlign w:val="center"/>
          </w:tcPr>
          <w:p ns1:paraId="0F41DF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2015/7/21</w:t>
            </w:r>
          </w:p>
        </w:tc>
      </w:tr>
      <w:tr ns1:paraId="631F71A7">
        <w:trPr>
          <w:trHeight w:val="510" w:hRule="atLeast"/>
        </w:trPr>
        <w:tc>
          <w:tcPr>
            <w:tcW w:w="5159" w:type="dxa"/>
            <w:vAlign w:val="center"/>
          </w:tcPr>
          <w:p ns1:paraId="1C3B784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一种基于网格遍历的3D打印路径优化方法及系统</w:t>
            </w:r>
          </w:p>
        </w:tc>
        <w:tc>
          <w:tcPr>
            <w:tcW w:w="1476" w:type="dxa"/>
            <w:vAlign w:val="center"/>
          </w:tcPr>
          <w:p ns1:paraId="3082BB1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CN115246223A</w:t>
            </w:r>
          </w:p>
        </w:tc>
        <w:tc>
          <w:tcPr>
            <w:tcW w:w="1303" w:type="dxa"/>
            <w:vAlign w:val="center"/>
          </w:tcPr>
          <w:p ns1:paraId="224F9BF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2022/6/6</w:t>
            </w:r>
          </w:p>
        </w:tc>
      </w:tr>
      <w:tr ns1:paraId="023E1A43">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4857F779">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一种水下3D打印建筑砂浆性能的测试方法</w:t>
            </w:r>
          </w:p>
        </w:tc>
        <w:tc>
          <w:tcPr>
            <w:tcW w:w="1476" w:type="dxa"/>
            <w:tcBorders>
              <w:top w:val="single" w:color="7E7E7E" w:themeColor="text1" w:themeTint="80" w:sz="4" w:space="0"/>
              <w:bottom w:val="single" w:color="7E7E7E" w:themeColor="text1" w:themeTint="80" w:sz="4" w:space="0"/>
            </w:tcBorders>
            <w:vAlign w:val="center"/>
          </w:tcPr>
          <w:p ns1:paraId="71BDB4B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CN108303524A</w:t>
            </w:r>
          </w:p>
        </w:tc>
        <w:tc>
          <w:tcPr>
            <w:tcW w:w="1303" w:type="dxa"/>
            <w:tcBorders>
              <w:top w:val="single" w:color="7E7E7E" w:themeColor="text1" w:themeTint="80" w:sz="4" w:space="0"/>
              <w:bottom w:val="single" w:color="7E7E7E" w:themeColor="text1" w:themeTint="80" w:sz="4" w:space="0"/>
            </w:tcBorders>
            <w:vAlign w:val="center"/>
          </w:tcPr>
          <w:p ns1:paraId="15CA0568">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2018/3/23</w:t>
            </w:r>
          </w:p>
        </w:tc>
      </w:tr>
      <w:tr ns1:paraId="0E4AC4E2">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238227A7">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一种混凝土预制构件拼接结构及施工方法</w:t>
            </w:r>
          </w:p>
        </w:tc>
        <w:tc>
          <w:tcPr>
            <w:tcW w:w="1476" w:type="dxa"/>
            <w:tcBorders>
              <w:top w:val="single" w:color="7E7E7E" w:themeColor="text1" w:themeTint="80" w:sz="4" w:space="0"/>
              <w:bottom w:val="single" w:color="7E7E7E" w:themeColor="text1" w:themeTint="80" w:sz="4" w:space="0"/>
            </w:tcBorders>
            <w:vAlign w:val="center"/>
          </w:tcPr>
          <w:p ns1:paraId="5337E4B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CN115781888A</w:t>
            </w:r>
          </w:p>
        </w:tc>
        <w:tc>
          <w:tcPr>
            <w:tcW w:w="1303" w:type="dxa"/>
            <w:tcBorders>
              <w:top w:val="single" w:color="7E7E7E" w:themeColor="text1" w:themeTint="80" w:sz="4" w:space="0"/>
              <w:bottom w:val="single" w:color="7E7E7E" w:themeColor="text1" w:themeTint="80" w:sz="4" w:space="0"/>
            </w:tcBorders>
            <w:vAlign w:val="center"/>
          </w:tcPr>
          <w:p ns1:paraId="224D65E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2022/11/24</w:t>
            </w:r>
          </w:p>
        </w:tc>
      </w:tr>
      <w:tr ns1:paraId="2ED53436">
        <w:trPr>
          <w:trHeight w:val="510" w:hRule="atLeast"/>
        </w:trPr>
        <w:tc>
          <w:tcPr>
            <w:tcW w:w="5159" w:type="dxa"/>
            <w:vAlign w:val="center"/>
          </w:tcPr>
          <w:p ns1:paraId="656FB88A">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一种电磁吸波混凝土多层3D打印路径规划方法</w:t>
            </w:r>
          </w:p>
        </w:tc>
        <w:tc>
          <w:tcPr>
            <w:tcW w:w="1476" w:type="dxa"/>
            <w:vAlign w:val="center"/>
          </w:tcPr>
          <w:p ns1:paraId="0A0766F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CN116922532B</w:t>
            </w:r>
          </w:p>
        </w:tc>
        <w:tc>
          <w:tcPr>
            <w:tcW w:w="1303" w:type="dxa"/>
            <w:vAlign w:val="center"/>
          </w:tcPr>
          <w:p ns1:paraId="5904F91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2023/7/20</w:t>
            </w:r>
          </w:p>
        </w:tc>
      </w:tr>
    </w:tbl>
    <w:p xmlns:w="http://schemas.openxmlformats.org/wordprocessingml/2006/main">
      <w:pPr>
        <w:spacing w:line="480" w:lineRule="auto"/>
        <w:ind w:firstLine="480" w:firstLineChars="200"/>
        <w:rPr>
          <w:rFonts w:ascii="宋体" w:hAnsi="宋体" w:eastAsia="宋体"/>
          <w:sz w:val="24"/>
          <w:szCs w:val="24"/>
        </w:rPr>
      </w:pPr>
      <w:r>
        <w:t xml:space="preserve">装配式建筑相关文献共858篇，研究较多围绕预制构件的力学性能展开。既有文献分析涉及抗压、抗弯和抗剪试验，以及配合比、配筋率和养护条件对构件性能的影响。通过试验数据和相应模型解释构件受力规律，可以为结构设计与制造条件之间的匹配提供依据。上述试验属于所分析文献的研究内容，其研究对象和方法为本章解释构件生产的技术特征提供依据。专利中的连接设计与文献中的性能研究分别体现方案构造和性能依据，二者在工程应用中相互联系。</w:t>
      </w:r>
    </w:p>
    <w:p xmlns:w="http://schemas.openxmlformats.org/wordprocessingml/2006/main">
      <w:pPr>
        <w:spacing w:line="480" w:lineRule="auto"/>
        <w:ind w:firstLine="480" w:firstLineChars="200"/>
        <w:rPr>
          <w:rFonts w:ascii="宋体" w:hAnsi="宋体" w:eastAsia="宋体"/>
          <w:sz w:val="24"/>
          <w:szCs w:val="24"/>
        </w:rPr>
      </w:pPr>
      <w:r>
        <w:t xml:space="preserve">3D打印相关文献共350篇，重点包括基体材料、打印工艺与力学性能。既有材料描述了以普通硅酸盐水泥为基材，掺入矿粉、硅灰及纤维素醚等组分配制打印混凝土，并通过棱柱体试件的层间剪切测试考察黏结性能的研究思路。表3-6所列文献进一步涉及收缩开裂、粗骨料适应性、孔结构缺陷和纤维增强等问题。这些内容说明，几何成型能力与材料服役性能是相互关联的研究对象，打印技术的发展同时受工艺过程和结构性能要求约束。</w:t>
      </w:r>
    </w:p>
    <w:p xmlns:w="http://schemas.openxmlformats.org/wordprocessingml/2006/main">
      <w:pPr>
        <w:spacing w:line="480" w:lineRule="auto"/>
        <w:ind w:firstLine="480" w:firstLineChars="200"/>
        <w:rPr>
          <w:rFonts w:ascii="宋体" w:hAnsi="宋体" w:eastAsia="宋体"/>
          <w:sz w:val="24"/>
          <w:szCs w:val="24"/>
        </w:rPr>
      </w:pPr>
      <w:r>
        <w:t xml:space="preserve">表3-6 构件智能生产相关文献示例</w:t>
      </w:r>
    </w:p>
    <w:tbl xmlns:ns1="http://schemas.microsoft.com/office/word/2010/wordml" xmlns:w="http://schemas.openxmlformats.org/wordprocessingml/2006/main">
      <w:tblPr>
        <w:tblStyle w:val="93"/>
        <w:tblW w:w="4980"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594"/>
        <w:gridCol w:w="1519"/>
        <w:gridCol w:w="972"/>
        <w:gridCol w:w="780"/>
      </w:tblGrid>
      <w:tr ns1:paraId="0700517A">
        <w:tc>
          <w:tcPr>
            <w:tcW w:w="3155" w:type="pct"/>
            <w:tcBorders>
              <w:bottom w:val="single" w:color="7E7E7E" w:themeColor="text1" w:themeTint="80" w:sz="4" w:space="0"/>
              <w:insideH w:val="single" w:sz="4" w:space="0"/>
            </w:tcBorders>
          </w:tcPr>
          <w:p ns1:paraId="520EF8D3">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857" w:type="pct"/>
            <w:tcBorders>
              <w:bottom w:val="single" w:color="7E7E7E" w:themeColor="text1" w:themeTint="80" w:sz="4" w:space="0"/>
              <w:insideH w:val="single" w:sz="4" w:space="0"/>
            </w:tcBorders>
          </w:tcPr>
          <w:p ns1:paraId="236C85EE">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48" w:type="pct"/>
            <w:tcBorders>
              <w:bottom w:val="single" w:color="7E7E7E" w:themeColor="text1" w:themeTint="80" w:sz="4" w:space="0"/>
              <w:insideH w:val="single" w:sz="4" w:space="0"/>
            </w:tcBorders>
          </w:tcPr>
          <w:p ns1:paraId="155AB5AF">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441" w:type="pct"/>
            <w:tcBorders>
              <w:bottom w:val="single" w:color="7E7E7E" w:themeColor="text1" w:themeTint="80" w:sz="4" w:space="0"/>
              <w:insideH w:val="single" w:sz="4" w:space="0"/>
            </w:tcBorders>
          </w:tcPr>
          <w:p ns1:paraId="53F8B338">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61DF622C">
        <w:tc>
          <w:tcPr>
            <w:tcW w:w="3155" w:type="pct"/>
            <w:tcBorders>
              <w:top w:val="single" w:color="7E7E7E" w:themeColor="text1" w:themeTint="80" w:sz="4" w:space="0"/>
              <w:bottom w:val="single" w:color="7E7E7E" w:themeColor="text1" w:themeTint="80" w:sz="4" w:space="0"/>
            </w:tcBorders>
            <w:vAlign w:val="center"/>
          </w:tcPr>
          <w:p ns1:paraId="3242588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3D打印结构加强混凝土短柱抗压力学性能研究</w:t>
            </w:r>
          </w:p>
        </w:tc>
        <w:tc>
          <w:tcPr>
            <w:tcW w:w="857" w:type="pct"/>
            <w:tcBorders>
              <w:top w:val="single" w:color="7E7E7E" w:themeColor="text1" w:themeTint="80" w:sz="4" w:space="0"/>
              <w:bottom w:val="single" w:color="7E7E7E" w:themeColor="text1" w:themeTint="80" w:sz="4" w:space="0"/>
            </w:tcBorders>
            <w:vAlign w:val="bottom"/>
          </w:tcPr>
          <w:p ns1:paraId="364B67D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实验力学</w:t>
            </w:r>
          </w:p>
        </w:tc>
        <w:tc>
          <w:tcPr>
            <w:tcW w:w="548" w:type="pct"/>
            <w:tcBorders>
              <w:top w:val="single" w:color="7E7E7E" w:themeColor="text1" w:themeTint="80" w:sz="4" w:space="0"/>
              <w:bottom w:val="single" w:color="7E7E7E" w:themeColor="text1" w:themeTint="80" w:sz="4" w:space="0"/>
            </w:tcBorders>
            <w:vAlign w:val="bottom"/>
          </w:tcPr>
          <w:p ns1:paraId="05DBAEC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41" w:type="pct"/>
            <w:tcBorders>
              <w:top w:val="single" w:color="7E7E7E" w:themeColor="text1" w:themeTint="80" w:sz="4" w:space="0"/>
              <w:bottom w:val="single" w:color="7E7E7E" w:themeColor="text1" w:themeTint="80" w:sz="4" w:space="0"/>
            </w:tcBorders>
            <w:vAlign w:val="bottom"/>
          </w:tcPr>
          <w:p ns1:paraId="57CCAB9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ns1:paraId="47384D1F">
        <w:tc>
          <w:tcPr>
            <w:tcW w:w="3155" w:type="pct"/>
            <w:vAlign w:val="center"/>
          </w:tcPr>
          <w:p ns1:paraId="51C6132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蒸养制度对预制构件混凝土早期强度的影响研究</w:t>
            </w:r>
          </w:p>
        </w:tc>
        <w:tc>
          <w:tcPr>
            <w:tcW w:w="857" w:type="pct"/>
            <w:vAlign w:val="bottom"/>
          </w:tcPr>
          <w:p ns1:paraId="36DA22A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混凝土与水泥制品</w:t>
            </w:r>
          </w:p>
        </w:tc>
        <w:tc>
          <w:tcPr>
            <w:tcW w:w="548" w:type="pct"/>
            <w:vAlign w:val="bottom"/>
          </w:tcPr>
          <w:p ns1:paraId="697025D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2019</w:t>
            </w:r>
          </w:p>
        </w:tc>
        <w:tc>
          <w:tcPr>
            <w:tcW w:w="441" w:type="pct"/>
            <w:vAlign w:val="bottom"/>
          </w:tcPr>
          <w:p ns1:paraId="0E68029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47</w:t>
            </w:r>
          </w:p>
        </w:tc>
      </w:tr>
      <w:tr ns1:paraId="48526909">
        <w:tc>
          <w:tcPr>
            <w:tcW w:w="3155" w:type="pct"/>
            <w:tcBorders>
              <w:top w:val="single" w:color="7E7E7E" w:themeColor="text1" w:themeTint="80" w:sz="4" w:space="0"/>
              <w:bottom w:val="single" w:color="7E7E7E" w:themeColor="text1" w:themeTint="80" w:sz="4" w:space="0"/>
            </w:tcBorders>
            <w:vAlign w:val="center"/>
          </w:tcPr>
          <w:p ns1:paraId="55F3782D">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打印工艺对3D打印混凝土层间黏结性能研究</w:t>
            </w:r>
          </w:p>
        </w:tc>
        <w:tc>
          <w:tcPr>
            <w:tcW w:w="857" w:type="pct"/>
            <w:tcBorders>
              <w:top w:val="single" w:color="7E7E7E" w:themeColor="text1" w:themeTint="80" w:sz="4" w:space="0"/>
              <w:bottom w:val="single" w:color="7E7E7E" w:themeColor="text1" w:themeTint="80" w:sz="4" w:space="0"/>
            </w:tcBorders>
            <w:vAlign w:val="bottom"/>
          </w:tcPr>
          <w:p ns1:paraId="78562EFC">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水力发电学报</w:t>
            </w:r>
          </w:p>
        </w:tc>
        <w:tc>
          <w:tcPr>
            <w:tcW w:w="548" w:type="pct"/>
            <w:tcBorders>
              <w:top w:val="single" w:color="7E7E7E" w:themeColor="text1" w:themeTint="80" w:sz="4" w:space="0"/>
              <w:bottom w:val="single" w:color="7E7E7E" w:themeColor="text1" w:themeTint="80" w:sz="4" w:space="0"/>
            </w:tcBorders>
            <w:vAlign w:val="bottom"/>
          </w:tcPr>
          <w:p ns1:paraId="1D55752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w:t>
            </w:r>
          </w:p>
        </w:tc>
        <w:tc>
          <w:tcPr>
            <w:tcW w:w="441" w:type="pct"/>
            <w:tcBorders>
              <w:top w:val="single" w:color="7E7E7E" w:themeColor="text1" w:themeTint="80" w:sz="4" w:space="0"/>
              <w:bottom w:val="single" w:color="7E7E7E" w:themeColor="text1" w:themeTint="80" w:sz="4" w:space="0"/>
            </w:tcBorders>
            <w:vAlign w:val="bottom"/>
          </w:tcPr>
          <w:p ns1:paraId="727D347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ns1:paraId="6334706E">
        <w:tc>
          <w:tcPr>
            <w:tcW w:w="3155" w:type="pct"/>
            <w:vAlign w:val="center"/>
          </w:tcPr>
          <w:p ns1:paraId="1C9453EA">
            <w:pPr>
              <w:pStyle w:val="33"/>
              <w:widowControl/>
              <w:spacing w:beforeAutospacing="0" w:afterAutospacing="0" w:line="360" w:lineRule="auto"/>
              <w:jc w:val="both"/>
              <w:rPr>
                <w:rFonts w:ascii="宋体" w:hAnsi="宋体" w:eastAsia="宋体"/>
                <w:b w:val="0"/>
                <w:bCs w:val="0"/>
                <w:sz w:val="21"/>
                <w:szCs w:val="21"/>
              </w:rPr>
            </w:pPr>
            <w:r>
              <w:rPr>
                <w:rFonts w:hint="eastAsia" w:ascii="宋体" w:hAnsi="宋体" w:eastAsia="宋体" w:cs="宋体"/>
                <w:b w:val="0"/>
                <w:bCs w:val="0"/>
                <w:color w:val="000000"/>
                <w:sz w:val="21"/>
                <w:szCs w:val="21"/>
                <w:lang w:bidi="ar"/>
              </w:rPr>
              <w:t>HB-CSA与膨胀剂对3D打印混凝土收缩开裂性能的影响</w:t>
            </w:r>
          </w:p>
        </w:tc>
        <w:tc>
          <w:tcPr>
            <w:tcW w:w="857" w:type="pct"/>
            <w:vAlign w:val="bottom"/>
          </w:tcPr>
          <w:p ns1:paraId="01640317">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材料导报</w:t>
            </w:r>
          </w:p>
        </w:tc>
        <w:tc>
          <w:tcPr>
            <w:tcW w:w="548" w:type="pct"/>
            <w:vAlign w:val="bottom"/>
          </w:tcPr>
          <w:p ns1:paraId="74D73CF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ns1:paraId="004B48C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ns1:paraId="6E06F002">
        <w:tc>
          <w:tcPr>
            <w:tcW w:w="3155" w:type="pct"/>
            <w:tcBorders>
              <w:top w:val="single" w:color="7E7E7E" w:themeColor="text1" w:themeTint="80" w:sz="4" w:space="0"/>
              <w:bottom w:val="single" w:color="7E7E7E" w:themeColor="text1" w:themeTint="80" w:sz="4" w:space="0"/>
            </w:tcBorders>
            <w:vAlign w:val="center"/>
          </w:tcPr>
          <w:p ns1:paraId="6DCA2040">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基于打印参数影响的3D打印混凝土力学性能试验研究</w:t>
            </w:r>
          </w:p>
        </w:tc>
        <w:tc>
          <w:tcPr>
            <w:tcW w:w="857" w:type="pct"/>
            <w:tcBorders>
              <w:top w:val="single" w:color="7E7E7E" w:themeColor="text1" w:themeTint="80" w:sz="4" w:space="0"/>
              <w:bottom w:val="single" w:color="7E7E7E" w:themeColor="text1" w:themeTint="80" w:sz="4" w:space="0"/>
            </w:tcBorders>
            <w:vAlign w:val="bottom"/>
          </w:tcPr>
          <w:p ns1:paraId="7E441BE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ns1:paraId="15EE5E7B">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ns1:paraId="74AB632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21</w:t>
            </w:r>
          </w:p>
        </w:tc>
      </w:tr>
      <w:tr ns1:paraId="0A3D5A8A">
        <w:tc>
          <w:tcPr>
            <w:tcW w:w="3155" w:type="pct"/>
            <w:vAlign w:val="center"/>
          </w:tcPr>
          <w:p ns1:paraId="1B3262DB">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基于孔结构缺陷的3D打印粗骨料混凝土力学性能试验研究</w:t>
            </w:r>
          </w:p>
        </w:tc>
        <w:tc>
          <w:tcPr>
            <w:tcW w:w="857" w:type="pct"/>
            <w:vAlign w:val="bottom"/>
          </w:tcPr>
          <w:p ns1:paraId="7707353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土木工程学报</w:t>
            </w:r>
          </w:p>
        </w:tc>
        <w:tc>
          <w:tcPr>
            <w:tcW w:w="548" w:type="pct"/>
            <w:vAlign w:val="bottom"/>
          </w:tcPr>
          <w:p ns1:paraId="6A9147A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vAlign w:val="bottom"/>
          </w:tcPr>
          <w:p ns1:paraId="6276FFB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w:t>
            </w:r>
          </w:p>
        </w:tc>
      </w:tr>
      <w:tr ns1:paraId="4E69158D">
        <w:tc>
          <w:tcPr>
            <w:tcW w:w="3155" w:type="pct"/>
            <w:tcBorders>
              <w:top w:val="single" w:color="7E7E7E" w:themeColor="text1" w:themeTint="80" w:sz="4" w:space="0"/>
              <w:bottom w:val="single" w:color="7E7E7E" w:themeColor="text1" w:themeTint="80" w:sz="4" w:space="0"/>
            </w:tcBorders>
            <w:vAlign w:val="center"/>
          </w:tcPr>
          <w:p ns1:paraId="6EC71D0C">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建筑3D打印用胶凝材料及其相关性能研究进展</w:t>
            </w:r>
          </w:p>
        </w:tc>
        <w:tc>
          <w:tcPr>
            <w:tcW w:w="857" w:type="pct"/>
            <w:tcBorders>
              <w:top w:val="single" w:color="7E7E7E" w:themeColor="text1" w:themeTint="80" w:sz="4" w:space="0"/>
              <w:bottom w:val="single" w:color="7E7E7E" w:themeColor="text1" w:themeTint="80" w:sz="4" w:space="0"/>
            </w:tcBorders>
            <w:vAlign w:val="bottom"/>
          </w:tcPr>
          <w:p ns1:paraId="67B2490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材料导报</w:t>
            </w:r>
          </w:p>
        </w:tc>
        <w:tc>
          <w:tcPr>
            <w:tcW w:w="548" w:type="pct"/>
            <w:tcBorders>
              <w:top w:val="single" w:color="7E7E7E" w:themeColor="text1" w:themeTint="80" w:sz="4" w:space="0"/>
              <w:bottom w:val="single" w:color="7E7E7E" w:themeColor="text1" w:themeTint="80" w:sz="4" w:space="0"/>
            </w:tcBorders>
            <w:vAlign w:val="bottom"/>
          </w:tcPr>
          <w:p ns1:paraId="3DA93C9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41" w:type="pct"/>
            <w:tcBorders>
              <w:top w:val="single" w:color="7E7E7E" w:themeColor="text1" w:themeTint="80" w:sz="4" w:space="0"/>
              <w:bottom w:val="single" w:color="7E7E7E" w:themeColor="text1" w:themeTint="80" w:sz="4" w:space="0"/>
            </w:tcBorders>
            <w:vAlign w:val="bottom"/>
          </w:tcPr>
          <w:p ns1:paraId="2085F73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ns1:paraId="67DA2BBF">
        <w:tc>
          <w:tcPr>
            <w:tcW w:w="3155" w:type="pct"/>
            <w:vAlign w:val="center"/>
          </w:tcPr>
          <w:p ns1:paraId="306C9AA4">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含粗骨料3D打印混凝土可打印、力学、收缩性能与碳排放分析</w:t>
            </w:r>
          </w:p>
        </w:tc>
        <w:tc>
          <w:tcPr>
            <w:tcW w:w="857" w:type="pct"/>
            <w:vAlign w:val="bottom"/>
          </w:tcPr>
          <w:p ns1:paraId="517545F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硅酸盐学报</w:t>
            </w:r>
          </w:p>
        </w:tc>
        <w:tc>
          <w:tcPr>
            <w:tcW w:w="548" w:type="pct"/>
            <w:vAlign w:val="bottom"/>
          </w:tcPr>
          <w:p ns1:paraId="1B09098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2023</w:t>
            </w:r>
          </w:p>
        </w:tc>
        <w:tc>
          <w:tcPr>
            <w:tcW w:w="441" w:type="pct"/>
            <w:vAlign w:val="bottom"/>
          </w:tcPr>
          <w:p ns1:paraId="44BED40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9</w:t>
            </w:r>
          </w:p>
        </w:tc>
      </w:tr>
      <w:tr ns1:paraId="772FDB74">
        <w:tc>
          <w:tcPr>
            <w:tcW w:w="3155" w:type="pct"/>
            <w:tcBorders>
              <w:top w:val="single" w:color="7E7E7E" w:themeColor="text1" w:themeTint="80" w:sz="4" w:space="0"/>
              <w:bottom w:val="single" w:color="7E7E7E" w:themeColor="text1" w:themeTint="80" w:sz="4" w:space="0"/>
            </w:tcBorders>
            <w:vAlign w:val="center"/>
          </w:tcPr>
          <w:p ns1:paraId="37CD3898">
            <w:pPr>
              <w:pStyle w:val="33"/>
              <w:widowControl/>
              <w:spacing w:beforeAutospacing="0" w:afterAutospacing="0" w:line="360" w:lineRule="auto"/>
              <w:jc w:val="both"/>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3D打印碳纤维混凝土断裂力学性能试验研究</w:t>
            </w:r>
          </w:p>
        </w:tc>
        <w:tc>
          <w:tcPr>
            <w:tcW w:w="857" w:type="pct"/>
            <w:tcBorders>
              <w:top w:val="single" w:color="7E7E7E" w:themeColor="text1" w:themeTint="80" w:sz="4" w:space="0"/>
              <w:bottom w:val="single" w:color="7E7E7E" w:themeColor="text1" w:themeTint="80" w:sz="4" w:space="0"/>
            </w:tcBorders>
            <w:vAlign w:val="bottom"/>
          </w:tcPr>
          <w:p ns1:paraId="570102D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建筑结构学报</w:t>
            </w:r>
          </w:p>
        </w:tc>
        <w:tc>
          <w:tcPr>
            <w:tcW w:w="548" w:type="pct"/>
            <w:tcBorders>
              <w:top w:val="single" w:color="7E7E7E" w:themeColor="text1" w:themeTint="80" w:sz="4" w:space="0"/>
              <w:bottom w:val="single" w:color="7E7E7E" w:themeColor="text1" w:themeTint="80" w:sz="4" w:space="0"/>
            </w:tcBorders>
            <w:vAlign w:val="bottom"/>
          </w:tcPr>
          <w:p ns1:paraId="5CD8152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2024</w:t>
            </w:r>
          </w:p>
        </w:tc>
        <w:tc>
          <w:tcPr>
            <w:tcW w:w="441" w:type="pct"/>
            <w:tcBorders>
              <w:top w:val="single" w:color="7E7E7E" w:themeColor="text1" w:themeTint="80" w:sz="4" w:space="0"/>
              <w:bottom w:val="single" w:color="7E7E7E" w:themeColor="text1" w:themeTint="80" w:sz="4" w:space="0"/>
            </w:tcBorders>
            <w:vAlign w:val="bottom"/>
          </w:tcPr>
          <w:p ns1:paraId="68B15C5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13</w:t>
            </w:r>
          </w:p>
        </w:tc>
      </w:tr>
      <w:tr ns1:paraId="6097BF13">
        <w:tc>
          <w:tcPr>
            <w:tcW w:w="3155" w:type="pct"/>
            <w:vAlign w:val="center"/>
          </w:tcPr>
          <w:p ns1:paraId="0202E249">
            <w:pPr>
              <w:pStyle w:val="33"/>
              <w:widowControl/>
              <w:spacing w:beforeAutospacing="0" w:afterAutospacing="0" w:line="360" w:lineRule="auto"/>
              <w:jc w:val="both"/>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房建深基坑施工中周围土体变形监测及分析</w:t>
            </w:r>
          </w:p>
        </w:tc>
        <w:tc>
          <w:tcPr>
            <w:tcW w:w="857" w:type="pct"/>
            <w:vAlign w:val="center"/>
          </w:tcPr>
          <w:p ns1:paraId="43AFC8C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建筑结构</w:t>
            </w:r>
          </w:p>
        </w:tc>
        <w:tc>
          <w:tcPr>
            <w:tcW w:w="548" w:type="pct"/>
            <w:vAlign w:val="center"/>
          </w:tcPr>
          <w:p ns1:paraId="49B69EB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41" w:type="pct"/>
            <w:vAlign w:val="center"/>
          </w:tcPr>
          <w:p ns1:paraId="7DF2A458">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10</w:t>
            </w:r>
          </w:p>
        </w:tc>
      </w:tr>
    </w:tbl>
    <w:p xmlns:w="http://schemas.openxmlformats.org/wordprocessingml/2006/main">
      <w:pPr>
        <w:spacing w:line="480" w:lineRule="auto"/>
        <w:ind w:firstLine="480" w:firstLineChars="200"/>
        <w:rPr>
          <w:rFonts w:ascii="宋体" w:hAnsi="宋体" w:eastAsia="宋体"/>
          <w:sz w:val="24"/>
          <w:szCs w:val="24"/>
        </w:rPr>
      </w:pPr>
      <w:r>
        <w:t xml:space="preserve">[待补充：表3-6末项“房建深基坑施工中周围土体变形监测及分析”的原始归类记录，该条不用于支持构件生产结论；相关试验材料与具体文献原文的对应关系。]</w:t>
      </w:r>
    </w:p>
    <w:p xmlns:w="http://schemas.openxmlformats.org/wordprocessingml/2006/main">
      <w:pPr>
        <w:spacing w:line="480" w:lineRule="auto"/>
        <w:ind w:firstLine="480" w:firstLineChars="200"/>
        <w:rPr>
          <w:rFonts w:ascii="宋体" w:hAnsi="宋体" w:eastAsia="宋体"/>
          <w:sz w:val="24"/>
          <w:szCs w:val="24"/>
        </w:rPr>
      </w:pPr>
      <w:r>
        <w:t xml:space="preserve">智能施工机械将感知、定位和控制方法落实到现场作业，通过自动化装备承担重复性或高风险任务，并以设备间的作业协调满足工程质量与安全要求。现有专利涉及建筑机器人、盾构机、塔吊和架桥机等类型，其中机器人方案覆盖混凝土浇筑、砌墙、爬壁检测与清洁等任务。砌墙机器人的代表性方案将砌块传输、砌筑机械臂、砂浆输送喷抹及电控系统集成于行走机构，并在墙体两端设置定位装置，以协调供料、运动与砌筑位置。其技术内容体现了作业工序向机构及控制要求的转化，适合从多个知识类别的组合关系加以分析。</w:t>
      </w:r>
    </w:p>
    <w:p xmlns:w="http://schemas.openxmlformats.org/wordprocessingml/2006/main">
      <w:pPr>
        <w:spacing w:line="480" w:lineRule="auto"/>
        <w:ind w:firstLine="480" w:firstLineChars="200"/>
        <w:rPr>
          <w:rFonts w:ascii="宋体" w:hAnsi="宋体" w:eastAsia="宋体"/>
          <w:sz w:val="24"/>
          <w:szCs w:val="24"/>
        </w:rPr>
      </w:pPr>
      <w:r>
        <w:t xml:space="preserve">[图3-8 建筑机器人相关技术词云（待插入）]</w:t>
      </w:r>
    </w:p>
    <w:p xmlns:w="http://schemas.openxmlformats.org/wordprocessingml/2006/main">
      <w:pPr>
        <w:spacing w:line="480" w:lineRule="auto"/>
        <w:ind w:firstLine="480" w:firstLineChars="200"/>
        <w:rPr>
          <w:rFonts w:ascii="宋体" w:hAnsi="宋体" w:eastAsia="宋体"/>
          <w:sz w:val="24"/>
          <w:szCs w:val="24"/>
        </w:rPr>
      </w:pPr>
      <w:r>
        <w:t xml:space="preserve">表3-7 智能施工机械相关专利示例</w:t>
      </w:r>
    </w:p>
    <w:tbl xmlns:ns1="http://schemas.microsoft.com/office/word/2010/wordml" xmlns:w="http://schemas.openxmlformats.org/wordprocessingml/2006/main">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ns1:paraId="14B0E6D8">
        <w:trPr>
          <w:trHeight w:val="510" w:hRule="atLeast"/>
        </w:trPr>
        <w:tc>
          <w:tcPr>
            <w:tcW w:w="5159" w:type="dxa"/>
            <w:tcBorders>
              <w:bottom w:val="single" w:color="7E7E7E" w:themeColor="text1" w:themeTint="80" w:sz="4" w:space="0"/>
              <w:insideH w:val="single" w:sz="4" w:space="0"/>
            </w:tcBorders>
            <w:vAlign w:val="center"/>
          </w:tcPr>
          <w:p ns1:paraId="0B4BF379">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w:t>
            </w:r>
          </w:p>
        </w:tc>
        <w:tc>
          <w:tcPr>
            <w:tcW w:w="1476" w:type="dxa"/>
            <w:tcBorders>
              <w:bottom w:val="single" w:color="7E7E7E" w:themeColor="text1" w:themeTint="80" w:sz="4" w:space="0"/>
              <w:insideH w:val="single" w:sz="4" w:space="0"/>
            </w:tcBorders>
            <w:vAlign w:val="center"/>
          </w:tcPr>
          <w:p ns1:paraId="7BC828F1">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专利号</w:t>
            </w:r>
          </w:p>
        </w:tc>
        <w:tc>
          <w:tcPr>
            <w:tcW w:w="1303" w:type="dxa"/>
            <w:tcBorders>
              <w:bottom w:val="single" w:color="7E7E7E" w:themeColor="text1" w:themeTint="80" w:sz="4" w:space="0"/>
              <w:insideH w:val="single" w:sz="4" w:space="0"/>
            </w:tcBorders>
            <w:vAlign w:val="center"/>
          </w:tcPr>
          <w:p ns1:paraId="48D7AA66">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申请时间</w:t>
            </w:r>
          </w:p>
        </w:tc>
      </w:tr>
      <w:tr ns1:paraId="644D303F">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6194B380">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一种适用于建筑墙体的自动砌墙机器人</w:t>
            </w:r>
          </w:p>
        </w:tc>
        <w:tc>
          <w:tcPr>
            <w:tcW w:w="1476" w:type="dxa"/>
            <w:tcBorders>
              <w:top w:val="single" w:color="7E7E7E" w:themeColor="text1" w:themeTint="80" w:sz="4" w:space="0"/>
              <w:bottom w:val="single" w:color="7E7E7E" w:themeColor="text1" w:themeTint="80" w:sz="4" w:space="0"/>
            </w:tcBorders>
            <w:vAlign w:val="center"/>
          </w:tcPr>
          <w:p ns1:paraId="20B716D6">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CN212336773U</w:t>
            </w:r>
          </w:p>
        </w:tc>
        <w:tc>
          <w:tcPr>
            <w:tcW w:w="1303" w:type="dxa"/>
            <w:tcBorders>
              <w:top w:val="single" w:color="7E7E7E" w:themeColor="text1" w:themeTint="80" w:sz="4" w:space="0"/>
              <w:bottom w:val="single" w:color="7E7E7E" w:themeColor="text1" w:themeTint="80" w:sz="4" w:space="0"/>
            </w:tcBorders>
            <w:vAlign w:val="center"/>
          </w:tcPr>
          <w:p ns1:paraId="2AF3C15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2020/8/14</w:t>
            </w:r>
          </w:p>
        </w:tc>
      </w:tr>
      <w:tr ns1:paraId="7A785592">
        <w:trPr>
          <w:trHeight w:val="510" w:hRule="atLeast"/>
        </w:trPr>
        <w:tc>
          <w:tcPr>
            <w:tcW w:w="5159" w:type="dxa"/>
            <w:vAlign w:val="center"/>
          </w:tcPr>
          <w:p ns1:paraId="0040D495">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一种砌墙机器人</w:t>
            </w:r>
          </w:p>
        </w:tc>
        <w:tc>
          <w:tcPr>
            <w:tcW w:w="1476" w:type="dxa"/>
            <w:vAlign w:val="center"/>
          </w:tcPr>
          <w:p ns1:paraId="5227F6A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CN112412073A</w:t>
            </w:r>
          </w:p>
        </w:tc>
        <w:tc>
          <w:tcPr>
            <w:tcW w:w="1303" w:type="dxa"/>
            <w:vAlign w:val="center"/>
          </w:tcPr>
          <w:p ns1:paraId="622D2F3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2020/10/19</w:t>
            </w:r>
          </w:p>
        </w:tc>
      </w:tr>
      <w:tr ns1:paraId="20A355DB">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7577BC05">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一种履带式智能浇筑机器人</w:t>
            </w:r>
          </w:p>
        </w:tc>
        <w:tc>
          <w:tcPr>
            <w:tcW w:w="1476" w:type="dxa"/>
            <w:tcBorders>
              <w:top w:val="single" w:color="7E7E7E" w:themeColor="text1" w:themeTint="80" w:sz="4" w:space="0"/>
              <w:bottom w:val="single" w:color="7E7E7E" w:themeColor="text1" w:themeTint="80" w:sz="4" w:space="0"/>
            </w:tcBorders>
            <w:vAlign w:val="center"/>
          </w:tcPr>
          <w:p ns1:paraId="0D7500EF">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CN114293779A</w:t>
            </w:r>
          </w:p>
        </w:tc>
        <w:tc>
          <w:tcPr>
            <w:tcW w:w="1303" w:type="dxa"/>
            <w:tcBorders>
              <w:top w:val="single" w:color="7E7E7E" w:themeColor="text1" w:themeTint="80" w:sz="4" w:space="0"/>
              <w:bottom w:val="single" w:color="7E7E7E" w:themeColor="text1" w:themeTint="80" w:sz="4" w:space="0"/>
            </w:tcBorders>
            <w:vAlign w:val="center"/>
          </w:tcPr>
          <w:p ns1:paraId="5CB180B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2021/11/15</w:t>
            </w:r>
          </w:p>
        </w:tc>
      </w:tr>
      <w:tr ns1:paraId="710570C7">
        <w:trPr>
          <w:trHeight w:val="510" w:hRule="atLeast"/>
        </w:trPr>
        <w:tc>
          <w:tcPr>
            <w:tcW w:w="5159" w:type="dxa"/>
            <w:vAlign w:val="center"/>
          </w:tcPr>
          <w:p ns1:paraId="35216B94">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一种基于伯努利吸附原理的爬壁检测机器人</w:t>
            </w:r>
          </w:p>
        </w:tc>
        <w:tc>
          <w:tcPr>
            <w:tcW w:w="1476" w:type="dxa"/>
            <w:vAlign w:val="center"/>
          </w:tcPr>
          <w:p ns1:paraId="5E28EF5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CN114906246A</w:t>
            </w:r>
          </w:p>
        </w:tc>
        <w:tc>
          <w:tcPr>
            <w:tcW w:w="1303" w:type="dxa"/>
            <w:vAlign w:val="center"/>
          </w:tcPr>
          <w:p ns1:paraId="6373EAD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2022/5/13</w:t>
            </w:r>
          </w:p>
        </w:tc>
      </w:tr>
      <w:tr ns1:paraId="1A7B9938">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78C47C59">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一种建筑外立面清洁机器人系统及其使用方法</w:t>
            </w:r>
          </w:p>
        </w:tc>
        <w:tc>
          <w:tcPr>
            <w:tcW w:w="1476" w:type="dxa"/>
            <w:tcBorders>
              <w:top w:val="single" w:color="7E7E7E" w:themeColor="text1" w:themeTint="80" w:sz="4" w:space="0"/>
              <w:bottom w:val="single" w:color="7E7E7E" w:themeColor="text1" w:themeTint="80" w:sz="4" w:space="0"/>
            </w:tcBorders>
            <w:vAlign w:val="center"/>
          </w:tcPr>
          <w:p ns1:paraId="24E35E7D">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CN115095179A</w:t>
            </w:r>
          </w:p>
        </w:tc>
        <w:tc>
          <w:tcPr>
            <w:tcW w:w="1303" w:type="dxa"/>
            <w:tcBorders>
              <w:top w:val="single" w:color="7E7E7E" w:themeColor="text1" w:themeTint="80" w:sz="4" w:space="0"/>
              <w:bottom w:val="single" w:color="7E7E7E" w:themeColor="text1" w:themeTint="80" w:sz="4" w:space="0"/>
            </w:tcBorders>
            <w:vAlign w:val="center"/>
          </w:tcPr>
          <w:p ns1:paraId="41ACBA8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2022/7/7</w:t>
            </w:r>
          </w:p>
        </w:tc>
      </w:tr>
      <w:tr ns1:paraId="3549B231">
        <w:trPr>
          <w:trHeight w:val="510" w:hRule="atLeast"/>
        </w:trPr>
        <w:tc>
          <w:tcPr>
            <w:tcW w:w="5159" w:type="dxa"/>
            <w:vAlign w:val="center"/>
          </w:tcPr>
          <w:p ns1:paraId="12B1AF38">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构造柱混凝土浇筑机器人及构造柱浇筑方法</w:t>
            </w:r>
          </w:p>
        </w:tc>
        <w:tc>
          <w:tcPr>
            <w:tcW w:w="1476" w:type="dxa"/>
            <w:vAlign w:val="center"/>
          </w:tcPr>
          <w:p ns1:paraId="459BC1D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CN115559532A</w:t>
            </w:r>
          </w:p>
        </w:tc>
        <w:tc>
          <w:tcPr>
            <w:tcW w:w="1303" w:type="dxa"/>
            <w:vAlign w:val="center"/>
          </w:tcPr>
          <w:p ns1:paraId="0367844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2022/11/11</w:t>
            </w:r>
          </w:p>
        </w:tc>
      </w:tr>
      <w:tr ns1:paraId="23CDC640">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6745CFF3">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基于爬壁机器人的盾构隧道灾害快速检测评估方法及系统</w:t>
            </w:r>
          </w:p>
        </w:tc>
        <w:tc>
          <w:tcPr>
            <w:tcW w:w="1476" w:type="dxa"/>
            <w:tcBorders>
              <w:top w:val="single" w:color="7E7E7E" w:themeColor="text1" w:themeTint="80" w:sz="4" w:space="0"/>
              <w:bottom w:val="single" w:color="7E7E7E" w:themeColor="text1" w:themeTint="80" w:sz="4" w:space="0"/>
            </w:tcBorders>
            <w:vAlign w:val="center"/>
          </w:tcPr>
          <w:p ns1:paraId="7C47886C">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CN118378919A</w:t>
            </w:r>
          </w:p>
        </w:tc>
        <w:tc>
          <w:tcPr>
            <w:tcW w:w="1303" w:type="dxa"/>
            <w:tcBorders>
              <w:top w:val="single" w:color="7E7E7E" w:themeColor="text1" w:themeTint="80" w:sz="4" w:space="0"/>
              <w:bottom w:val="single" w:color="7E7E7E" w:themeColor="text1" w:themeTint="80" w:sz="4" w:space="0"/>
            </w:tcBorders>
            <w:vAlign w:val="center"/>
          </w:tcPr>
          <w:p ns1:paraId="5F498DB2">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2024/6/21</w:t>
            </w:r>
          </w:p>
        </w:tc>
      </w:tr>
      <w:tr ns1:paraId="40864539">
        <w:trPr>
          <w:trHeight w:val="510" w:hRule="atLeast"/>
        </w:trPr>
        <w:tc>
          <w:tcPr>
            <w:tcW w:w="5159" w:type="dxa"/>
            <w:vAlign w:val="center"/>
          </w:tcPr>
          <w:p ns1:paraId="283B3DE6">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应用于隧道浇筑模板研磨的永磁轮式爬壁机器人</w:t>
            </w:r>
          </w:p>
        </w:tc>
        <w:tc>
          <w:tcPr>
            <w:tcW w:w="1476" w:type="dxa"/>
            <w:vAlign w:val="center"/>
          </w:tcPr>
          <w:p ns1:paraId="03C26053">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CN119319503A</w:t>
            </w:r>
          </w:p>
        </w:tc>
        <w:tc>
          <w:tcPr>
            <w:tcW w:w="1303" w:type="dxa"/>
            <w:vAlign w:val="center"/>
          </w:tcPr>
          <w:p ns1:paraId="52F5F35E">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2024/12/19</w:t>
            </w:r>
          </w:p>
        </w:tc>
      </w:tr>
    </w:tbl>
    <w:p xmlns:w="http://schemas.openxmlformats.org/wordprocessingml/2006/main">
      <w:pPr>
        <w:spacing w:line="480" w:lineRule="auto"/>
        <w:ind w:firstLine="480" w:firstLineChars="200"/>
        <w:rPr>
          <w:rFonts w:ascii="宋体" w:hAnsi="宋体" w:eastAsia="宋体"/>
          <w:sz w:val="24"/>
          <w:szCs w:val="24"/>
        </w:rPr>
      </w:pPr>
      <w:r>
        <w:t xml:space="preserve">表3-7中浇筑、吸附爬壁和隧道检测等方案面对不同的作业约束。浇筑设备需要使材料输送与作业位置相匹配，爬壁设备涉及附着方式与表面移动，隧道检测则将移动平台与病害信息获取相结合。同属机器人技术的方案由此具有不同的功能结构，仅以“机器人”作为统一标签会弱化其工程差异。技术主题解释可将任务、机构与控制内容联系起来，并据此理解相关专利类别之间形成连接的原因。</w:t>
      </w:r>
    </w:p>
    <w:p xmlns:w="http://schemas.openxmlformats.org/wordprocessingml/2006/main">
      <w:pPr>
        <w:spacing w:line="480" w:lineRule="auto"/>
        <w:ind w:firstLine="480" w:firstLineChars="200"/>
        <w:rPr>
          <w:rFonts w:ascii="宋体" w:hAnsi="宋体" w:eastAsia="宋体"/>
          <w:sz w:val="24"/>
          <w:szCs w:val="24"/>
        </w:rPr>
      </w:pPr>
      <w:r>
        <w:t xml:space="preserve">智能施工机械相关文献共800篇，占文献总量的11.8%。其中机器人相关文献345篇，主要涉及测量机器人及路径规划；塔吊相关文献392篇，较多关注定位与控制。测量机器人结合全站仪、GPS等测量定位技术，服务于现场地形表达、建筑变形观测及施工进度分析。高支模变形监测研究则针对结构复杂、异常变化可能突发等特点，以高精度测量机器人获取变形信息，为自动化监测和预警提供数据。测量装备与执行装备承担不同功能，两者通过共同的空间定位和状态信息形成联系。</w:t>
      </w:r>
    </w:p>
    <w:p xmlns:w="http://schemas.openxmlformats.org/wordprocessingml/2006/main">
      <w:pPr>
        <w:spacing w:line="480" w:lineRule="auto"/>
        <w:ind w:firstLine="480" w:firstLineChars="200"/>
        <w:rPr>
          <w:rFonts w:ascii="宋体" w:hAnsi="宋体" w:eastAsia="宋体"/>
          <w:sz w:val="24"/>
          <w:szCs w:val="24"/>
        </w:rPr>
      </w:pPr>
      <w:r>
        <w:t xml:space="preserve">表3-8 智能施工机械相关文献示例</w:t>
      </w:r>
    </w:p>
    <w:tbl xmlns:ns1="http://schemas.microsoft.com/office/word/2010/wordml" xmlns:w="http://schemas.openxmlformats.org/wordprocessingml/2006/main">
      <w:tblPr>
        <w:tblStyle w:val="93"/>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713"/>
        <w:gridCol w:w="1641"/>
        <w:gridCol w:w="968"/>
        <w:gridCol w:w="771"/>
      </w:tblGrid>
      <w:tr ns1:paraId="4FADF1EB">
        <w:tc>
          <w:tcPr>
            <w:tcW w:w="3141" w:type="pct"/>
            <w:tcBorders>
              <w:bottom w:val="single" w:color="7E7E7E" w:themeColor="text1" w:themeTint="80" w:sz="4" w:space="0"/>
              <w:insideH w:val="single" w:sz="4" w:space="0"/>
            </w:tcBorders>
          </w:tcPr>
          <w:p ns1:paraId="14EC7D25">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902" w:type="pct"/>
            <w:tcBorders>
              <w:bottom w:val="single" w:color="7E7E7E" w:themeColor="text1" w:themeTint="80" w:sz="4" w:space="0"/>
              <w:insideH w:val="single" w:sz="4" w:space="0"/>
            </w:tcBorders>
          </w:tcPr>
          <w:p ns1:paraId="4F89B63A">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32" w:type="pct"/>
            <w:tcBorders>
              <w:bottom w:val="single" w:color="7E7E7E" w:themeColor="text1" w:themeTint="80" w:sz="4" w:space="0"/>
              <w:insideH w:val="single" w:sz="4" w:space="0"/>
            </w:tcBorders>
          </w:tcPr>
          <w:p ns1:paraId="7120BB57">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424" w:type="pct"/>
            <w:tcBorders>
              <w:bottom w:val="single" w:color="7E7E7E" w:themeColor="text1" w:themeTint="80" w:sz="4" w:space="0"/>
              <w:insideH w:val="single" w:sz="4" w:space="0"/>
            </w:tcBorders>
          </w:tcPr>
          <w:p ns1:paraId="0FBFE481">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1C4E1A9B">
        <w:tc>
          <w:tcPr>
            <w:tcW w:w="3141" w:type="pct"/>
            <w:tcBorders>
              <w:top w:val="single" w:color="7E7E7E" w:themeColor="text1" w:themeTint="80" w:sz="4" w:space="0"/>
              <w:bottom w:val="single" w:color="7E7E7E" w:themeColor="text1" w:themeTint="80" w:sz="4" w:space="0"/>
            </w:tcBorders>
            <w:vAlign w:val="bottom"/>
          </w:tcPr>
          <w:p ns1:paraId="5F26A208">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测量机器人用于超高层建筑竖向投测的可行性</w:t>
            </w:r>
          </w:p>
        </w:tc>
        <w:tc>
          <w:tcPr>
            <w:tcW w:w="902" w:type="pct"/>
            <w:tcBorders>
              <w:top w:val="single" w:color="7E7E7E" w:themeColor="text1" w:themeTint="80" w:sz="4" w:space="0"/>
              <w:bottom w:val="single" w:color="7E7E7E" w:themeColor="text1" w:themeTint="80" w:sz="4" w:space="0"/>
            </w:tcBorders>
            <w:vAlign w:val="bottom"/>
          </w:tcPr>
          <w:p ns1:paraId="6822E8B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测绘科学</w:t>
            </w:r>
          </w:p>
        </w:tc>
        <w:tc>
          <w:tcPr>
            <w:tcW w:w="532" w:type="pct"/>
            <w:tcBorders>
              <w:top w:val="single" w:color="7E7E7E" w:themeColor="text1" w:themeTint="80" w:sz="4" w:space="0"/>
              <w:bottom w:val="single" w:color="7E7E7E" w:themeColor="text1" w:themeTint="80" w:sz="4" w:space="0"/>
            </w:tcBorders>
            <w:vAlign w:val="bottom"/>
          </w:tcPr>
          <w:p ns1:paraId="1E45BBB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2010</w:t>
            </w:r>
          </w:p>
        </w:tc>
        <w:tc>
          <w:tcPr>
            <w:tcW w:w="424" w:type="pct"/>
            <w:tcBorders>
              <w:top w:val="single" w:color="7E7E7E" w:themeColor="text1" w:themeTint="80" w:sz="4" w:space="0"/>
              <w:bottom w:val="single" w:color="7E7E7E" w:themeColor="text1" w:themeTint="80" w:sz="4" w:space="0"/>
            </w:tcBorders>
            <w:vAlign w:val="bottom"/>
          </w:tcPr>
          <w:p ns1:paraId="743E7CF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16</w:t>
            </w:r>
          </w:p>
        </w:tc>
      </w:tr>
      <w:tr ns1:paraId="1B53E3D0">
        <w:tc>
          <w:tcPr>
            <w:tcW w:w="3141" w:type="pct"/>
            <w:vAlign w:val="bottom"/>
          </w:tcPr>
          <w:p ns1:paraId="7B5F695F">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徕卡TM30测量机器人三维测量在基坑边坡监测中的应用</w:t>
            </w:r>
          </w:p>
        </w:tc>
        <w:tc>
          <w:tcPr>
            <w:tcW w:w="902" w:type="pct"/>
            <w:vAlign w:val="bottom"/>
          </w:tcPr>
          <w:p ns1:paraId="165A632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vAlign w:val="bottom"/>
          </w:tcPr>
          <w:p ns1:paraId="249A18D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2013</w:t>
            </w:r>
          </w:p>
        </w:tc>
        <w:tc>
          <w:tcPr>
            <w:tcW w:w="424" w:type="pct"/>
            <w:vAlign w:val="bottom"/>
          </w:tcPr>
          <w:p ns1:paraId="46B7FC3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58</w:t>
            </w:r>
          </w:p>
        </w:tc>
      </w:tr>
      <w:tr ns1:paraId="343E7269">
        <w:tc>
          <w:tcPr>
            <w:tcW w:w="3141" w:type="pct"/>
            <w:tcBorders>
              <w:top w:val="single" w:color="7E7E7E" w:themeColor="text1" w:themeTint="80" w:sz="4" w:space="0"/>
              <w:bottom w:val="single" w:color="7E7E7E" w:themeColor="text1" w:themeTint="80" w:sz="4" w:space="0"/>
            </w:tcBorders>
            <w:vAlign w:val="bottom"/>
          </w:tcPr>
          <w:p ns1:paraId="7C575283">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基于测量机器人的高支模变形监测研究与应用</w:t>
            </w:r>
          </w:p>
        </w:tc>
        <w:tc>
          <w:tcPr>
            <w:tcW w:w="902" w:type="pct"/>
            <w:tcBorders>
              <w:top w:val="single" w:color="7E7E7E" w:themeColor="text1" w:themeTint="80" w:sz="4" w:space="0"/>
              <w:bottom w:val="single" w:color="7E7E7E" w:themeColor="text1" w:themeTint="80" w:sz="4" w:space="0"/>
            </w:tcBorders>
            <w:vAlign w:val="bottom"/>
          </w:tcPr>
          <w:p ns1:paraId="3D05756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ns1:paraId="15750BF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2015</w:t>
            </w:r>
          </w:p>
        </w:tc>
        <w:tc>
          <w:tcPr>
            <w:tcW w:w="424" w:type="pct"/>
            <w:tcBorders>
              <w:top w:val="single" w:color="7E7E7E" w:themeColor="text1" w:themeTint="80" w:sz="4" w:space="0"/>
              <w:bottom w:val="single" w:color="7E7E7E" w:themeColor="text1" w:themeTint="80" w:sz="4" w:space="0"/>
            </w:tcBorders>
            <w:vAlign w:val="bottom"/>
          </w:tcPr>
          <w:p ns1:paraId="4657E02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ns1:paraId="697C6A23">
        <w:tc>
          <w:tcPr>
            <w:tcW w:w="3141" w:type="pct"/>
            <w:vAlign w:val="bottom"/>
          </w:tcPr>
          <w:p ns1:paraId="5AB7FBDC">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基于BIM平台测量机器人在机电管线施工中的应用</w:t>
            </w:r>
          </w:p>
        </w:tc>
        <w:tc>
          <w:tcPr>
            <w:tcW w:w="902" w:type="pct"/>
            <w:vAlign w:val="bottom"/>
          </w:tcPr>
          <w:p ns1:paraId="5F461F5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施工技术</w:t>
            </w:r>
          </w:p>
        </w:tc>
        <w:tc>
          <w:tcPr>
            <w:tcW w:w="532" w:type="pct"/>
            <w:vAlign w:val="bottom"/>
          </w:tcPr>
          <w:p ns1:paraId="202CD5C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vAlign w:val="bottom"/>
          </w:tcPr>
          <w:p ns1:paraId="7310E05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25</w:t>
            </w:r>
          </w:p>
        </w:tc>
      </w:tr>
      <w:tr ns1:paraId="1E8F0494">
        <w:tc>
          <w:tcPr>
            <w:tcW w:w="3141" w:type="pct"/>
            <w:tcBorders>
              <w:top w:val="single" w:color="7E7E7E" w:themeColor="text1" w:themeTint="80" w:sz="4" w:space="0"/>
              <w:bottom w:val="single" w:color="7E7E7E" w:themeColor="text1" w:themeTint="80" w:sz="4" w:space="0"/>
            </w:tcBorders>
            <w:vAlign w:val="bottom"/>
          </w:tcPr>
          <w:p ns1:paraId="6500A172">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基于PSO的塔式起重机模糊神经网络滑模防摆控制</w:t>
            </w:r>
          </w:p>
        </w:tc>
        <w:tc>
          <w:tcPr>
            <w:tcW w:w="902" w:type="pct"/>
            <w:tcBorders>
              <w:top w:val="single" w:color="7E7E7E" w:themeColor="text1" w:themeTint="80" w:sz="4" w:space="0"/>
              <w:bottom w:val="single" w:color="7E7E7E" w:themeColor="text1" w:themeTint="80" w:sz="4" w:space="0"/>
            </w:tcBorders>
            <w:vAlign w:val="bottom"/>
          </w:tcPr>
          <w:p ns1:paraId="643E7F5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机床与液压</w:t>
            </w:r>
          </w:p>
        </w:tc>
        <w:tc>
          <w:tcPr>
            <w:tcW w:w="532" w:type="pct"/>
            <w:tcBorders>
              <w:top w:val="single" w:color="7E7E7E" w:themeColor="text1" w:themeTint="80" w:sz="4" w:space="0"/>
              <w:bottom w:val="single" w:color="7E7E7E" w:themeColor="text1" w:themeTint="80" w:sz="4" w:space="0"/>
            </w:tcBorders>
            <w:vAlign w:val="bottom"/>
          </w:tcPr>
          <w:p ns1:paraId="4CA8CA4E">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2016</w:t>
            </w:r>
          </w:p>
        </w:tc>
        <w:tc>
          <w:tcPr>
            <w:tcW w:w="424" w:type="pct"/>
            <w:tcBorders>
              <w:top w:val="single" w:color="7E7E7E" w:themeColor="text1" w:themeTint="80" w:sz="4" w:space="0"/>
              <w:bottom w:val="single" w:color="7E7E7E" w:themeColor="text1" w:themeTint="80" w:sz="4" w:space="0"/>
            </w:tcBorders>
            <w:vAlign w:val="bottom"/>
          </w:tcPr>
          <w:p ns1:paraId="0266030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19</w:t>
            </w:r>
          </w:p>
        </w:tc>
      </w:tr>
      <w:tr ns1:paraId="5F49C5FF">
        <w:tc>
          <w:tcPr>
            <w:tcW w:w="3141" w:type="pct"/>
            <w:vAlign w:val="bottom"/>
          </w:tcPr>
          <w:p ns1:paraId="6FAF5DDC">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塔式起重机吊点定位控制技术研究</w:t>
            </w:r>
          </w:p>
        </w:tc>
        <w:tc>
          <w:tcPr>
            <w:tcW w:w="902" w:type="pct"/>
            <w:vAlign w:val="bottom"/>
          </w:tcPr>
          <w:p ns1:paraId="35B0A55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机电工程</w:t>
            </w:r>
          </w:p>
        </w:tc>
        <w:tc>
          <w:tcPr>
            <w:tcW w:w="532" w:type="pct"/>
            <w:vAlign w:val="bottom"/>
          </w:tcPr>
          <w:p ns1:paraId="54C34A4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vAlign w:val="bottom"/>
          </w:tcPr>
          <w:p ns1:paraId="6305599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10</w:t>
            </w:r>
          </w:p>
        </w:tc>
      </w:tr>
      <w:tr ns1:paraId="0AA632A2">
        <w:tc>
          <w:tcPr>
            <w:tcW w:w="3141" w:type="pct"/>
            <w:tcBorders>
              <w:top w:val="single" w:color="7E7E7E" w:themeColor="text1" w:themeTint="80" w:sz="4" w:space="0"/>
              <w:bottom w:val="single" w:color="7E7E7E" w:themeColor="text1" w:themeTint="80" w:sz="4" w:space="0"/>
            </w:tcBorders>
            <w:vAlign w:val="bottom"/>
          </w:tcPr>
          <w:p ns1:paraId="2C3DBBED">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BIM技术结合测量机器人放样功能在高层建筑领域的应用</w:t>
            </w:r>
          </w:p>
        </w:tc>
        <w:tc>
          <w:tcPr>
            <w:tcW w:w="902" w:type="pct"/>
            <w:tcBorders>
              <w:top w:val="single" w:color="7E7E7E" w:themeColor="text1" w:themeTint="80" w:sz="4" w:space="0"/>
              <w:bottom w:val="single" w:color="7E7E7E" w:themeColor="text1" w:themeTint="80" w:sz="4" w:space="0"/>
            </w:tcBorders>
            <w:vAlign w:val="bottom"/>
          </w:tcPr>
          <w:p ns1:paraId="575F495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测绘通报</w:t>
            </w:r>
          </w:p>
        </w:tc>
        <w:tc>
          <w:tcPr>
            <w:tcW w:w="532" w:type="pct"/>
            <w:tcBorders>
              <w:top w:val="single" w:color="7E7E7E" w:themeColor="text1" w:themeTint="80" w:sz="4" w:space="0"/>
              <w:bottom w:val="single" w:color="7E7E7E" w:themeColor="text1" w:themeTint="80" w:sz="4" w:space="0"/>
            </w:tcBorders>
            <w:vAlign w:val="bottom"/>
          </w:tcPr>
          <w:p ns1:paraId="7D8D6B1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2018</w:t>
            </w:r>
          </w:p>
        </w:tc>
        <w:tc>
          <w:tcPr>
            <w:tcW w:w="424" w:type="pct"/>
            <w:tcBorders>
              <w:top w:val="single" w:color="7E7E7E" w:themeColor="text1" w:themeTint="80" w:sz="4" w:space="0"/>
              <w:bottom w:val="single" w:color="7E7E7E" w:themeColor="text1" w:themeTint="80" w:sz="4" w:space="0"/>
            </w:tcBorders>
            <w:vAlign w:val="bottom"/>
          </w:tcPr>
          <w:p ns1:paraId="35514A8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15</w:t>
            </w:r>
          </w:p>
        </w:tc>
      </w:tr>
      <w:tr ns1:paraId="504FD3F9">
        <w:tc>
          <w:tcPr>
            <w:tcW w:w="3141" w:type="pct"/>
            <w:vAlign w:val="bottom"/>
          </w:tcPr>
          <w:p ns1:paraId="24F12CCC">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基于A*和改进动态窗口法的建筑移动机器人路径规划</w:t>
            </w:r>
          </w:p>
        </w:tc>
        <w:tc>
          <w:tcPr>
            <w:tcW w:w="902" w:type="pct"/>
            <w:vAlign w:val="bottom"/>
          </w:tcPr>
          <w:p ns1:paraId="53504D9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工业控制计算机</w:t>
            </w:r>
          </w:p>
        </w:tc>
        <w:tc>
          <w:tcPr>
            <w:tcW w:w="532" w:type="pct"/>
            <w:vAlign w:val="bottom"/>
          </w:tcPr>
          <w:p ns1:paraId="4ABCD47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424" w:type="pct"/>
            <w:vAlign w:val="bottom"/>
          </w:tcPr>
          <w:p ns1:paraId="492FF827">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12</w:t>
            </w:r>
          </w:p>
        </w:tc>
      </w:tr>
      <w:tr ns1:paraId="3C10336A">
        <w:tc>
          <w:tcPr>
            <w:tcW w:w="3141" w:type="pct"/>
            <w:tcBorders>
              <w:top w:val="single" w:color="7E7E7E" w:themeColor="text1" w:themeTint="80" w:sz="4" w:space="0"/>
              <w:bottom w:val="single" w:color="7E7E7E" w:themeColor="text1" w:themeTint="80" w:sz="4" w:space="0"/>
            </w:tcBorders>
            <w:vAlign w:val="bottom"/>
          </w:tcPr>
          <w:p ns1:paraId="2183CF33">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基于机电联合仿真的塔式起重机变幅定位与防摆控制研究</w:t>
            </w:r>
          </w:p>
        </w:tc>
        <w:tc>
          <w:tcPr>
            <w:tcW w:w="902" w:type="pct"/>
            <w:tcBorders>
              <w:top w:val="single" w:color="7E7E7E" w:themeColor="text1" w:themeTint="80" w:sz="4" w:space="0"/>
              <w:bottom w:val="single" w:color="7E7E7E" w:themeColor="text1" w:themeTint="80" w:sz="4" w:space="0"/>
            </w:tcBorders>
            <w:vAlign w:val="bottom"/>
          </w:tcPr>
          <w:p ns1:paraId="58B0A5E7">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制造业自动化</w:t>
            </w:r>
          </w:p>
        </w:tc>
        <w:tc>
          <w:tcPr>
            <w:tcW w:w="532" w:type="pct"/>
            <w:tcBorders>
              <w:top w:val="single" w:color="7E7E7E" w:themeColor="text1" w:themeTint="80" w:sz="4" w:space="0"/>
              <w:bottom w:val="single" w:color="7E7E7E" w:themeColor="text1" w:themeTint="80" w:sz="4" w:space="0"/>
            </w:tcBorders>
            <w:vAlign w:val="bottom"/>
          </w:tcPr>
          <w:p ns1:paraId="0BD9689C">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2023</w:t>
            </w:r>
          </w:p>
        </w:tc>
        <w:tc>
          <w:tcPr>
            <w:tcW w:w="424" w:type="pct"/>
            <w:tcBorders>
              <w:top w:val="single" w:color="7E7E7E" w:themeColor="text1" w:themeTint="80" w:sz="4" w:space="0"/>
              <w:bottom w:val="single" w:color="7E7E7E" w:themeColor="text1" w:themeTint="80" w:sz="4" w:space="0"/>
            </w:tcBorders>
            <w:vAlign w:val="bottom"/>
          </w:tcPr>
          <w:p ns1:paraId="2E8EEC6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5</w:t>
            </w:r>
          </w:p>
        </w:tc>
      </w:tr>
    </w:tbl>
    <w:p xmlns:w="http://schemas.openxmlformats.org/wordprocessingml/2006/main">
      <w:pPr>
        <w:spacing w:line="480" w:lineRule="auto"/>
        <w:ind w:firstLine="480" w:firstLineChars="200"/>
        <w:rPr>
          <w:rFonts w:ascii="宋体" w:hAnsi="宋体" w:eastAsia="宋体"/>
          <w:sz w:val="24"/>
          <w:szCs w:val="24"/>
        </w:rPr>
      </w:pPr>
      <w:r>
        <w:t xml:space="preserve">相关文献中的BIM辅助放样、塔式起重机防摆控制和移动机器人路径规划，分别体现模型信息进入施工现场、运动过程保持稳定以及设备适应作业环境等技术需求。其共同点在于将抽象任务转化为可执行或可观测的工程过程。专利更集中于具体装置和系统组合，文献则较多讨论测量与控制方法，这种差异有助于理解相近技术名称下不同知识内容的分工。</w:t>
      </w:r>
    </w:p>
    <w:p xmlns:w="http://schemas.openxmlformats.org/wordprocessingml/2006/main">
      <w:pPr>
        <w:spacing w:line="480" w:lineRule="auto"/>
        <w:ind w:firstLine="480" w:firstLineChars="200"/>
        <w:rPr>
          <w:rFonts w:ascii="宋体" w:hAnsi="宋体" w:eastAsia="宋体"/>
          <w:sz w:val="24"/>
          <w:szCs w:val="24"/>
        </w:rPr>
      </w:pPr>
      <w:r>
        <w:t xml:space="preserve">工程大数据与互联网平台侧重多源数据的组织、处理与利用。现有统计中，大数据相关专利为448项，内容涉及数据采集、清洗、特征化处理及数据资源目录构建，并进一步服务于工程数据分析与挖掘。自然语言处理和大模型等技术在该子领域中也有体现，但对应记录占比较低。平台层面的技术作用，在于使来自模型、传感设备和作业系统的数据能够围绕共同工程对象形成联系，数据积累由此进入状态解释和任务支持过程。</w:t>
      </w:r>
    </w:p>
    <w:p xmlns:w="http://schemas.openxmlformats.org/wordprocessingml/2006/main">
      <w:pPr>
        <w:spacing w:line="480" w:lineRule="auto"/>
        <w:ind w:firstLine="480" w:firstLineChars="200"/>
        <w:rPr>
          <w:rFonts w:ascii="宋体" w:hAnsi="宋体" w:eastAsia="宋体"/>
          <w:sz w:val="24"/>
          <w:szCs w:val="24"/>
        </w:rPr>
      </w:pPr>
      <w:r>
        <w:t xml:space="preserve">[图3-9 大数据相关专利技术词云（待插入）]</w:t>
      </w:r>
    </w:p>
    <w:p xmlns:w="http://schemas.openxmlformats.org/wordprocessingml/2006/main">
      <w:pPr>
        <w:spacing w:line="480" w:lineRule="auto"/>
        <w:ind w:firstLine="480" w:firstLineChars="200"/>
        <w:rPr>
          <w:rFonts w:ascii="宋体" w:hAnsi="宋体" w:eastAsia="宋体"/>
          <w:sz w:val="24"/>
          <w:szCs w:val="24"/>
        </w:rPr>
      </w:pPr>
      <w:r>
        <w:t xml:space="preserve">表3-9 工程大数据与互联网平台相关专利示例</w:t>
      </w:r>
    </w:p>
    <w:tbl xmlns:ns1="http://schemas.microsoft.com/office/word/2010/wordml" xmlns:w="http://schemas.openxmlformats.org/wordprocessingml/2006/main">
      <w:tblPr>
        <w:tblStyle w:val="93"/>
        <w:tblW w:w="7938" w:type="dxa"/>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069"/>
        <w:gridCol w:w="1568"/>
        <w:gridCol w:w="1301"/>
      </w:tblGrid>
      <w:tr ns1:paraId="2A08B665">
        <w:trPr>
          <w:trHeight w:val="510" w:hRule="atLeast"/>
        </w:trPr>
        <w:tc>
          <w:tcPr>
            <w:tcW w:w="5159" w:type="dxa"/>
            <w:tcBorders>
              <w:bottom w:val="single" w:color="7E7E7E" w:themeColor="text1" w:themeTint="80" w:sz="4" w:space="0"/>
              <w:insideH w:val="single" w:sz="4" w:space="0"/>
            </w:tcBorders>
            <w:vAlign w:val="center"/>
          </w:tcPr>
          <w:p ns1:paraId="46FA4979">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ascii="宋体" w:hAnsi="宋体" w:eastAsia="宋体"/>
                <w:b/>
                <w:bCs/>
                <w:color w:val="000000" w:themeColor="text1"/>
                <w:sz w:val="21"/>
                <w:szCs w:val="21"/>
                <ns1:textFill>
                  <ns1:solidFill>
                    <ns1:schemeClr ns1:val="tx1"/>
                  </ns1:solidFill>
                </ns1:textFill>
              </w:rPr>
              <w:t>专利</w:t>
            </w:r>
          </w:p>
        </w:tc>
        <w:tc>
          <w:tcPr>
            <w:tcW w:w="1476" w:type="dxa"/>
            <w:tcBorders>
              <w:bottom w:val="single" w:color="7E7E7E" w:themeColor="text1" w:themeTint="80" w:sz="4" w:space="0"/>
              <w:insideH w:val="single" w:sz="4" w:space="0"/>
            </w:tcBorders>
            <w:vAlign w:val="center"/>
          </w:tcPr>
          <w:p ns1:paraId="0AE18AD7">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专利号</w:t>
            </w:r>
          </w:p>
        </w:tc>
        <w:tc>
          <w:tcPr>
            <w:tcW w:w="1303" w:type="dxa"/>
            <w:tcBorders>
              <w:bottom w:val="single" w:color="7E7E7E" w:themeColor="text1" w:themeTint="80" w:sz="4" w:space="0"/>
              <w:insideH w:val="single" w:sz="4" w:space="0"/>
            </w:tcBorders>
            <w:vAlign w:val="center"/>
          </w:tcPr>
          <w:p ns1:paraId="09981275">
            <w:pPr>
              <w:pStyle w:val="33"/>
              <w:widowControl/>
              <w:spacing w:beforeAutospacing="0" w:afterAutospacing="0" w:line="360" w:lineRule="auto"/>
              <w:jc w:val="center"/>
              <w:rPr>
                <w:rFonts w:ascii="宋体" w:hAnsi="宋体" w:eastAsia="宋体"/>
                <w:b w:val="0"/>
                <w:bCs w:val="0"/>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申请时间</w:t>
            </w:r>
          </w:p>
        </w:tc>
      </w:tr>
      <w:tr ns1:paraId="5B56F0DD">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2B4A1AC2">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一种基于多元数据的隧道施工动态塌方安全综合预警方法</w:t>
            </w:r>
          </w:p>
        </w:tc>
        <w:tc>
          <w:tcPr>
            <w:tcW w:w="1476" w:type="dxa"/>
            <w:tcBorders>
              <w:top w:val="single" w:color="7E7E7E" w:themeColor="text1" w:themeTint="80" w:sz="4" w:space="0"/>
              <w:bottom w:val="single" w:color="7E7E7E" w:themeColor="text1" w:themeTint="80" w:sz="4" w:space="0"/>
            </w:tcBorders>
            <w:vAlign w:val="center"/>
          </w:tcPr>
          <w:p ns1:paraId="54F144B0">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CN109931109A</w:t>
            </w:r>
          </w:p>
        </w:tc>
        <w:tc>
          <w:tcPr>
            <w:tcW w:w="1303" w:type="dxa"/>
            <w:tcBorders>
              <w:top w:val="single" w:color="7E7E7E" w:themeColor="text1" w:themeTint="80" w:sz="4" w:space="0"/>
              <w:bottom w:val="single" w:color="7E7E7E" w:themeColor="text1" w:themeTint="80" w:sz="4" w:space="0"/>
            </w:tcBorders>
            <w:vAlign w:val="center"/>
          </w:tcPr>
          <w:p ns1:paraId="46E50754">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2019/4/19</w:t>
            </w:r>
          </w:p>
        </w:tc>
      </w:tr>
      <w:tr ns1:paraId="32635955">
        <w:trPr>
          <w:trHeight w:val="510" w:hRule="atLeast"/>
        </w:trPr>
        <w:tc>
          <w:tcPr>
            <w:tcW w:w="5159" w:type="dxa"/>
            <w:vAlign w:val="center"/>
          </w:tcPr>
          <w:p ns1:paraId="316335D6">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基于大数据的地下钢筋混凝土结构碳化寿命智能建模方法</w:t>
            </w:r>
          </w:p>
        </w:tc>
        <w:tc>
          <w:tcPr>
            <w:tcW w:w="1476" w:type="dxa"/>
            <w:vAlign w:val="center"/>
          </w:tcPr>
          <w:p ns1:paraId="46152DA1">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CN110991067A</w:t>
            </w:r>
          </w:p>
        </w:tc>
        <w:tc>
          <w:tcPr>
            <w:tcW w:w="1303" w:type="dxa"/>
            <w:vAlign w:val="center"/>
          </w:tcPr>
          <w:p ns1:paraId="35845FFE">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2019/12/11</w:t>
            </w:r>
          </w:p>
        </w:tc>
      </w:tr>
      <w:tr ns1:paraId="58A8F4F5">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2866E55A">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一种岩质地层地铁盾构施工地表沉降规律的数据挖掘方法</w:t>
            </w:r>
          </w:p>
        </w:tc>
        <w:tc>
          <w:tcPr>
            <w:tcW w:w="1476" w:type="dxa"/>
            <w:tcBorders>
              <w:top w:val="single" w:color="7E7E7E" w:themeColor="text1" w:themeTint="80" w:sz="4" w:space="0"/>
              <w:bottom w:val="single" w:color="7E7E7E" w:themeColor="text1" w:themeTint="80" w:sz="4" w:space="0"/>
            </w:tcBorders>
            <w:vAlign w:val="center"/>
          </w:tcPr>
          <w:p ns1:paraId="0E796E83">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CN112052274B</w:t>
            </w:r>
          </w:p>
        </w:tc>
        <w:tc>
          <w:tcPr>
            <w:tcW w:w="1303" w:type="dxa"/>
            <w:tcBorders>
              <w:top w:val="single" w:color="7E7E7E" w:themeColor="text1" w:themeTint="80" w:sz="4" w:space="0"/>
              <w:bottom w:val="single" w:color="7E7E7E" w:themeColor="text1" w:themeTint="80" w:sz="4" w:space="0"/>
            </w:tcBorders>
            <w:vAlign w:val="center"/>
          </w:tcPr>
          <w:p ns1:paraId="63914FA2">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2020/7/31</w:t>
            </w:r>
          </w:p>
        </w:tc>
      </w:tr>
      <w:tr ns1:paraId="54EAE109">
        <w:trPr>
          <w:trHeight w:val="510" w:hRule="atLeast"/>
        </w:trPr>
        <w:tc>
          <w:tcPr>
            <w:tcW w:w="5159" w:type="dxa"/>
            <w:vAlign w:val="center"/>
          </w:tcPr>
          <w:p ns1:paraId="64CA458D">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cs="宋体"/>
                <w:b w:val="0"/>
                <w:bCs w:val="0"/>
                <w:color w:val="000000"/>
                <w:sz w:val="21"/>
                <w:szCs w:val="21"/>
                <w:lang w:bidi="ar"/>
              </w:rPr>
              <w:t>一种智能化建筑施工的数据处理方法</w:t>
            </w:r>
          </w:p>
        </w:tc>
        <w:tc>
          <w:tcPr>
            <w:tcW w:w="1476" w:type="dxa"/>
            <w:vAlign w:val="center"/>
          </w:tcPr>
          <w:p ns1:paraId="3EDB174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CN113222437A</w:t>
            </w:r>
          </w:p>
        </w:tc>
        <w:tc>
          <w:tcPr>
            <w:tcW w:w="1303" w:type="dxa"/>
            <w:vAlign w:val="center"/>
          </w:tcPr>
          <w:p ns1:paraId="7619C015">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2021/5/24</w:t>
            </w:r>
          </w:p>
        </w:tc>
      </w:tr>
      <w:tr ns1:paraId="6EC91D40">
        <w:trPr>
          <w:trHeight w:val="510" w:hRule="atLeast"/>
        </w:trPr>
        <w:tc>
          <w:tcPr>
            <w:tcW w:w="5159" w:type="dxa"/>
            <w:vAlign w:val="center"/>
          </w:tcPr>
          <w:p ns1:paraId="51C7F667">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一种基于数据分析的盾构隧道盾尾涌水检测管控系统</w:t>
            </w:r>
          </w:p>
        </w:tc>
        <w:tc>
          <w:tcPr>
            <w:tcW w:w="1476" w:type="dxa"/>
            <w:vAlign w:val="center"/>
          </w:tcPr>
          <w:p ns1:paraId="7F44A8FA">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CN118228205B</w:t>
            </w:r>
          </w:p>
        </w:tc>
        <w:tc>
          <w:tcPr>
            <w:tcW w:w="1303" w:type="dxa"/>
            <w:vAlign w:val="center"/>
          </w:tcPr>
          <w:p ns1:paraId="08137DAD">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2024/5/24</w:t>
            </w:r>
          </w:p>
        </w:tc>
      </w:tr>
      <w:tr ns1:paraId="7435189C">
        <w:trPr>
          <w:trHeight w:val="510" w:hRule="atLeast"/>
        </w:trPr>
        <w:tc>
          <w:tcPr>
            <w:tcW w:w="5159" w:type="dxa"/>
            <w:tcBorders>
              <w:top w:val="single" w:color="7E7E7E" w:themeColor="text1" w:themeTint="80" w:sz="4" w:space="0"/>
              <w:bottom w:val="single" w:color="7E7E7E" w:themeColor="text1" w:themeTint="80" w:sz="4" w:space="0"/>
            </w:tcBorders>
            <w:vAlign w:val="center"/>
          </w:tcPr>
          <w:p ns1:paraId="3474246D">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基于大数据的地下连续墙钢筋搭接接头抗弯能力计算方法</w:t>
            </w:r>
          </w:p>
        </w:tc>
        <w:tc>
          <w:tcPr>
            <w:tcW w:w="1476" w:type="dxa"/>
            <w:tcBorders>
              <w:top w:val="single" w:color="7E7E7E" w:themeColor="text1" w:themeTint="80" w:sz="4" w:space="0"/>
              <w:bottom w:val="single" w:color="7E7E7E" w:themeColor="text1" w:themeTint="80" w:sz="4" w:space="0"/>
            </w:tcBorders>
            <w:vAlign w:val="center"/>
          </w:tcPr>
          <w:p ns1:paraId="66A62CF5">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CN119312644A</w:t>
            </w:r>
          </w:p>
        </w:tc>
        <w:tc>
          <w:tcPr>
            <w:tcW w:w="1303" w:type="dxa"/>
            <w:tcBorders>
              <w:top w:val="single" w:color="7E7E7E" w:themeColor="text1" w:themeTint="80" w:sz="4" w:space="0"/>
              <w:bottom w:val="single" w:color="7E7E7E" w:themeColor="text1" w:themeTint="80" w:sz="4" w:space="0"/>
            </w:tcBorders>
            <w:vAlign w:val="center"/>
          </w:tcPr>
          <w:p ns1:paraId="10179829">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2024/12/17</w:t>
            </w:r>
          </w:p>
        </w:tc>
      </w:tr>
    </w:tbl>
    <w:p xmlns:w="http://schemas.openxmlformats.org/wordprocessingml/2006/main">
      <w:pPr>
        <w:spacing w:line="480" w:lineRule="auto"/>
        <w:ind w:firstLine="480" w:firstLineChars="200"/>
        <w:rPr>
          <w:rFonts w:ascii="宋体" w:hAnsi="宋体" w:eastAsia="宋体"/>
          <w:sz w:val="24"/>
          <w:szCs w:val="24"/>
        </w:rPr>
      </w:pPr>
      <w:r>
        <w:t xml:space="preserve">表3-9所列方案涉及隧道塌方预警、地下结构碳化寿命建模、盾构施工沉降规律挖掘、施工数据处理及构件承载能力计算。不同方案所使用的数据与评价目标存在差异，但均以工程对象的状态或性能为中心组织分析。数据量的增加为识别关系提供材料，关系能否支持工程判断则取决于采集条件、特征含义和模型适用范围。因此，该子领域的技术解释应同时关注数据来源与所解决的问题，使平台能力与具体应用相联系。</w:t>
      </w:r>
    </w:p>
    <w:p xmlns:w="http://schemas.openxmlformats.org/wordprocessingml/2006/main">
      <w:pPr>
        <w:spacing w:line="480" w:lineRule="auto"/>
        <w:ind w:firstLine="480" w:firstLineChars="200"/>
        <w:rPr>
          <w:rFonts w:ascii="宋体" w:hAnsi="宋体" w:eastAsia="宋体"/>
          <w:sz w:val="24"/>
          <w:szCs w:val="24"/>
        </w:rPr>
      </w:pPr>
      <w:r>
        <w:t xml:space="preserve">相关文献主要涉及大数据挖掘、多源信息融合和平台化服务。以结构安全性能智能化评估为例，既有研究通过组织不同来源的数据，分析温度作用与结构状态的联系，并讨论设计参数及荷载条件对应的安全性能。隧道掘进机数据提取、群组装备信息融合及工程大数据管理平台等研究，则进一步关注连续施工过程中数据的有效利用。表3-10所列内容表明，数据技术与建造知识的结合体现在具体对象、工况和评价任务之间的关联，而非单纯增加数据存储或模型规模。</w:t>
      </w:r>
    </w:p>
    <w:p xmlns:w="http://schemas.openxmlformats.org/wordprocessingml/2006/main">
      <w:pPr>
        <w:spacing w:line="480" w:lineRule="auto"/>
        <w:ind w:firstLine="480" w:firstLineChars="200"/>
        <w:rPr>
          <w:rFonts w:ascii="宋体" w:hAnsi="宋体" w:eastAsia="宋体"/>
          <w:sz w:val="24"/>
          <w:szCs w:val="24"/>
        </w:rPr>
      </w:pPr>
      <w:r>
        <w:t xml:space="preserve">表3-10 工程大数据与互联网平台相关文献示例</w:t>
      </w:r>
    </w:p>
    <w:tbl xmlns:ns1="http://schemas.microsoft.com/office/word/2010/wordml" xmlns:w="http://schemas.openxmlformats.org/wordprocessingml/2006/main">
      <w:tblPr>
        <w:tblStyle w:val="93"/>
        <w:tblW w:w="5108" w:type="pct"/>
        <w:tblInd w:w="0" w:type="dxa"/>
        <w:tblBorders>
          <w:top w:val="single" w:color="7E7E7E" w:themeColor="text1" w:themeTint="80" w:sz="4" w:space="0"/>
          <w:left w:val="none" w:color="auto" w:sz="0" w:space="0"/>
          <w:bottom w:val="single" w:color="7E7E7E" w:themeColor="text1" w:themeTint="80" w:sz="4" w:space="0"/>
          <w:right w:val="none" w:color="auto" w:sz="0" w:space="0"/>
          <w:insideH w:val="none" w:color="auto" w:sz="0" w:space="0"/>
          <w:insideV w:val="none" w:color="auto" w:sz="0" w:space="0"/>
        </w:tblBorders>
        <w:tblLayout w:type="autofit"/>
        <w:tblCellMar>
          <w:top w:w="0" w:type="dxa"/>
          <w:left w:w="28" w:type="dxa"/>
          <w:bottom w:w="0" w:type="dxa"/>
          <w:right w:w="28" w:type="dxa"/>
        </w:tblCellMar>
      </w:tblPr>
      <w:tblGrid>
        <w:gridCol w:w="5468"/>
        <w:gridCol w:w="1521"/>
        <w:gridCol w:w="1064"/>
        <w:gridCol w:w="1040"/>
      </w:tblGrid>
      <w:tr ns1:paraId="57DA8DA1">
        <w:tc>
          <w:tcPr>
            <w:tcW w:w="3006" w:type="pct"/>
            <w:tcBorders>
              <w:bottom w:val="single" w:color="7E7E7E" w:themeColor="text1" w:themeTint="80" w:sz="4" w:space="0"/>
              <w:insideH w:val="single" w:sz="4" w:space="0"/>
            </w:tcBorders>
          </w:tcPr>
          <w:p ns1:paraId="6D183BC2">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文献</w:t>
            </w:r>
          </w:p>
        </w:tc>
        <w:tc>
          <w:tcPr>
            <w:tcW w:w="836" w:type="pct"/>
            <w:tcBorders>
              <w:bottom w:val="single" w:color="7E7E7E" w:themeColor="text1" w:themeTint="80" w:sz="4" w:space="0"/>
              <w:insideH w:val="single" w:sz="4" w:space="0"/>
            </w:tcBorders>
          </w:tcPr>
          <w:p ns1:paraId="55B96FD8">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期刊</w:t>
            </w:r>
          </w:p>
        </w:tc>
        <w:tc>
          <w:tcPr>
            <w:tcW w:w="585" w:type="pct"/>
            <w:tcBorders>
              <w:bottom w:val="single" w:color="7E7E7E" w:themeColor="text1" w:themeTint="80" w:sz="4" w:space="0"/>
              <w:insideH w:val="single" w:sz="4" w:space="0"/>
            </w:tcBorders>
          </w:tcPr>
          <w:p ns1:paraId="4604A0BD">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发表年份</w:t>
            </w:r>
          </w:p>
        </w:tc>
        <w:tc>
          <w:tcPr>
            <w:tcW w:w="572" w:type="pct"/>
            <w:tcBorders>
              <w:bottom w:val="single" w:color="7E7E7E" w:themeColor="text1" w:themeTint="80" w:sz="4" w:space="0"/>
              <w:insideH w:val="single" w:sz="4" w:space="0"/>
            </w:tcBorders>
          </w:tcPr>
          <w:p ns1:paraId="3A974262">
            <w:pPr>
              <w:pStyle w:val="33"/>
              <w:widowControl/>
              <w:spacing w:beforeAutospacing="0" w:afterAutospacing="0" w:line="360" w:lineRule="auto"/>
              <w:jc w:val="center"/>
              <w:rPr>
                <w:rFonts w:ascii="宋体" w:hAnsi="宋体" w:eastAsia="宋体"/>
                <w:b/>
                <w:bCs/>
                <w:color w:val="000000" w:themeColor="text1"/>
                <w:sz w:val="21"/>
                <w:szCs w:val="21"/>
                <ns1:textFill>
                  <ns1:solidFill>
                    <ns1:schemeClr ns1:val="tx1"/>
                  </ns1:solidFill>
                </ns1:textFill>
              </w:rPr>
            </w:pPr>
            <w:r>
              <w:rPr>
                <w:rFonts w:hint="eastAsia" w:ascii="宋体" w:hAnsi="宋体" w:eastAsia="宋体"/>
                <w:b/>
                <w:bCs/>
                <w:color w:val="000000" w:themeColor="text1"/>
                <w:sz w:val="21"/>
                <w:szCs w:val="21"/>
                <ns1:textFill>
                  <ns1:solidFill>
                    <ns1:schemeClr ns1:val="tx1"/>
                  </ns1:solidFill>
                </ns1:textFill>
              </w:rPr>
              <w:t>引用数</w:t>
            </w:r>
          </w:p>
        </w:tc>
      </w:tr>
      <w:tr ns1:paraId="179975A8">
        <w:tc>
          <w:tcPr>
            <w:tcW w:w="3006" w:type="pct"/>
            <w:vAlign w:val="center"/>
          </w:tcPr>
          <w:p ns1:paraId="76784622">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基于多源数据的结构安全性能智能化评估</w:t>
            </w:r>
          </w:p>
        </w:tc>
        <w:tc>
          <w:tcPr>
            <w:tcW w:w="836" w:type="pct"/>
            <w:vAlign w:val="center"/>
          </w:tcPr>
          <w:p ns1:paraId="7F276EB9">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同济大学学报(自然科学版)</w:t>
            </w:r>
          </w:p>
        </w:tc>
        <w:tc>
          <w:tcPr>
            <w:tcW w:w="585" w:type="pct"/>
            <w:vAlign w:val="center"/>
          </w:tcPr>
          <w:p ns1:paraId="26CFB07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vAlign w:val="center"/>
          </w:tcPr>
          <w:p ns1:paraId="08B15F1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1</w:t>
            </w:r>
          </w:p>
        </w:tc>
      </w:tr>
      <w:tr ns1:paraId="181800E2">
        <w:tc>
          <w:tcPr>
            <w:tcW w:w="3006" w:type="pct"/>
            <w:tcBorders>
              <w:top w:val="single" w:color="7E7E7E" w:themeColor="text1" w:themeTint="80" w:sz="4" w:space="0"/>
              <w:bottom w:val="single" w:color="7E7E7E" w:themeColor="text1" w:themeTint="80" w:sz="4" w:space="0"/>
            </w:tcBorders>
            <w:vAlign w:val="center"/>
          </w:tcPr>
          <w:p ns1:paraId="75437D61">
            <w:pPr>
              <w:pStyle w:val="33"/>
              <w:widowControl/>
              <w:spacing w:beforeAutospacing="0" w:afterAutospacing="0" w:line="360" w:lineRule="auto"/>
              <w:rPr>
                <w:rFonts w:ascii="宋体" w:hAnsi="宋体" w:eastAsia="宋体"/>
                <w:b w:val="0"/>
                <w:bCs w:val="0"/>
                <w:sz w:val="21"/>
                <w:szCs w:val="21"/>
              </w:rPr>
            </w:pPr>
            <w:r>
              <w:rPr>
                <w:rFonts w:hint="eastAsia" w:ascii="宋体" w:hAnsi="宋体" w:eastAsia="宋体" w:cs="宋体"/>
                <w:b w:val="0"/>
                <w:bCs w:val="0"/>
                <w:color w:val="000000"/>
                <w:sz w:val="21"/>
                <w:szCs w:val="21"/>
                <w:lang w:bidi="ar"/>
              </w:rPr>
              <w:t>多源数据在复杂场景建筑物三维重建的应用</w:t>
            </w:r>
          </w:p>
        </w:tc>
        <w:tc>
          <w:tcPr>
            <w:tcW w:w="836" w:type="pct"/>
            <w:tcBorders>
              <w:top w:val="single" w:color="7E7E7E" w:themeColor="text1" w:themeTint="80" w:sz="4" w:space="0"/>
              <w:bottom w:val="single" w:color="7E7E7E" w:themeColor="text1" w:themeTint="80" w:sz="4" w:space="0"/>
            </w:tcBorders>
            <w:vAlign w:val="center"/>
          </w:tcPr>
          <w:p ns1:paraId="392DD9CA">
            <w:pPr>
              <w:pStyle w:val="33"/>
              <w:widowControl/>
              <w:spacing w:beforeAutospacing="0" w:afterAutospacing="0" w:line="360" w:lineRule="auto"/>
              <w:jc w:val="center"/>
              <w:rPr>
                <w:rFonts w:ascii="宋体" w:hAnsi="宋体" w:eastAsia="宋体"/>
                <w:sz w:val="21"/>
                <w:szCs w:val="21"/>
              </w:rPr>
            </w:pPr>
            <w:r>
              <w:rPr>
                <w:rFonts w:hint="eastAsia" w:ascii="宋体" w:hAnsi="宋体" w:eastAsia="宋体" w:cs="宋体"/>
                <w:color w:val="000000"/>
                <w:sz w:val="21"/>
                <w:szCs w:val="21"/>
                <w:lang w:bidi="ar"/>
              </w:rPr>
              <w:t>测绘通报</w:t>
            </w:r>
          </w:p>
        </w:tc>
        <w:tc>
          <w:tcPr>
            <w:tcW w:w="585" w:type="pct"/>
            <w:tcBorders>
              <w:top w:val="single" w:color="7E7E7E" w:themeColor="text1" w:themeTint="80" w:sz="4" w:space="0"/>
              <w:bottom w:val="single" w:color="7E7E7E" w:themeColor="text1" w:themeTint="80" w:sz="4" w:space="0"/>
            </w:tcBorders>
            <w:vAlign w:val="center"/>
          </w:tcPr>
          <w:p ns1:paraId="2F08F56C">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2022</w:t>
            </w:r>
          </w:p>
        </w:tc>
        <w:tc>
          <w:tcPr>
            <w:tcW w:w="572" w:type="pct"/>
            <w:tcBorders>
              <w:top w:val="single" w:color="7E7E7E" w:themeColor="text1" w:themeTint="80" w:sz="4" w:space="0"/>
              <w:bottom w:val="single" w:color="7E7E7E" w:themeColor="text1" w:themeTint="80" w:sz="4" w:space="0"/>
            </w:tcBorders>
            <w:vAlign w:val="center"/>
          </w:tcPr>
          <w:p ns1:paraId="05BBFE50">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s="宋体"/>
                <w:color w:val="000000"/>
                <w:sz w:val="21"/>
                <w:szCs w:val="21"/>
                <w:lang w:bidi="ar"/>
              </w:rPr>
              <w:t>23</w:t>
            </w:r>
          </w:p>
        </w:tc>
      </w:tr>
      <w:tr ns1:paraId="55CB05E4">
        <w:tc>
          <w:tcPr>
            <w:tcW w:w="3006" w:type="pct"/>
            <w:vAlign w:val="center"/>
          </w:tcPr>
          <w:p ns1:paraId="6BE68BF5">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基于云技术的智慧化项目施工管理研究</w:t>
            </w:r>
          </w:p>
        </w:tc>
        <w:tc>
          <w:tcPr>
            <w:tcW w:w="836" w:type="pct"/>
            <w:vAlign w:val="center"/>
          </w:tcPr>
          <w:p ns1:paraId="0694162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ns1:paraId="7A221859">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021</w:t>
            </w:r>
          </w:p>
        </w:tc>
        <w:tc>
          <w:tcPr>
            <w:tcW w:w="572" w:type="pct"/>
            <w:vAlign w:val="center"/>
          </w:tcPr>
          <w:p ns1:paraId="090D1428">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3</w:t>
            </w:r>
          </w:p>
        </w:tc>
      </w:tr>
      <w:tr ns1:paraId="02F69507">
        <w:tc>
          <w:tcPr>
            <w:tcW w:w="3006" w:type="pct"/>
            <w:tcBorders>
              <w:top w:val="single" w:color="7E7E7E" w:themeColor="text1" w:themeTint="80" w:sz="4" w:space="0"/>
              <w:bottom w:val="single" w:color="7E7E7E" w:themeColor="text1" w:themeTint="80" w:sz="4" w:space="0"/>
            </w:tcBorders>
            <w:vAlign w:val="center"/>
          </w:tcPr>
          <w:p ns1:paraId="68ADE0FB">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全断面隧道掘进机施工大数据的有效数据提取研究</w:t>
            </w:r>
          </w:p>
        </w:tc>
        <w:tc>
          <w:tcPr>
            <w:tcW w:w="836" w:type="pct"/>
            <w:tcBorders>
              <w:top w:val="single" w:color="7E7E7E" w:themeColor="text1" w:themeTint="80" w:sz="4" w:space="0"/>
              <w:bottom w:val="single" w:color="7E7E7E" w:themeColor="text1" w:themeTint="80" w:sz="4" w:space="0"/>
            </w:tcBorders>
            <w:vAlign w:val="center"/>
          </w:tcPr>
          <w:p ns1:paraId="719CDF43">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tcBorders>
              <w:top w:val="single" w:color="7E7E7E" w:themeColor="text1" w:themeTint="80" w:sz="4" w:space="0"/>
              <w:bottom w:val="single" w:color="7E7E7E" w:themeColor="text1" w:themeTint="80" w:sz="4" w:space="0"/>
            </w:tcBorders>
            <w:vAlign w:val="center"/>
          </w:tcPr>
          <w:p ns1:paraId="2A2E04A1">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tcBorders>
              <w:top w:val="single" w:color="7E7E7E" w:themeColor="text1" w:themeTint="80" w:sz="4" w:space="0"/>
              <w:bottom w:val="single" w:color="7E7E7E" w:themeColor="text1" w:themeTint="80" w:sz="4" w:space="0"/>
            </w:tcBorders>
            <w:vAlign w:val="center"/>
          </w:tcPr>
          <w:p ns1:paraId="42744E8F">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3</w:t>
            </w:r>
          </w:p>
        </w:tc>
      </w:tr>
      <w:tr ns1:paraId="688CD4E4">
        <w:tc>
          <w:tcPr>
            <w:tcW w:w="3006" w:type="pct"/>
            <w:vAlign w:val="center"/>
          </w:tcPr>
          <w:p ns1:paraId="48BFCF30">
            <w:pPr>
              <w:pStyle w:val="33"/>
              <w:widowControl/>
              <w:spacing w:beforeAutospacing="0" w:afterAutospacing="0" w:line="360" w:lineRule="auto"/>
              <w:rPr>
                <w:rFonts w:ascii="宋体" w:hAnsi="宋体" w:eastAsia="宋体"/>
                <w:b w:val="0"/>
                <w:bCs w:val="0"/>
                <w:color w:val="000000"/>
                <w:sz w:val="21"/>
                <w:szCs w:val="21"/>
              </w:rPr>
            </w:pPr>
            <w:r>
              <w:rPr>
                <w:rFonts w:hint="eastAsia" w:ascii="宋体" w:hAnsi="宋体" w:eastAsia="宋体"/>
                <w:b w:val="0"/>
                <w:bCs w:val="0"/>
                <w:color w:val="000000"/>
                <w:sz w:val="21"/>
                <w:szCs w:val="21"/>
              </w:rPr>
              <w:t>大数据时代工程造价数据的采集与应用研究</w:t>
            </w:r>
          </w:p>
        </w:tc>
        <w:tc>
          <w:tcPr>
            <w:tcW w:w="836" w:type="pct"/>
            <w:vAlign w:val="center"/>
          </w:tcPr>
          <w:p ns1:paraId="017C2D4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施工技术</w:t>
            </w:r>
          </w:p>
        </w:tc>
        <w:tc>
          <w:tcPr>
            <w:tcW w:w="585" w:type="pct"/>
            <w:vAlign w:val="center"/>
          </w:tcPr>
          <w:p ns1:paraId="13E18FD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018</w:t>
            </w:r>
          </w:p>
        </w:tc>
        <w:tc>
          <w:tcPr>
            <w:tcW w:w="572" w:type="pct"/>
            <w:vAlign w:val="center"/>
          </w:tcPr>
          <w:p ns1:paraId="4F5770BD">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w:t>
            </w:r>
          </w:p>
        </w:tc>
      </w:tr>
      <w:tr ns1:paraId="2F1C8EB5">
        <w:tc>
          <w:tcPr>
            <w:tcW w:w="3006" w:type="pct"/>
            <w:tcBorders>
              <w:top w:val="single" w:color="7E7E7E" w:themeColor="text1" w:themeTint="80" w:sz="4" w:space="0"/>
              <w:bottom w:val="single" w:color="7E7E7E" w:themeColor="text1" w:themeTint="80" w:sz="4" w:space="0"/>
            </w:tcBorders>
            <w:vAlign w:val="center"/>
          </w:tcPr>
          <w:p ns1:paraId="7DD02942">
            <w:pPr>
              <w:pStyle w:val="33"/>
              <w:widowControl/>
              <w:spacing w:beforeAutospacing="0" w:afterAutospacing="0" w:line="360" w:lineRule="auto"/>
              <w:rPr>
                <w:rFonts w:ascii="宋体" w:hAnsi="宋体" w:eastAsia="宋体"/>
                <w:b w:val="0"/>
                <w:bCs w:val="0"/>
                <w:color w:val="000000"/>
                <w:sz w:val="21"/>
                <w:szCs w:val="21"/>
              </w:rPr>
            </w:pPr>
            <w:r>
              <w:rPr>
                <w:rFonts w:ascii="宋体" w:hAnsi="宋体" w:eastAsia="宋体"/>
                <w:b w:val="0"/>
                <w:bCs w:val="0"/>
                <w:color w:val="000000"/>
                <w:sz w:val="21"/>
                <w:szCs w:val="21"/>
              </w:rPr>
              <w:t>基于TBM掘进大数据和特征参数的引水隧洞塌方分析</w:t>
            </w:r>
          </w:p>
        </w:tc>
        <w:tc>
          <w:tcPr>
            <w:tcW w:w="836" w:type="pct"/>
            <w:tcBorders>
              <w:top w:val="single" w:color="7E7E7E" w:themeColor="text1" w:themeTint="80" w:sz="4" w:space="0"/>
              <w:bottom w:val="single" w:color="7E7E7E" w:themeColor="text1" w:themeTint="80" w:sz="4" w:space="0"/>
            </w:tcBorders>
            <w:vAlign w:val="center"/>
          </w:tcPr>
          <w:p ns1:paraId="35CBC18A">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ns1:paraId="64CC88A6">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024</w:t>
            </w:r>
          </w:p>
        </w:tc>
        <w:tc>
          <w:tcPr>
            <w:tcW w:w="572" w:type="pct"/>
            <w:tcBorders>
              <w:top w:val="single" w:color="7E7E7E" w:themeColor="text1" w:themeTint="80" w:sz="4" w:space="0"/>
              <w:bottom w:val="single" w:color="7E7E7E" w:themeColor="text1" w:themeTint="80" w:sz="4" w:space="0"/>
            </w:tcBorders>
            <w:vAlign w:val="center"/>
          </w:tcPr>
          <w:p ns1:paraId="15A327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p>
        </w:tc>
      </w:tr>
      <w:tr ns1:paraId="3C4681BC">
        <w:tc>
          <w:tcPr>
            <w:tcW w:w="3006" w:type="pct"/>
            <w:vAlign w:val="center"/>
          </w:tcPr>
          <w:p ns1:paraId="759B8FD1">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面向多源异构信息融合的隧道群组装备数据提取技术研究</w:t>
            </w:r>
          </w:p>
        </w:tc>
        <w:tc>
          <w:tcPr>
            <w:tcW w:w="836" w:type="pct"/>
            <w:vAlign w:val="center"/>
          </w:tcPr>
          <w:p ns1:paraId="6BE92B8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隧道建设</w:t>
            </w:r>
          </w:p>
        </w:tc>
        <w:tc>
          <w:tcPr>
            <w:tcW w:w="585" w:type="pct"/>
            <w:vAlign w:val="center"/>
          </w:tcPr>
          <w:p ns1:paraId="6B36C0F6">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olor w:val="000000"/>
                <w:sz w:val="21"/>
                <w:szCs w:val="21"/>
              </w:rPr>
              <w:t>2</w:t>
            </w:r>
            <w:r>
              <w:rPr>
                <w:rFonts w:ascii="宋体" w:hAnsi="宋体" w:eastAsia="宋体"/>
                <w:color w:val="000000"/>
                <w:sz w:val="21"/>
                <w:szCs w:val="21"/>
              </w:rPr>
              <w:t>022</w:t>
            </w:r>
          </w:p>
        </w:tc>
        <w:tc>
          <w:tcPr>
            <w:tcW w:w="572" w:type="pct"/>
            <w:vAlign w:val="center"/>
          </w:tcPr>
          <w:p ns1:paraId="2E959A20">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7</w:t>
            </w:r>
          </w:p>
        </w:tc>
      </w:tr>
      <w:tr ns1:paraId="16423133">
        <w:tc>
          <w:tcPr>
            <w:tcW w:w="3006" w:type="pct"/>
            <w:tcBorders>
              <w:top w:val="single" w:color="7E7E7E" w:themeColor="text1" w:themeTint="80" w:sz="4" w:space="0"/>
              <w:bottom w:val="single" w:color="7E7E7E" w:themeColor="text1" w:themeTint="80" w:sz="4" w:space="0"/>
            </w:tcBorders>
            <w:vAlign w:val="center"/>
          </w:tcPr>
          <w:p ns1:paraId="77EBE767">
            <w:pPr>
              <w:pStyle w:val="33"/>
              <w:widowControl/>
              <w:spacing w:beforeAutospacing="0" w:afterAutospacing="0" w:line="360" w:lineRule="auto"/>
              <w:rPr>
                <w:rFonts w:ascii="宋体" w:hAnsi="宋体" w:eastAsia="宋体" w:cs="宋体"/>
                <w:b w:val="0"/>
                <w:bCs w:val="0"/>
                <w:color w:val="000000"/>
                <w:sz w:val="21"/>
                <w:szCs w:val="21"/>
                <w:lang w:bidi="ar"/>
              </w:rPr>
            </w:pPr>
            <w:r>
              <w:rPr>
                <w:rFonts w:hint="eastAsia" w:ascii="宋体" w:hAnsi="宋体" w:eastAsia="宋体" w:cs="宋体"/>
                <w:b w:val="0"/>
                <w:bCs w:val="0"/>
                <w:color w:val="000000"/>
                <w:sz w:val="21"/>
                <w:szCs w:val="21"/>
                <w:lang w:bidi="ar"/>
              </w:rPr>
              <w:t>隧道掘进机工程大数据管理平台关键技术及应用研究</w:t>
            </w:r>
          </w:p>
        </w:tc>
        <w:tc>
          <w:tcPr>
            <w:tcW w:w="836" w:type="pct"/>
            <w:tcBorders>
              <w:top w:val="single" w:color="7E7E7E" w:themeColor="text1" w:themeTint="80" w:sz="4" w:space="0"/>
              <w:bottom w:val="single" w:color="7E7E7E" w:themeColor="text1" w:themeTint="80" w:sz="4" w:space="0"/>
            </w:tcBorders>
            <w:vAlign w:val="center"/>
          </w:tcPr>
          <w:p ns1:paraId="30196004">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隧道建设</w:t>
            </w:r>
          </w:p>
        </w:tc>
        <w:tc>
          <w:tcPr>
            <w:tcW w:w="585" w:type="pct"/>
            <w:tcBorders>
              <w:top w:val="single" w:color="7E7E7E" w:themeColor="text1" w:themeTint="80" w:sz="4" w:space="0"/>
              <w:bottom w:val="single" w:color="7E7E7E" w:themeColor="text1" w:themeTint="80" w:sz="4" w:space="0"/>
            </w:tcBorders>
            <w:vAlign w:val="center"/>
          </w:tcPr>
          <w:p ns1:paraId="58854E32">
            <w:pPr>
              <w:pStyle w:val="33"/>
              <w:widowControl/>
              <w:spacing w:beforeAutospacing="0" w:afterAutospacing="0" w:line="360" w:lineRule="auto"/>
              <w:jc w:val="center"/>
              <w:rPr>
                <w:rFonts w:ascii="宋体" w:hAnsi="宋体" w:eastAsia="宋体"/>
                <w:color w:val="000000"/>
                <w:sz w:val="21"/>
                <w:szCs w:val="21"/>
              </w:rPr>
            </w:pPr>
            <w:r>
              <w:rPr>
                <w:rFonts w:hint="eastAsia" w:ascii="宋体" w:hAnsi="宋体" w:eastAsia="宋体"/>
                <w:color w:val="000000"/>
                <w:sz w:val="21"/>
                <w:szCs w:val="21"/>
              </w:rPr>
              <w:t>2</w:t>
            </w:r>
            <w:r>
              <w:rPr>
                <w:rFonts w:ascii="宋体" w:hAnsi="宋体" w:eastAsia="宋体"/>
                <w:color w:val="000000"/>
                <w:sz w:val="21"/>
                <w:szCs w:val="21"/>
              </w:rPr>
              <w:t>020</w:t>
            </w:r>
          </w:p>
        </w:tc>
        <w:tc>
          <w:tcPr>
            <w:tcW w:w="572" w:type="pct"/>
            <w:tcBorders>
              <w:top w:val="single" w:color="7E7E7E" w:themeColor="text1" w:themeTint="80" w:sz="4" w:space="0"/>
              <w:bottom w:val="single" w:color="7E7E7E" w:themeColor="text1" w:themeTint="80" w:sz="4" w:space="0"/>
            </w:tcBorders>
            <w:vAlign w:val="center"/>
          </w:tcPr>
          <w:p ns1:paraId="0D15BEB7">
            <w:pPr>
              <w:pStyle w:val="33"/>
              <w:widowControl/>
              <w:spacing w:beforeAutospacing="0" w:afterAutospacing="0" w:line="360" w:lineRule="auto"/>
              <w:jc w:val="center"/>
              <w:rPr>
                <w:rFonts w:ascii="宋体" w:hAnsi="宋体" w:eastAsia="宋体" w:cs="宋体"/>
                <w:color w:val="000000"/>
                <w:sz w:val="21"/>
                <w:szCs w:val="21"/>
                <w:lang w:bidi="ar"/>
              </w:rPr>
            </w:pPr>
            <w:r>
              <w:rPr>
                <w:rFonts w:hint="eastAsia" w:ascii="宋体" w:hAnsi="宋体" w:eastAsia="宋体" w:cs="宋体"/>
                <w:color w:val="000000"/>
                <w:sz w:val="21"/>
                <w:szCs w:val="21"/>
                <w:lang w:bidi="ar"/>
              </w:rPr>
              <w:t>2</w:t>
            </w:r>
            <w:r>
              <w:rPr>
                <w:rFonts w:ascii="宋体" w:hAnsi="宋体" w:eastAsia="宋体" w:cs="宋体"/>
                <w:color w:val="000000"/>
                <w:sz w:val="21"/>
                <w:szCs w:val="21"/>
                <w:lang w:bidi="ar"/>
              </w:rPr>
              <w:t>2</w:t>
            </w:r>
          </w:p>
        </w:tc>
      </w:tr>
    </w:tbl>
    <w:p xmlns:w="http://schemas.openxmlformats.org/wordprocessingml/2006/main">
      <w:pPr>
        <w:spacing w:line="480" w:lineRule="auto"/>
        <w:ind w:firstLine="480" w:firstLineChars="200"/>
        <w:rPr>
          <w:rFonts w:ascii="宋体" w:hAnsi="宋体" w:eastAsia="宋体"/>
          <w:sz w:val="24"/>
          <w:szCs w:val="24"/>
        </w:rPr>
      </w:pPr>
      <w:r>
        <w:t xml:space="preserve">五个子领域共同覆盖信息表达、状态感知、构件制造、现场执行及数据分析等功能，但其边界并不封闭。BIM构件模型可以同时服务于制造与安装，吊装监测连接感知设备和施工机械，打印路径将几何设计与材料成型联系起来，平台分析则汇集不同环节的状态信息。专利与文献的分布差异揭示了研究关注和方案形成的不同侧面，代表性案例进一步说明技术之间存在围绕工程任务组织的联系。由此，技术体系的分析应从各类别的数量分布继续延伸至其关联方式和跨期变化。</w:t>
      </w:r>
    </w:p>
    <w:p xmlns:w="http://schemas.openxmlformats.org/wordprocessingml/2006/main">
      <w:pPr>
        <w:pStyle w:val="4"/>
        <w:numPr>
          <w:numId w:val="0"/>
        </w:numPr>
      </w:pPr>
      <w:r>
        <w:t xml:space="preserve">3.2.3 创新主体与技术布局</w:t>
      </w:r>
    </w:p>
    <w:p xmlns:w="http://schemas.openxmlformats.org/wordprocessingml/2006/main">
      <w:pPr>
        <w:spacing w:line="480" w:lineRule="auto"/>
        <w:ind w:firstLine="480" w:firstLineChars="200"/>
        <w:rPr>
          <w:rFonts w:ascii="宋体" w:hAnsi="宋体" w:eastAsia="宋体"/>
          <w:sz w:val="24"/>
          <w:szCs w:val="24"/>
        </w:rPr>
      </w:pPr>
      <w:r>
        <w:t xml:space="preserve">创新主体分布反映了技术活动的参与基础。现有申请人类型统计中，企业对应4084项专利，高校与科研机构对应1408项，个人对应434项，合计5926项。按该分类统计量与样本总量计算，三类占比分别约为68.92%、23.76%和7.32%。企业对应的专利记录最多，高校与科研机构形成了另一部分持续的知识与方案供给，个人申请则构成补充。这里的比例反映既有分类记录的数量结构，不表示研发投入、市场份额或技术成果的经济价值。</w:t>
      </w:r>
    </w:p>
    <w:p xmlns:w="http://schemas.openxmlformats.org/wordprocessingml/2006/main">
      <w:pPr>
        <w:spacing w:line="480" w:lineRule="auto"/>
        <w:ind w:firstLine="480" w:firstLineChars="200"/>
        <w:rPr>
          <w:rFonts w:ascii="宋体" w:hAnsi="宋体" w:eastAsia="宋体"/>
          <w:sz w:val="24"/>
          <w:szCs w:val="24"/>
        </w:rPr>
      </w:pPr>
      <w:r>
        <w:t xml:space="preserve">企业专利数量较高，与样本中大量围绕构件连接、施工装备和工程数据处理形成的具体方案相呼应。这些方案通常需要将技术功能落实到明确的构造、工艺或系统组织中，企业参与为分析工程需求与技术方案之间的联系提供了主体背景。不过，现有材料尚未建立申请人与技术类别的逐项对应，因此上述联系属于对总体分布的解释，尚不足以确定某类企业在某一技术方向上的集中程度。不同技术方向的布局应在主体与专利记录之间保持对应后再作比较。</w:t>
      </w:r>
    </w:p>
    <w:p xmlns:w="http://schemas.openxmlformats.org/wordprocessingml/2006/main">
      <w:pPr>
        <w:spacing w:line="480" w:lineRule="auto"/>
        <w:ind w:firstLine="480" w:firstLineChars="200"/>
        <w:rPr>
          <w:rFonts w:ascii="宋体" w:hAnsi="宋体" w:eastAsia="宋体"/>
          <w:sz w:val="24"/>
          <w:szCs w:val="24"/>
        </w:rPr>
      </w:pPr>
      <w:r>
        <w:t xml:space="preserve">高校与科研机构对应1408项专利，说明学术研究主体也参与了可识别技术方案的形成。结合前述文献内容，其研究涉及构件力学性能、变形监测、装备控制和数据分析等问题，知识生产与工程任务之间存在多个连接点。文献和专利分别记录研究发表与方案表达，二者之间可能存在技术转化联系，但现有样本没有给出作者、申请人与成果之间的匹配关系。因此，本章以两类证据说明参与方式的多样性，不据总体数量估算成果转化效率。</w:t>
      </w:r>
    </w:p>
    <w:p xmlns:w="http://schemas.openxmlformats.org/wordprocessingml/2006/main">
      <w:pPr>
        <w:spacing w:line="480" w:lineRule="auto"/>
        <w:ind w:firstLine="480" w:firstLineChars="200"/>
        <w:rPr>
          <w:rFonts w:ascii="宋体" w:hAnsi="宋体" w:eastAsia="宋体"/>
          <w:sz w:val="24"/>
          <w:szCs w:val="24"/>
        </w:rPr>
      </w:pPr>
      <w:r>
        <w:t xml:space="preserve">原有统计提及部分专利由企业与高校联合申请，表明样本中存在跨类型主体合作的形式。三类数量恰好合计为专利总量，其统计过程是否采用第一申请人归类、主导主体归类或其他规则，仍影响对联合申请的解释。若同一记录包含多类主体，按记录归属与按申请人分别计数将产生不同结果。本文据现有记录保留三类规模及联合申请现象，合作强度与网络结构则有待联合申请明细支持。[待补充：申请人清洗与分类规则、联合申请记录及其归属方法、申请人—技术类别对应表。]</w:t>
      </w:r>
    </w:p>
    <w:p xmlns:w="http://schemas.openxmlformats.org/wordprocessingml/2006/main">
      <w:pPr>
        <w:spacing w:line="480" w:lineRule="auto"/>
        <w:ind w:firstLine="480" w:firstLineChars="200"/>
        <w:rPr>
          <w:rFonts w:ascii="宋体" w:hAnsi="宋体" w:eastAsia="宋体"/>
          <w:sz w:val="24"/>
          <w:szCs w:val="24"/>
        </w:rPr>
      </w:pPr>
      <w:r>
        <w:t xml:space="preserve">从技术布局的内容看，样本呈现出围绕工程任务展开的多方向活动。工程软件提供模型与协同工具，构件生产和施工机械形成面向实体作业的方案，工程物联网与数据平台则围绕状态获取和信息利用展开。这些方向在功能上相互联系，使参与者的技术活动可能跨越单一专业边界。当前类别统计能够说明参与基础与技术内容的多样性，但尚不支持企业排名、地域集中度或市场竞争格局的判断。本章据此将创新主体分析限定在申请人类型层面，保留与后续技术关联分析相衔接的解释范围。</w:t>
      </w:r>
    </w:p>
    <w:p xmlns:w="http://schemas.openxmlformats.org/wordprocessingml/2006/main">
      <w:pPr>
        <w:spacing w:line="480" w:lineRule="auto"/>
        <w:ind w:firstLine="480" w:firstLineChars="200"/>
        <w:rPr>
          <w:rFonts w:ascii="宋体" w:hAnsi="宋体" w:eastAsia="宋体"/>
          <w:sz w:val="24"/>
          <w:szCs w:val="24"/>
        </w:rPr>
      </w:pPr>
      <w:r>
        <w:t xml:space="preserve">数量较多的主体类型与数量较多的技术类别，并不能直接给出关键技术的对应关系。一项技术在多种方案之间承担怎样的连接作用，及其作用是否随领域成长而变化，仍是下一步分析的重点。将专利类别组织为跨阶段共现网络，并联系题名与摘要解释其功能，能够在本章环境描述的基础上进一步辨别技术地位及其演化路径。</w:t>
      </w:r>
    </w:p>
    <w:p xmlns:w="http://schemas.openxmlformats.org/wordprocessingml/2006/main">
      <w:pPr>
        <w:pStyle w:val="3"/>
        <w:numPr>
          <w:numId w:val="0"/>
        </w:numPr>
      </w:pPr>
      <w:r>
        <w:t xml:space="preserve">3.3 技术生命周期拟合与阶段划分</w:t>
      </w:r>
    </w:p>
    <w:p xmlns:w="http://schemas.openxmlformats.org/wordprocessingml/2006/main">
      <w:pPr>
        <w:pStyle w:val="4"/>
        <w:numPr>
          <w:numId w:val="0"/>
        </w:numPr>
      </w:pPr>
      <w:r>
        <w:t xml:space="preserve">3.3.1 生命周期模型与拟合方法</w:t>
      </w:r>
    </w:p>
    <w:p xmlns:w="http://schemas.openxmlformats.org/wordprocessingml/2006/main">
      <w:pPr>
        <w:spacing w:line="480" w:lineRule="auto"/>
        <w:ind w:firstLine="480" w:firstLineChars="200"/>
        <w:rPr>
          <w:rFonts w:ascii="宋体" w:hAnsi="宋体" w:eastAsia="宋体"/>
          <w:sz w:val="24"/>
          <w:szCs w:val="24"/>
        </w:rPr>
      </w:pPr>
      <w:r>
        <w:t xml:space="preserve">生命周期模型将分散的年度活动组织为具有增长形态的时间过程，用于考察领域技术积累是否表现出由缓慢增长向较快扩展、再向相对平稳变化的特征。其输入必须明确是年度新增量还是累计量，因为年度申请量允许回落，累计申请量在同一统计范围内则随时间单调增加。两者的拟合函数与参数解释存在差别：累计增长的拐点可对应增量变化的重要位置，而年度曲线的高点还可能由周期波动或观测截尾形成。模型选择需要与统计变量保持一致，不能仅凭曲线外形为工程技术赋予成熟度等级。</w:t>
      </w:r>
    </w:p>
    <w:p xmlns:w="http://schemas.openxmlformats.org/wordprocessingml/2006/main">
      <w:pPr>
        <w:spacing w:line="480" w:lineRule="auto"/>
        <w:ind w:firstLine="480" w:firstLineChars="200"/>
        <w:rPr>
          <w:rFonts w:ascii="宋体" w:hAnsi="宋体" w:eastAsia="宋体"/>
          <w:sz w:val="24"/>
          <w:szCs w:val="24"/>
        </w:rPr>
      </w:pPr>
      <w:r>
        <w:t xml:space="preserve">Logistic与Gompertz模型分别提供对称和非对称的饱和增长表达。以累计技术活动量为对象时，Logistic函数可写为N(t)=K/[1+exp(−r(t−t₀))]，Gompertz函数可写为N(t)=K·exp[−exp(−r(t−t₀))]，其中K表示模型中的饱和水平，r表示增长速率参数，t₀表示曲线位置参数。上述函数说明生命周期分析的理论形式，K并不直接等同于某项建造技术的物理能力上限；不同知识方向不断进入样本，也会影响整体饱和假设的适用性。具体拟合还需要确定输入年份、损失函数及参数约束，这些条件共同决定模型结果的可解释范围。</w:t>
      </w:r>
    </w:p>
    <w:p xmlns:w="http://schemas.openxmlformats.org/wordprocessingml/2006/main">
      <w:pPr>
        <w:spacing w:line="480" w:lineRule="auto"/>
        <w:ind w:firstLine="480" w:firstLineChars="200"/>
        <w:rPr>
          <w:rFonts w:ascii="宋体" w:hAnsi="宋体" w:eastAsia="宋体"/>
          <w:sz w:val="24"/>
          <w:szCs w:val="24"/>
        </w:rPr>
      </w:pPr>
      <w:r>
        <w:t xml:space="preserve">在年度数量分析基础上，现有研究记录采用Logistic与Gompertz两类曲线描述专利增长趋势，并在可视化中加入衰退外推。生命周期分析的对象是领域整体活动的变化形态，年度申请量与累计申请量对应不同的统计含义。图3-10中的实际观测线在后期存在下降，所表示的是年度数量；图例分别标注为“Logistic+衰退”和“Gompertz+衰退”，外推部分还包含2030年后的下降趋势。因此，该图应作为附加衰退设定下的年度活动情景理解，与第二章讨论的累计增长曲线分开解释。</w:t>
      </w:r>
    </w:p>
    <w:p xmlns:w="http://schemas.openxmlformats.org/wordprocessingml/2006/main">
      <w:pPr>
        <w:spacing w:line="480" w:lineRule="auto"/>
        <w:ind w:firstLine="480" w:firstLineChars="200"/>
        <w:rPr>
          <w:rFonts w:ascii="宋体" w:hAnsi="宋体" w:eastAsia="宋体"/>
          <w:sz w:val="24"/>
          <w:szCs w:val="24"/>
        </w:rPr>
      </w:pPr>
      <w:r>
        <w:t xml:space="preserve">表3-11给出了现有拟合结果。Logistic曲线的SSE、RMS、MAD和SE分别为217339.74、120.37、92.02和134.58，Gompertz曲线对应值为257630.62、131.05、102.00和146.52。四项指标均显示Logistic曲线的报告误差较低，据此可将其作为现有记录中的相对较优拟合结果。各指标保留原拟合记录中的符号，其中SSE与MAD分别对应误差平方和与平均绝对误差；RMS及SE的具体计算形式尚需与原始拟合记录对应。表内误差与图中附加衰退曲线是否使用同一拟合序列和计算过程，仍有待原始记录确认，故该比较仅限于表中已经报告的数值。</w:t>
      </w:r>
    </w:p>
    <w:p xmlns:w="http://schemas.openxmlformats.org/wordprocessingml/2006/main">
      <w:pPr>
        <w:spacing w:line="480" w:lineRule="auto"/>
        <w:ind w:firstLine="480" w:firstLineChars="200"/>
        <w:rPr>
          <w:rFonts w:ascii="宋体" w:hAnsi="宋体" w:eastAsia="宋体"/>
          <w:sz w:val="24"/>
          <w:szCs w:val="24"/>
        </w:rPr>
      </w:pPr>
      <w:r>
        <w:t xml:space="preserve">表3-11 Logistic与Gompertz曲线拟合结果</w:t>
      </w:r>
    </w:p>
    <w:tbl xmlns:ns1="http://schemas.microsoft.com/office/word/2010/wordm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9"/>
        <w:gridCol w:w="2075"/>
        <w:gridCol w:w="1475"/>
        <w:gridCol w:w="1475"/>
        <w:gridCol w:w="1475"/>
      </w:tblGrid>
      <w:tr ns1:paraId="66D698E7">
        <w:trPr>
          <w:tblHeader/>
          <w:jc w:val="center"/>
        </w:trPr>
        <w:tc>
          <w:tcPr>
            <w:tcW w:w="2019" w:type="dxa"/>
            <w:tcBorders>
              <w:top w:val="single" w:color="auto" w:sz="12" w:space="0"/>
              <w:left w:val="nil"/>
              <w:bottom w:val="single" w:color="auto" w:sz="4" w:space="0"/>
              <w:right w:val="nil"/>
            </w:tcBorders>
            <w:vAlign w:val="center"/>
          </w:tcPr>
          <w:p ns1:paraId="6A4B8E81">
            <w:pPr>
              <w:snapToGrid w:val="0"/>
              <w:spacing w:line="360" w:lineRule="auto"/>
              <w:jc w:val="center"/>
              <w:rPr>
                <w:rFonts w:ascii="宋体" w:hAnsi="宋体" w:eastAsia="宋体"/>
                <w:b/>
                <w:szCs w:val="21"/>
              </w:rPr>
            </w:pPr>
            <w:r>
              <w:rPr>
                <w:rFonts w:hint="eastAsia" w:ascii="宋体" w:hAnsi="宋体" w:eastAsia="宋体"/>
                <w:b/>
                <w:szCs w:val="21"/>
              </w:rPr>
              <w:t>模型</w:t>
            </w:r>
          </w:p>
        </w:tc>
        <w:tc>
          <w:tcPr>
            <w:tcW w:w="2075" w:type="dxa"/>
            <w:tcBorders>
              <w:top w:val="single" w:color="auto" w:sz="12" w:space="0"/>
              <w:left w:val="nil"/>
              <w:bottom w:val="single" w:color="auto" w:sz="4" w:space="0"/>
              <w:right w:val="nil"/>
            </w:tcBorders>
            <w:vAlign w:val="center"/>
          </w:tcPr>
          <w:p ns1:paraId="6FA6E272">
            <w:pPr>
              <w:snapToGrid w:val="0"/>
              <w:spacing w:line="360" w:lineRule="auto"/>
              <w:jc w:val="center"/>
              <w:rPr>
                <w:rFonts w:ascii="宋体" w:hAnsi="宋体" w:eastAsia="宋体"/>
                <w:b/>
                <w:szCs w:val="21"/>
              </w:rPr>
            </w:pPr>
            <w:r>
              <w:rPr>
                <w:rFonts w:hint="eastAsia" w:ascii="宋体" w:hAnsi="宋体" w:eastAsia="宋体"/>
                <w:b/>
                <w:szCs w:val="21"/>
              </w:rPr>
              <w:t>SSE</w:t>
            </w:r>
          </w:p>
        </w:tc>
        <w:tc>
          <w:tcPr>
            <w:tcW w:w="1475" w:type="dxa"/>
            <w:tcBorders>
              <w:top w:val="single" w:color="auto" w:sz="12" w:space="0"/>
              <w:left w:val="nil"/>
              <w:bottom w:val="single" w:color="auto" w:sz="4" w:space="0"/>
              <w:right w:val="nil"/>
            </w:tcBorders>
            <w:vAlign w:val="center"/>
          </w:tcPr>
          <w:p ns1:paraId="704A2BB8">
            <w:pPr>
              <w:snapToGrid w:val="0"/>
              <w:spacing w:line="360" w:lineRule="auto"/>
              <w:jc w:val="center"/>
              <w:rPr>
                <w:rFonts w:ascii="宋体" w:hAnsi="宋体" w:eastAsia="宋体"/>
                <w:b/>
                <w:szCs w:val="21"/>
              </w:rPr>
            </w:pPr>
            <w:r>
              <w:rPr>
                <w:rFonts w:hint="eastAsia" w:ascii="宋体" w:hAnsi="宋体" w:eastAsia="宋体"/>
                <w:b/>
                <w:szCs w:val="21"/>
              </w:rPr>
              <w:t>RMS</w:t>
            </w:r>
          </w:p>
        </w:tc>
        <w:tc>
          <w:tcPr>
            <w:tcW w:w="1475" w:type="dxa"/>
            <w:tcBorders>
              <w:top w:val="single" w:color="auto" w:sz="12" w:space="0"/>
              <w:left w:val="nil"/>
              <w:bottom w:val="single" w:color="auto" w:sz="4" w:space="0"/>
              <w:right w:val="nil"/>
            </w:tcBorders>
            <w:vAlign w:val="center"/>
          </w:tcPr>
          <w:p ns1:paraId="687C18DE">
            <w:pPr>
              <w:snapToGrid w:val="0"/>
              <w:spacing w:line="360" w:lineRule="auto"/>
              <w:jc w:val="center"/>
              <w:rPr>
                <w:rFonts w:ascii="宋体" w:hAnsi="宋体" w:eastAsia="宋体"/>
                <w:b/>
                <w:szCs w:val="21"/>
              </w:rPr>
            </w:pPr>
            <w:r>
              <w:rPr>
                <w:rFonts w:hint="eastAsia" w:ascii="宋体" w:hAnsi="宋体" w:eastAsia="宋体"/>
                <w:b/>
                <w:szCs w:val="21"/>
              </w:rPr>
              <w:t>MAD</w:t>
            </w:r>
          </w:p>
        </w:tc>
        <w:tc>
          <w:tcPr>
            <w:tcW w:w="1475" w:type="dxa"/>
            <w:tcBorders>
              <w:top w:val="single" w:color="auto" w:sz="12" w:space="0"/>
              <w:left w:val="nil"/>
              <w:bottom w:val="single" w:color="auto" w:sz="4" w:space="0"/>
              <w:right w:val="nil"/>
            </w:tcBorders>
            <w:vAlign w:val="center"/>
          </w:tcPr>
          <w:p ns1:paraId="7BD2F38E">
            <w:pPr>
              <w:snapToGrid w:val="0"/>
              <w:spacing w:line="360" w:lineRule="auto"/>
              <w:jc w:val="center"/>
              <w:rPr>
                <w:rFonts w:ascii="宋体" w:hAnsi="宋体" w:eastAsia="宋体"/>
                <w:b/>
                <w:szCs w:val="21"/>
              </w:rPr>
            </w:pPr>
            <w:r>
              <w:rPr>
                <w:rFonts w:hint="eastAsia" w:ascii="宋体" w:hAnsi="宋体" w:eastAsia="宋体"/>
                <w:b/>
                <w:szCs w:val="21"/>
              </w:rPr>
              <w:t>SE</w:t>
            </w:r>
          </w:p>
        </w:tc>
      </w:tr>
      <w:tr ns1:paraId="2A7AF4A3">
        <w:trPr>
          <w:jc w:val="center"/>
        </w:trPr>
        <w:tc>
          <w:tcPr>
            <w:tcW w:w="2019" w:type="dxa"/>
            <w:tcBorders>
              <w:top w:val="single" w:color="auto" w:sz="4" w:space="0"/>
              <w:left w:val="nil"/>
              <w:bottom w:val="nil"/>
              <w:right w:val="nil"/>
            </w:tcBorders>
            <w:vAlign w:val="center"/>
          </w:tcPr>
          <w:p ns1:paraId="51B4BBBF">
            <w:pPr>
              <w:snapToGrid w:val="0"/>
              <w:spacing w:line="360" w:lineRule="auto"/>
              <w:jc w:val="center"/>
              <w:rPr>
                <w:rFonts w:ascii="宋体" w:hAnsi="宋体" w:eastAsia="宋体"/>
                <w:szCs w:val="21"/>
              </w:rPr>
            </w:pPr>
            <w:r>
              <w:rPr>
                <w:rFonts w:hint="eastAsia" w:ascii="宋体" w:hAnsi="宋体" w:eastAsia="宋体"/>
                <w:szCs w:val="21"/>
              </w:rPr>
              <w:t>Logistic曲线</w:t>
            </w:r>
          </w:p>
        </w:tc>
        <w:tc>
          <w:tcPr>
            <w:tcW w:w="2075" w:type="dxa"/>
            <w:tcBorders>
              <w:top w:val="single" w:color="auto" w:sz="4" w:space="0"/>
              <w:left w:val="nil"/>
              <w:bottom w:val="nil"/>
              <w:right w:val="nil"/>
            </w:tcBorders>
            <w:vAlign w:val="center"/>
          </w:tcPr>
          <w:p ns1:paraId="1D936275">
            <w:pPr>
              <w:snapToGrid w:val="0"/>
              <w:spacing w:line="360" w:lineRule="auto"/>
              <w:jc w:val="center"/>
              <w:rPr>
                <w:rFonts w:ascii="宋体" w:hAnsi="宋体" w:eastAsia="宋体"/>
                <w:szCs w:val="21"/>
              </w:rPr>
            </w:pPr>
            <w:r>
              <w:rPr>
                <w:rFonts w:hint="eastAsia" w:ascii="宋体" w:hAnsi="宋体" w:eastAsia="宋体"/>
                <w:szCs w:val="21"/>
              </w:rPr>
              <w:t>217339.74</w:t>
            </w:r>
          </w:p>
        </w:tc>
        <w:tc>
          <w:tcPr>
            <w:tcW w:w="1475" w:type="dxa"/>
            <w:tcBorders>
              <w:top w:val="single" w:color="auto" w:sz="4" w:space="0"/>
              <w:left w:val="nil"/>
              <w:bottom w:val="nil"/>
              <w:right w:val="nil"/>
            </w:tcBorders>
            <w:vAlign w:val="center"/>
          </w:tcPr>
          <w:p ns1:paraId="3A34F4B3">
            <w:pPr>
              <w:snapToGrid w:val="0"/>
              <w:spacing w:line="360" w:lineRule="auto"/>
              <w:jc w:val="center"/>
              <w:rPr>
                <w:rFonts w:ascii="宋体" w:hAnsi="宋体" w:eastAsia="宋体"/>
                <w:szCs w:val="21"/>
              </w:rPr>
            </w:pPr>
            <w:r>
              <w:rPr>
                <w:rFonts w:hint="eastAsia" w:ascii="宋体" w:hAnsi="宋体" w:eastAsia="宋体"/>
                <w:szCs w:val="21"/>
              </w:rPr>
              <w:t>120.37</w:t>
            </w:r>
          </w:p>
        </w:tc>
        <w:tc>
          <w:tcPr>
            <w:tcW w:w="1475" w:type="dxa"/>
            <w:tcBorders>
              <w:top w:val="single" w:color="auto" w:sz="4" w:space="0"/>
              <w:left w:val="nil"/>
              <w:bottom w:val="nil"/>
              <w:right w:val="nil"/>
            </w:tcBorders>
            <w:vAlign w:val="center"/>
          </w:tcPr>
          <w:p ns1:paraId="1C9C5AD6">
            <w:pPr>
              <w:snapToGrid w:val="0"/>
              <w:spacing w:line="360" w:lineRule="auto"/>
              <w:jc w:val="center"/>
              <w:rPr>
                <w:rFonts w:ascii="宋体" w:hAnsi="宋体" w:eastAsia="宋体"/>
                <w:szCs w:val="21"/>
              </w:rPr>
            </w:pPr>
            <w:r>
              <w:rPr>
                <w:rFonts w:hint="eastAsia" w:ascii="宋体" w:hAnsi="宋体" w:eastAsia="宋体"/>
                <w:szCs w:val="21"/>
              </w:rPr>
              <w:t>92.02</w:t>
            </w:r>
          </w:p>
        </w:tc>
        <w:tc>
          <w:tcPr>
            <w:tcW w:w="1475" w:type="dxa"/>
            <w:tcBorders>
              <w:top w:val="single" w:color="auto" w:sz="4" w:space="0"/>
              <w:left w:val="nil"/>
              <w:bottom w:val="nil"/>
              <w:right w:val="nil"/>
            </w:tcBorders>
            <w:vAlign w:val="center"/>
          </w:tcPr>
          <w:p ns1:paraId="3555751F">
            <w:pPr>
              <w:snapToGrid w:val="0"/>
              <w:spacing w:line="360" w:lineRule="auto"/>
              <w:jc w:val="center"/>
              <w:rPr>
                <w:rFonts w:ascii="宋体" w:hAnsi="宋体" w:eastAsia="宋体"/>
                <w:szCs w:val="21"/>
              </w:rPr>
            </w:pPr>
            <w:r>
              <w:rPr>
                <w:rFonts w:hint="eastAsia" w:ascii="宋体" w:hAnsi="宋体" w:eastAsia="宋体"/>
                <w:szCs w:val="21"/>
              </w:rPr>
              <w:t>134.58</w:t>
            </w:r>
          </w:p>
        </w:tc>
      </w:tr>
      <w:tr ns1:paraId="78065326">
        <w:trPr>
          <w:jc w:val="center"/>
        </w:trPr>
        <w:tc>
          <w:tcPr>
            <w:tcW w:w="2019" w:type="dxa"/>
            <w:tcBorders>
              <w:top w:val="nil"/>
              <w:left w:val="nil"/>
              <w:bottom w:val="single" w:color="auto" w:sz="12" w:space="0"/>
              <w:right w:val="nil"/>
            </w:tcBorders>
            <w:vAlign w:val="center"/>
          </w:tcPr>
          <w:p ns1:paraId="4A07EAE7">
            <w:pPr>
              <w:snapToGrid w:val="0"/>
              <w:spacing w:line="360" w:lineRule="auto"/>
              <w:jc w:val="center"/>
              <w:rPr>
                <w:rFonts w:ascii="宋体" w:hAnsi="宋体" w:eastAsia="宋体"/>
                <w:szCs w:val="21"/>
              </w:rPr>
            </w:pPr>
            <w:r>
              <w:rPr>
                <w:rFonts w:hint="eastAsia" w:ascii="宋体" w:hAnsi="宋体" w:eastAsia="宋体"/>
                <w:szCs w:val="21"/>
              </w:rPr>
              <w:t>Gompertz曲线</w:t>
            </w:r>
          </w:p>
        </w:tc>
        <w:tc>
          <w:tcPr>
            <w:tcW w:w="2075" w:type="dxa"/>
            <w:tcBorders>
              <w:top w:val="nil"/>
              <w:left w:val="nil"/>
              <w:bottom w:val="single" w:color="auto" w:sz="12" w:space="0"/>
              <w:right w:val="nil"/>
            </w:tcBorders>
            <w:vAlign w:val="center"/>
          </w:tcPr>
          <w:p ns1:paraId="2CCB8A05">
            <w:pPr>
              <w:snapToGrid w:val="0"/>
              <w:spacing w:line="360" w:lineRule="auto"/>
              <w:jc w:val="center"/>
              <w:rPr>
                <w:rFonts w:ascii="宋体" w:hAnsi="宋体" w:eastAsia="宋体"/>
                <w:szCs w:val="21"/>
              </w:rPr>
            </w:pPr>
            <w:bookmarkStart w:id="21" w:name="OLE_LINK1"/>
            <w:r>
              <w:rPr>
                <w:rFonts w:hint="eastAsia" w:ascii="宋体" w:hAnsi="宋体" w:eastAsia="宋体"/>
                <w:szCs w:val="21"/>
              </w:rPr>
              <w:t>257630.62</w:t>
            </w:r>
            <w:bookmarkEnd w:id="21"/>
          </w:p>
        </w:tc>
        <w:tc>
          <w:tcPr>
            <w:tcW w:w="1475" w:type="dxa"/>
            <w:tcBorders>
              <w:top w:val="nil"/>
              <w:left w:val="nil"/>
              <w:bottom w:val="single" w:color="auto" w:sz="12" w:space="0"/>
              <w:right w:val="nil"/>
            </w:tcBorders>
            <w:vAlign w:val="center"/>
          </w:tcPr>
          <w:p ns1:paraId="177A9D16">
            <w:pPr>
              <w:snapToGrid w:val="0"/>
              <w:spacing w:line="360" w:lineRule="auto"/>
              <w:jc w:val="center"/>
              <w:rPr>
                <w:rFonts w:ascii="宋体" w:hAnsi="宋体" w:eastAsia="宋体"/>
                <w:szCs w:val="21"/>
              </w:rPr>
            </w:pPr>
            <w:r>
              <w:rPr>
                <w:rFonts w:hint="eastAsia" w:ascii="宋体" w:hAnsi="宋体" w:eastAsia="宋体"/>
                <w:szCs w:val="21"/>
              </w:rPr>
              <w:t>131.05</w:t>
            </w:r>
          </w:p>
        </w:tc>
        <w:tc>
          <w:tcPr>
            <w:tcW w:w="1475" w:type="dxa"/>
            <w:tcBorders>
              <w:top w:val="nil"/>
              <w:left w:val="nil"/>
              <w:bottom w:val="single" w:color="auto" w:sz="12" w:space="0"/>
              <w:right w:val="nil"/>
            </w:tcBorders>
            <w:vAlign w:val="center"/>
          </w:tcPr>
          <w:p ns1:paraId="55E92278">
            <w:pPr>
              <w:snapToGrid w:val="0"/>
              <w:spacing w:line="360" w:lineRule="auto"/>
              <w:jc w:val="center"/>
              <w:rPr>
                <w:rFonts w:ascii="宋体" w:hAnsi="宋体" w:eastAsia="宋体"/>
                <w:szCs w:val="21"/>
              </w:rPr>
            </w:pPr>
            <w:r>
              <w:rPr>
                <w:rFonts w:hint="eastAsia" w:ascii="宋体" w:hAnsi="宋体" w:eastAsia="宋体"/>
                <w:szCs w:val="21"/>
              </w:rPr>
              <w:t>102.00</w:t>
            </w:r>
          </w:p>
        </w:tc>
        <w:tc>
          <w:tcPr>
            <w:tcW w:w="1475" w:type="dxa"/>
            <w:tcBorders>
              <w:top w:val="nil"/>
              <w:left w:val="nil"/>
              <w:bottom w:val="single" w:color="auto" w:sz="12" w:space="0"/>
              <w:right w:val="nil"/>
            </w:tcBorders>
            <w:vAlign w:val="center"/>
          </w:tcPr>
          <w:p ns1:paraId="6BDC2863">
            <w:pPr>
              <w:snapToGrid w:val="0"/>
              <w:spacing w:line="360" w:lineRule="auto"/>
              <w:jc w:val="center"/>
              <w:rPr>
                <w:rFonts w:ascii="宋体" w:hAnsi="宋体" w:eastAsia="宋体"/>
                <w:szCs w:val="21"/>
              </w:rPr>
            </w:pPr>
            <w:r>
              <w:rPr>
                <w:rFonts w:hint="eastAsia" w:ascii="宋体" w:hAnsi="宋体" w:eastAsia="宋体"/>
                <w:szCs w:val="21"/>
              </w:rPr>
              <w:t>146.52</w:t>
            </w:r>
          </w:p>
        </w:tc>
      </w:tr>
    </w:tbl>
    <w:p xmlns:w="http://schemas.openxmlformats.org/wordprocessingml/2006/main">
      <w:pPr>
        <w:spacing w:line="480" w:lineRule="auto"/>
        <w:ind w:firstLine="480" w:firstLineChars="200"/>
        <w:rPr>
          <w:rFonts w:ascii="宋体" w:hAnsi="宋体" w:eastAsia="宋体"/>
          <w:sz w:val="24"/>
          <w:szCs w:val="24"/>
        </w:rPr>
      </w:pPr>
      <w:r>
        <w:t xml:space="preserve">[图3-10 智能建造技术生命周期拟合（待插入）]</w:t>
      </w:r>
    </w:p>
    <w:p xmlns:w="http://schemas.openxmlformats.org/wordprocessingml/2006/main">
      <w:pPr>
        <w:pStyle w:val="4"/>
        <w:numPr>
          <w:numId w:val="0"/>
        </w:numPr>
      </w:pPr>
      <w:r>
        <w:t xml:space="preserve">3.3.2 阶段划分结果及其特征</w:t>
      </w:r>
    </w:p>
    <w:p xmlns:w="http://schemas.openxmlformats.org/wordprocessingml/2006/main">
      <w:pPr>
        <w:spacing w:line="480" w:lineRule="auto"/>
        <w:ind w:firstLine="480" w:firstLineChars="200"/>
        <w:rPr>
          <w:rFonts w:ascii="宋体" w:hAnsi="宋体" w:eastAsia="宋体"/>
          <w:sz w:val="24"/>
          <w:szCs w:val="24"/>
        </w:rPr>
      </w:pPr>
      <w:r>
        <w:t xml:space="preserve">年度活动和模型情景共同用于理解领域成长过程，但两者承担不同的判断任务。年度统计能够说明已经观测到的数量水平及其波动，拟合曲线则提供对连续变化形态的概括。本文在现有证据范围内，将2010—2014年、2015—2019年及2020—2025年分别作为早期积累、中期扩展和近期高位波动的观察阶段。这些名称指向专利与文献活动特征，并不意味着所有技术均在同一年跨越生命周期边界。</w:t>
      </w:r>
    </w:p>
    <w:p xmlns:w="http://schemas.openxmlformats.org/wordprocessingml/2006/main">
      <w:pPr>
        <w:spacing w:line="480" w:lineRule="auto"/>
        <w:ind w:firstLine="480" w:firstLineChars="200"/>
        <w:rPr>
          <w:rFonts w:ascii="宋体" w:hAnsi="宋体" w:eastAsia="宋体"/>
          <w:sz w:val="24"/>
          <w:szCs w:val="24"/>
        </w:rPr>
      </w:pPr>
      <w:r>
        <w:t xml:space="preserve">早期阶段的专利量为127项，文献量为765篇。年度专利量由2010年的9项变化至2014年的62项，2011—2013年仍处于较小规模，说明可检索技术方案经过有限积累后开始增加。相应文献在2010—2014年由114篇增加至249篇，呈现研究关注逐步扩展的过程。早期规模偏小会使单项专利的类别组合对局部网络产生较大影响，因此这一时期适合辨明初始知识联系及其延续情况，不宜仅按绝对连接数量与后期比较。</w:t>
      </w:r>
    </w:p>
    <w:p xmlns:w="http://schemas.openxmlformats.org/wordprocessingml/2006/main">
      <w:pPr>
        <w:spacing w:line="480" w:lineRule="auto"/>
        <w:ind w:firstLine="480" w:firstLineChars="200"/>
        <w:rPr>
          <w:rFonts w:ascii="宋体" w:hAnsi="宋体" w:eastAsia="宋体"/>
          <w:sz w:val="24"/>
          <w:szCs w:val="24"/>
        </w:rPr>
      </w:pPr>
      <w:r>
        <w:t xml:space="preserve">中期阶段的专利量为1023项，文献量为2252篇。2015—2019年专利年度量从65项增至392项，文献则在335—527篇之间变化。两类活动均较早期形成更大的观察规模，但其年度轨迹不同，说明学术发表与方案申请并未保持固定比例。该阶段为比较既有知识类别是否得到持续使用、不同工程功能是否形成联系提供了更丰富的样本基础。阶段总量的扩大表示观察记录增加，具体技术组合是否变化仍需第四章的网络关系加以辨别。</w:t>
      </w:r>
    </w:p>
    <w:p xmlns:w="http://schemas.openxmlformats.org/wordprocessingml/2006/main">
      <w:pPr>
        <w:spacing w:line="480" w:lineRule="auto"/>
        <w:ind w:firstLine="480" w:firstLineChars="200"/>
        <w:rPr>
          <w:rFonts w:ascii="宋体" w:hAnsi="宋体" w:eastAsia="宋体"/>
          <w:sz w:val="24"/>
          <w:szCs w:val="24"/>
        </w:rPr>
      </w:pPr>
      <w:r>
        <w:t xml:space="preserve">近期阶段记录专利4776项、文献3741篇。2021年和2022年专利数较高，2023年回落后于2024年有所恢复；文献在2020—2023年保持相近规模，随后出现波动。这种变化体现高位活动与年度调整并存，因而以“近期高位波动”概括更能保留实际数据特征。2025年记录的覆盖时间较短，其数值不能与完整年度作同等解释。领域内的数量调整也不必然意味着技术能力衰退，申请节奏、检索时滞和技术表达变化均可能影响观测结果。</w:t>
      </w:r>
    </w:p>
    <w:p xmlns:w="http://schemas.openxmlformats.org/wordprocessingml/2006/main">
      <w:pPr>
        <w:spacing w:line="480" w:lineRule="auto"/>
        <w:ind w:firstLine="480" w:firstLineChars="200"/>
        <w:rPr>
          <w:rFonts w:ascii="宋体" w:hAnsi="宋体" w:eastAsia="宋体"/>
          <w:sz w:val="24"/>
          <w:szCs w:val="24"/>
        </w:rPr>
      </w:pPr>
      <w:r>
        <w:t xml:space="preserve">从生命周期视角看，早期低位积累与后期申请量扩展，为讨论智能建造技术由探索向成长演进提供了数量依据。曲线将这些活动组织为连续过程，有助于呈现既有增长情景。不过，图中相对平稳区间及后续下降形态同时受到增长函数与附加衰退设定的影响，不能仅凭曲线外形确定领域的成熟或衰退年份。软件、材料和装备还可能具有不同的发展节奏，整体活动情景因而主要提供环境分析的参照，具体技术所处阶段仍需结合其工程内容判断。</w:t>
      </w:r>
    </w:p>
    <w:p xmlns:w="http://schemas.openxmlformats.org/wordprocessingml/2006/main">
      <w:pPr>
        <w:spacing w:line="480" w:lineRule="auto"/>
        <w:ind w:firstLine="480" w:firstLineChars="200"/>
        <w:rPr>
          <w:rFonts w:ascii="宋体" w:hAnsi="宋体" w:eastAsia="宋体"/>
          <w:sz w:val="24"/>
          <w:szCs w:val="24"/>
        </w:rPr>
      </w:pPr>
      <w:r>
        <w:t xml:space="preserve">既有分析提出，2025—2032年智能建造技术可能逐步向成熟阶段过渡。本文保留这一时间区间作为原有情景判断，其表达的是领域活动可能由快速增长转向相对稳定的设想。由于增长函数、附加衰退函数及对应参数尚未完整给出，这一设想尚不具有可复算的时间判定依据，图中的后期下降也不构成技术衰退已经确定的证据。具体设备或系统的工程应用水平仍应依据相应验证材料评价。[待补充：拟合序列、时间范围及年度或累计口径，增长与附加衰退函数及参数，表3-11误差与图3-10曲线的对应关系，拟合代码、RMS与SE定义及外推不确定性分析。]</w:t>
      </w:r>
    </w:p>
    <w:p xmlns:w="http://schemas.openxmlformats.org/wordprocessingml/2006/main">
      <w:pPr>
        <w:spacing w:line="480" w:lineRule="auto"/>
        <w:ind w:firstLine="480" w:firstLineChars="200"/>
        <w:rPr>
          <w:rFonts w:ascii="宋体" w:hAnsi="宋体" w:eastAsia="宋体"/>
          <w:sz w:val="24"/>
          <w:szCs w:val="24"/>
        </w:rPr>
      </w:pPr>
      <w:r>
        <w:t xml:space="preserve">技术成长发生于一定的政策与应用环境之中。原有研究将《智能建造与新型建筑工业化协同发展行动计划（2021—2025年）》涉及的2025年产业互联网平台建设目标，以及《关于推动智能建造与建筑工业化协同发展的指导意见》涉及的2035年发展目标，作为中长期背景讨论。这些目标能够说明技术发展的需求导向，但政策目标与模型外推年份接近，不构成预测精度的独立证据。BIM应用扩展和建筑机器人应用发展也应通过具体项目材料解释，其与专利活动之间可能具有联系，尚不能据此确定整体成熟时间。[待补充：上述政策的正式文本及对应条款，BIM和建筑机器人应用规模的可追溯材料。]</w:t>
      </w:r>
    </w:p>
    <w:p xmlns:w="http://schemas.openxmlformats.org/wordprocessingml/2006/main">
      <w:pPr>
        <w:pStyle w:val="4"/>
        <w:numPr>
          <w:numId w:val="0"/>
        </w:numPr>
      </w:pPr>
      <w:r>
        <w:t xml:space="preserve">3.3.3 跨阶段比较口径与分期方案</w:t>
      </w:r>
    </w:p>
    <w:p xmlns:w="http://schemas.openxmlformats.org/wordprocessingml/2006/main">
      <w:pPr>
        <w:spacing w:line="480" w:lineRule="auto"/>
        <w:ind w:firstLine="480" w:firstLineChars="200"/>
        <w:rPr>
          <w:rFonts w:ascii="宋体" w:hAnsi="宋体" w:eastAsia="宋体"/>
          <w:sz w:val="24"/>
          <w:szCs w:val="24"/>
        </w:rPr>
      </w:pPr>
      <w:r>
        <w:t xml:space="preserve">统一时间窗口是将领域成长分析转化为动态识别输入的必要条件。本文采用2010—2014年、2015—2019年和2020—2025年三个窗口，与第四章IPC共现网络的正文及统计表保持一致。3.2.1节以2010—2013年和2014—2019年说明年度增长转折，这种趋势分段服务于数量描述；网络比较采用固定观察窗口，2014年的记录归入阶段1。两类分段分别承担走势解释与跨期比较任务，不将其边界差异解释为模型给出了两个相互冲突的转折点。</w:t>
      </w:r>
    </w:p>
    <w:p xmlns:w="http://schemas.openxmlformats.org/wordprocessingml/2006/main">
      <w:pPr>
        <w:spacing w:line="480" w:lineRule="auto"/>
        <w:ind w:firstLine="480" w:firstLineChars="200"/>
        <w:rPr>
          <w:rFonts w:ascii="宋体" w:hAnsi="宋体" w:eastAsia="宋体"/>
          <w:sz w:val="24"/>
          <w:szCs w:val="24"/>
        </w:rPr>
      </w:pPr>
      <w:r>
        <w:t xml:space="preserve">表3-12汇总原年度图标注值和现有工作簿的分期结果。原论文各阶段专利数相加为5926项，文献数相加为6758篇；辅助工作簿各阶段分别为124、1023和4766条，合计5913条。两类专利统计在阶段1和阶段3分别相差3条与10条，在阶段2数量相等。数量相等只能说明阶段规模一致，逐条记录是否一致仍需唯一标识对应；数量差异也不宜在缺少记录映射时直接归因为漏检或去重。</w:t>
      </w:r>
    </w:p>
    <w:p xmlns:w="http://schemas.openxmlformats.org/wordprocessingml/2006/main">
      <w:pPr>
        <w:spacing w:line="480" w:lineRule="auto"/>
        <w:ind w:firstLine="480" w:firstLineChars="200"/>
        <w:rPr>
          <w:rFonts w:ascii="宋体" w:hAnsi="宋体" w:eastAsia="宋体"/>
          <w:sz w:val="24"/>
          <w:szCs w:val="24"/>
        </w:rPr>
      </w:pPr>
      <w:r>
        <w:t xml:space="preserve">表3-12 统一观察窗口下的专利与文献数量</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1703"/>
        <w:gridCol w:w="1703"/>
        <w:gridCol w:w="1703"/>
        <w:gridCol w:w="1707"/>
      </w:tblGrid>
      <w:tr>
        <w:trPr>
          <w:tblHeader/>
          <w:cantSplit/>
        </w:trPr>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阶段</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时间窗口</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原论文专利记录数</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原论文文献数</w:t>
            </w:r>
          </w:p>
        </w:tc>
        <w:tc>
          <w:tcPr>
            <w:tcW w:w="1707"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辅助工作簿行数</w:t>
            </w:r>
          </w:p>
        </w:tc>
      </w:tr>
      <w:tr>
        <w:trPr>
          <w:cantSplit/>
        </w:trPr>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阶段1</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2010—2014年</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127</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765</w:t>
            </w:r>
          </w:p>
        </w:tc>
        <w:tc>
          <w:tcPr>
            <w:tcW w:w="1707"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124</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阶段2</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2015—2019年</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1023</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2252</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1023</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阶段3</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2020—2025年</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4776</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3741</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4766</w:t>
            </w:r>
          </w:p>
        </w:tc>
      </w:tr>
      <w:tr>
        <w:trPr>
          <w:cantSplit/>
        </w:trPr>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合计</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2010—2025年</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5926</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6758</w:t>
            </w:r>
          </w:p>
        </w:tc>
        <w:tc>
          <w:tcPr>
            <w:tcW w:w="1707"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5913</w:t>
            </w:r>
          </w:p>
        </w:tc>
      </w:tr>
    </w:tbl>
    <w:p xmlns:w="http://schemas.openxmlformats.org/wordprocessingml/2006/main">
      <w:pPr>
        <w:spacing w:line="480" w:lineRule="auto"/>
        <w:ind w:firstLine="480" w:firstLineChars="200"/>
        <w:rPr>
          <w:rFonts w:ascii="宋体" w:hAnsi="宋体" w:eastAsia="宋体"/>
          <w:sz w:val="24"/>
          <w:szCs w:val="24"/>
        </w:rPr>
      </w:pPr>
      <w:r>
        <w:t xml:space="preserve">表中原论文数量依据年度图可见标注汇总，工作簿数量依据申请日期重新分期；2025年均按研究截止时间理解，不作为完整年度。前两个窗口各覆盖五个年份，第三个窗口覆盖六个年份且末年截尾，故阶段总量适合说明样本构成，不直接用于推断年增长率。跨阶段网络比较还需要保留节点粒度、连通分量及标准化分母的一致性，使网络规模扩展与技术相对地位变化能够分别讨论。</w:t>
      </w:r>
    </w:p>
    <w:p xmlns:w="http://schemas.openxmlformats.org/wordprocessingml/2006/main">
      <w:pPr>
        <w:spacing w:line="480" w:lineRule="auto"/>
        <w:ind w:firstLine="480" w:firstLineChars="200"/>
        <w:rPr>
          <w:rFonts w:ascii="宋体" w:hAnsi="宋体" w:eastAsia="宋体"/>
          <w:sz w:val="24"/>
          <w:szCs w:val="24"/>
        </w:rPr>
      </w:pPr>
      <w:r>
        <w:t xml:space="preserve">辅助样本分期保留来源行号、题名、申请日期、原标签与IPC字段，使阶段归属可回溯至现有记录。其作用是提供技术结构比较的补充依据，尚不能据此认定这5913条记录就是原5926项专利共现网络的完整输入。已有网络分析的阶段身份仍依赖其原始计算清单。后续预测图示若采用其他年度标注，需要另行说明与本章窗口的对应关系，不能将图示年份直接代替既有网络记录的实际年份。</w:t>
      </w:r>
    </w:p>
    <w:p xmlns:w="http://schemas.openxmlformats.org/wordprocessingml/2006/main">
      <w:pPr>
        <w:spacing w:line="480" w:lineRule="auto"/>
        <w:ind w:firstLine="480" w:firstLineChars="200"/>
        <w:rPr>
          <w:rFonts w:ascii="宋体" w:hAnsi="宋体" w:eastAsia="宋体"/>
          <w:sz w:val="24"/>
          <w:szCs w:val="24"/>
        </w:rPr>
      </w:pPr>
      <w:r>
        <w:t xml:space="preserve">在这一口径下，分期输出包含两个层次：领域整体的年度及阶段规模用于解释研究背景，辅助记录中的标签和IPC信息用于描述可观察的技术构成。两者通过时间窗口衔接，仍保留各自的样本范围。阶段比较由此不再只是把总体结果拆成若干表格，而是检验不同时间背景下工程功能和知识联系是否呈现值得进一步识别的差异。</w:t>
      </w:r>
    </w:p>
    <w:p xmlns:w="http://schemas.openxmlformats.org/wordprocessingml/2006/main">
      <w:pPr>
        <w:pStyle w:val="3"/>
        <w:numPr>
          <w:numId w:val="0"/>
        </w:numPr>
      </w:pPr>
      <w:r>
        <w:t xml:space="preserve">3.4 各阶段技术结构与创新布局比较</w:t>
      </w:r>
    </w:p>
    <w:p xmlns:w="http://schemas.openxmlformats.org/wordprocessingml/2006/main">
      <w:pPr>
        <w:pStyle w:val="4"/>
        <w:numPr>
          <w:numId w:val="0"/>
        </w:numPr>
      </w:pPr>
      <w:r>
        <w:t xml:space="preserve">3.4.1 技术子领域的阶段变化</w:t>
      </w:r>
    </w:p>
    <w:p xmlns:w="http://schemas.openxmlformats.org/wordprocessingml/2006/main">
      <w:pPr>
        <w:spacing w:line="480" w:lineRule="auto"/>
        <w:ind w:firstLine="480" w:firstLineChars="200"/>
        <w:rPr>
          <w:rFonts w:ascii="宋体" w:hAnsi="宋体" w:eastAsia="宋体"/>
          <w:sz w:val="24"/>
          <w:szCs w:val="24"/>
        </w:rPr>
      </w:pPr>
      <w:r>
        <w:t xml:space="preserve">3.2节展示了全期技术构成，分期比较进一步关注这种构成在不同观察窗口中的表现。现有辅助工作簿具有申请日期和部分技术标签，可以形成阶段2与阶段3的子领域计数。标签映射延续本章工程功能划分：BIM、工程仿真模拟及各类设计标签归入工程软件，施工监测与智慧工地归入工程物联网，装配式建筑与3D打印归入构件智能生产，机器人、塔吊、架桥机、盾构机及智能施工归入智能施工机械，区块链、大数据、大模型、数字孪生与自然语言处理归入工程大数据与互联网平台。该映射用于组织既有材料，不重新训练主题模型。</w:t>
      </w:r>
    </w:p>
    <w:p xmlns:w="http://schemas.openxmlformats.org/wordprocessingml/2006/main">
      <w:pPr>
        <w:spacing w:line="480" w:lineRule="auto"/>
        <w:ind w:firstLine="480" w:firstLineChars="200"/>
        <w:rPr>
          <w:rFonts w:ascii="宋体" w:hAnsi="宋体" w:eastAsia="宋体"/>
          <w:sz w:val="24"/>
          <w:szCs w:val="24"/>
        </w:rPr>
      </w:pPr>
      <w:r>
        <w:t xml:space="preserve">表3-13列示各子领域内按题名与申请年份近似去重的记录数。阶段1的124条辅助记录未提供可继承技术标签，故相应单元格标为缺标签，不能由此判断五个子领域在早期不存在。为控制观察窗口长度的差别，表中将阶段3拆为2020—2024年五个完整年度及2025年部分年度，前者与2015—2019年具有相同的年份跨度，二者合并后仍对应2020—2025年的网络阶段。此项展示不改变第四章分期，而是使阶段内部的覆盖条件可见。同一技术方案可能跨标签出现，因此各子领域计数不具有互斥总体的含义，也不与全期5926项样本的类别占比直接相减。</w:t>
      </w:r>
    </w:p>
    <w:p xmlns:w="http://schemas.openxmlformats.org/wordprocessingml/2006/main">
      <w:pPr>
        <w:spacing w:line="480" w:lineRule="auto"/>
        <w:ind w:firstLine="480" w:firstLineChars="200"/>
        <w:rPr>
          <w:rFonts w:ascii="宋体" w:hAnsi="宋体" w:eastAsia="宋体"/>
          <w:sz w:val="24"/>
          <w:szCs w:val="24"/>
        </w:rPr>
      </w:pPr>
      <w:r>
        <w:t xml:space="preserve">表3-13 辅助样本中五个技术子领域的阶段记录数</w:t>
      </w:r>
    </w:p>
    <w:tbl xmlns:w="http://schemas.openxmlformats.org/wordprocessingml/2006/main">
      <w:tblPr>
        <w:tblStyle w:val="38"/>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3"/>
        <w:gridCol w:w="1703"/>
        <w:gridCol w:w="1703"/>
        <w:gridCol w:w="1703"/>
        <w:gridCol w:w="1707"/>
      </w:tblGrid>
      <w:tr>
        <w:trPr>
          <w:tblHeader/>
          <w:cantSplit/>
        </w:trPr>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技术子领域</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阶段1：2010—2014年</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阶段2：2015—2019年</w:t>
            </w:r>
          </w:p>
        </w:tc>
        <w:tc>
          <w:tcPr>
            <w:tcW w:w="1703"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阶段3完整年度：2020—2024年</w:t>
            </w:r>
          </w:p>
        </w:tc>
        <w:tc>
          <w:tcPr>
            <w:tcW w:w="1707" w:type="dxa"/>
            <w:tcBorders>
              <w:top w:val="single" w:color="auto" w:sz="12" w:space="0"/>
              <w:left w:val="nil"/>
              <w:bottom w:val="single" w:color="auto" w:sz="4" w:space="0"/>
              <w:right w:val="nil"/>
            </w:tcBorders>
            <w:vAlign w:val="center"/>
          </w:tcPr>
          <w:p>
            <w:pPr>
              <w:widowControl/>
              <w:snapToGrid w:val="0"/>
              <w:spacing w:line="360" w:lineRule="auto"/>
              <w:jc w:val="center"/>
              <w:textAlignment w:val="top"/>
              <w:rPr>
                <w:rFonts w:ascii="宋体" w:hAnsi="宋体" w:eastAsia="宋体"/>
                <w:b/>
                <w:szCs w:val="21"/>
              </w:rPr>
            </w:pPr>
            <w:r>
              <w:rPr>
                <w:rFonts w:ascii="宋体" w:hAnsi="宋体" w:eastAsia="宋体" w:cs="宋体"/>
                <w:b/>
                <w:kern w:val="0"/>
                <w:szCs w:val="21"/>
                <w:lang w:bidi="ar"/>
              </w:rPr>
              <w:t xml:space="preserve">阶段3部分年度：2025年</w:t>
            </w:r>
          </w:p>
        </w:tc>
      </w:tr>
      <w:tr>
        <w:trPr>
          <w:cantSplit/>
        </w:trPr>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工程软件</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缺标签</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150</w:t>
            </w:r>
          </w:p>
        </w:tc>
        <w:tc>
          <w:tcPr>
            <w:tcW w:w="1703"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754</w:t>
            </w:r>
          </w:p>
        </w:tc>
        <w:tc>
          <w:tcPr>
            <w:tcW w:w="1707" w:type="dxa"/>
            <w:tcBorders>
              <w:top w:val="single"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56</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工程物联网</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缺标签</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77</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6</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构件智能生产</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缺标签</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416</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1374</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35</w:t>
            </w:r>
          </w:p>
        </w:tc>
      </w:tr>
      <w:tr>
        <w:trPr>
          <w:cantSplit/>
        </w:trPr>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智能施工机械</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缺标签</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375</w:t>
            </w:r>
          </w:p>
        </w:tc>
        <w:tc>
          <w:tcPr>
            <w:tcW w:w="1703"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1589</w:t>
            </w:r>
          </w:p>
        </w:tc>
        <w:tc>
          <w:tcPr>
            <w:tcW w:w="1707" w:type="dxa"/>
            <w:tcBorders>
              <w:top w:val="nil" w:color="auto" w:sz="4" w:space="0"/>
              <w:left w:val="nil"/>
              <w:bottom w:val="nil"/>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87</w:t>
            </w:r>
          </w:p>
        </w:tc>
      </w:tr>
      <w:tr>
        <w:trPr>
          <w:cantSplit/>
        </w:trPr>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工程大数据与互联网平台</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缺标签</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66</w:t>
            </w:r>
          </w:p>
        </w:tc>
        <w:tc>
          <w:tcPr>
            <w:tcW w:w="1703"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646</w:t>
            </w:r>
          </w:p>
        </w:tc>
        <w:tc>
          <w:tcPr>
            <w:tcW w:w="1707" w:type="dxa"/>
            <w:tcBorders>
              <w:top w:val="nil" w:color="auto" w:sz="4" w:space="0"/>
              <w:left w:val="nil"/>
              <w:bottom w:val="single" w:sz="12"/>
              <w:right w:val="nil"/>
            </w:tcBorders>
            <w:vAlign w:val="center"/>
          </w:tcPr>
          <w:p>
            <w:pPr>
              <w:widowControl/>
              <w:snapToGrid w:val="0"/>
              <w:spacing w:line="360" w:lineRule="auto"/>
              <w:jc w:val="center"/>
              <w:textAlignment w:val="top"/>
              <w:rPr>
                <w:rFonts w:ascii="宋体" w:hAnsi="宋体" w:eastAsia="宋体" w:cs="宋体"/>
                <w:kern w:val="0"/>
                <w:szCs w:val="21"/>
                <w:lang w:bidi="ar"/>
              </w:rPr>
            </w:pPr>
            <w:r>
              <w:rPr>
                <w:rFonts w:ascii="宋体" w:hAnsi="宋体" w:eastAsia="宋体"/>
                <w:color w:val="000000"/>
                <w:szCs w:val="21"/>
              </w:rPr>
              <w:t xml:space="preserve">72</w:t>
            </w:r>
          </w:p>
        </w:tc>
      </w:tr>
    </w:tbl>
    <w:p xmlns:w="http://schemas.openxmlformats.org/wordprocessingml/2006/main">
      <w:pPr>
        <w:spacing w:line="480" w:lineRule="auto"/>
        <w:ind w:firstLine="480" w:firstLineChars="200"/>
        <w:rPr>
          <w:rFonts w:ascii="宋体" w:hAnsi="宋体" w:eastAsia="宋体"/>
          <w:sz w:val="24"/>
          <w:szCs w:val="24"/>
        </w:rPr>
      </w:pPr>
      <w:r>
        <w:t xml:space="preserve">构件智能生产与智能施工机械在两个完整的五年窗口中均具有较多记录。2015—2019年的构件生产记录为416条、施工机械为375条，2020—2024年分别为1374条和1589条，后一期施工机械的记录量超过构件生产。该差异表明，现有标签覆盖下的现场装备方案具有较强的活动规模，构件制造也保持较多技术表达。计入2025年部分记录后，两类阶段3总量分别为1409条与1676条，其相对次序不变。上述比较限定于记录规模及其相对次序，不能直接转化为企业产能、设备装机量或制造方式的市场占比。</w:t>
      </w:r>
    </w:p>
    <w:p xmlns:w="http://schemas.openxmlformats.org/wordprocessingml/2006/main">
      <w:pPr>
        <w:spacing w:line="480" w:lineRule="auto"/>
        <w:ind w:firstLine="480" w:firstLineChars="200"/>
        <w:rPr>
          <w:rFonts w:ascii="宋体" w:hAnsi="宋体" w:eastAsia="宋体"/>
          <w:sz w:val="24"/>
          <w:szCs w:val="24"/>
        </w:rPr>
      </w:pPr>
      <w:r>
        <w:t xml:space="preserve">工程软件在两个完整窗口中的记录由150条增加至754条，工程大数据与互联网平台由66条增加至646条。结合3.2.2节的案例，这两类活动分别涉及工程对象表达和多源信息利用，其增加使模型、构件、装备与施工状态之间的信息联系成为值得关注的方向。计入2025年部分记录后，其阶段3数量分别为810条与718条。这里能够确认的是相应标签记录在后期较多，至于设计数据是否已经与现场执行形成闭环、平台是否实现跨项目复制，仍需具体系统及应用结果支撑。功能上的互补为网络分析提供问题线索，但并不预先证明技术融合程度已经提升。</w:t>
      </w:r>
    </w:p>
    <w:p xmlns:w="http://schemas.openxmlformats.org/wordprocessingml/2006/main">
      <w:pPr>
        <w:spacing w:line="480" w:lineRule="auto"/>
        <w:ind w:firstLine="480" w:firstLineChars="200"/>
        <w:rPr>
          <w:rFonts w:ascii="宋体" w:hAnsi="宋体" w:eastAsia="宋体"/>
          <w:sz w:val="24"/>
          <w:szCs w:val="24"/>
        </w:rPr>
      </w:pPr>
      <w:r>
        <w:t xml:space="preserve">工程物联网在两个完整窗口中的记录从4条增加至77条，2025年部分记录为6条。数值变化同时受较小基数与标签覆盖范围影响，该类别仅聚合施工监测和智慧工地标签，而装备控制、结构检测及平台系统中也可能包含感知与通信技术。因此，低计数主要反映当前分类规则下的可见活动，不表示物联网在建造系统中的作用较小。其与构件吊装、机器人定位和数据平台之间的功能联系，仍应通过IPC组合及专利文本进行识别，不能以标签规模替代关联结构。</w:t>
      </w:r>
    </w:p>
    <w:p xmlns:w="http://schemas.openxmlformats.org/wordprocessingml/2006/main">
      <w:pPr>
        <w:spacing w:line="480" w:lineRule="auto"/>
        <w:ind w:firstLine="480" w:firstLineChars="200"/>
        <w:rPr>
          <w:rFonts w:ascii="宋体" w:hAnsi="宋体" w:eastAsia="宋体"/>
          <w:sz w:val="24"/>
          <w:szCs w:val="24"/>
        </w:rPr>
      </w:pPr>
      <w:r>
        <w:t xml:space="preserve">分期结果体现了实体制造与装备活动较为集中、软件及平台相关记录在后期扩展的特征。同跨度比较减少了阶段长度带来的直接影响，但没有消除标签覆盖、近似去重和数据库收录条件的限制。阶段1缺少分类标签，当前材料不足以给出五子领域贯穿三个阶段的连续占比变化，也不支持断言某一方向在中期才首次产生。保持这一边界，可以将有依据的阶段差异传递给第四章，同时避免用标签缺失制造虚假的技术进入时间。</w:t>
      </w:r>
    </w:p>
    <w:p xmlns:w="http://schemas.openxmlformats.org/wordprocessingml/2006/main">
      <w:pPr>
        <w:pStyle w:val="4"/>
        <w:numPr>
          <w:numId w:val="0"/>
        </w:numPr>
      </w:pPr>
      <w:r>
        <w:t xml:space="preserve">3.4.2 创新主体布局的阶段变化</w:t>
      </w:r>
    </w:p>
    <w:p xmlns:w="http://schemas.openxmlformats.org/wordprocessingml/2006/main">
      <w:pPr>
        <w:spacing w:line="480" w:lineRule="auto"/>
        <w:ind w:firstLine="480" w:firstLineChars="200"/>
        <w:rPr>
          <w:rFonts w:ascii="宋体" w:hAnsi="宋体" w:eastAsia="宋体"/>
          <w:sz w:val="24"/>
          <w:szCs w:val="24"/>
        </w:rPr>
      </w:pPr>
      <w:r>
        <w:t xml:space="preserve">技术结构的阶段变化需要联系创新主体理解，但主体演化与技术活动增长并非同一个统计问题。现有全期结果确认企业、高校与科研机构、个人分别对应4084、1408和434项专利，说明领域活动具有企业较多参与、研究机构和个人共同补充的组织基础。该结构可以用于解释各类技术方案为何同时面向工程应用和知识探索，却不能据此恢复每一阶段的主体数量。专利主题工作簿没有申请人字段，现阶段也未形成能够与三个窗口逐条对应的申请人类型表。</w:t>
      </w:r>
    </w:p>
    <w:p xmlns:w="http://schemas.openxmlformats.org/wordprocessingml/2006/main">
      <w:pPr>
        <w:spacing w:line="480" w:lineRule="auto"/>
        <w:ind w:firstLine="480" w:firstLineChars="200"/>
        <w:rPr>
          <w:rFonts w:ascii="宋体" w:hAnsi="宋体" w:eastAsia="宋体"/>
          <w:sz w:val="24"/>
          <w:szCs w:val="24"/>
        </w:rPr>
      </w:pPr>
      <w:r>
        <w:t xml:space="preserve">据此，对主体布局的时间解释应保持在证据所支持的范围内。阶段2与阶段3的构件生产、施工机械记录较多，说明这些任务持续产生技术方案；软件与数据平台记录扩展，说明信息处理相关方案增加。两类观察均未包含申请人的逐项映射，不能进一步认定其分别由某类企业主导，或推断高校已经向某一方向转移。全期企业占比68.92%是总体参与结构，不能被改写为企业占比持续上升，更不能用技术题名中的设备或平台名称推测申请主体。</w:t>
      </w:r>
    </w:p>
    <w:p xmlns:w="http://schemas.openxmlformats.org/wordprocessingml/2006/main">
      <w:pPr>
        <w:spacing w:line="480" w:lineRule="auto"/>
        <w:ind w:firstLine="480" w:firstLineChars="200"/>
        <w:rPr>
          <w:rFonts w:ascii="宋体" w:hAnsi="宋体" w:eastAsia="宋体"/>
          <w:sz w:val="24"/>
          <w:szCs w:val="24"/>
        </w:rPr>
      </w:pPr>
      <w:r>
        <w:t xml:space="preserve">代表性记录仍能提供有限的布局内容参照。构件连接和装备控制方案强调可实施的结构与工序组织，模型深化、性能试验和数据分析文献则呈现研究问题的多样性。这些内容说明智能建造创新需要连接工程任务与方法研究，也使跨主体合作具有可讨论的功能基础。原记录中存在企业与高校联合申请现象，但联合申请的时间分布、合作持续性及方向变化尚无逐期明细，故本章将其作为已记录的合作形式，不将其提升为合作网络增强的量化结论。</w:t>
      </w:r>
    </w:p>
    <w:p xmlns:w="http://schemas.openxmlformats.org/wordprocessingml/2006/main">
      <w:pPr>
        <w:spacing w:line="480" w:lineRule="auto"/>
        <w:ind w:firstLine="480" w:firstLineChars="200"/>
        <w:rPr>
          <w:rFonts w:ascii="宋体" w:hAnsi="宋体" w:eastAsia="宋体"/>
          <w:sz w:val="24"/>
          <w:szCs w:val="24"/>
        </w:rPr>
      </w:pPr>
      <w:r>
        <w:t xml:space="preserve">主体阶段变化的关键缺口在于记录对应。只有把申请号、申请年、申请人及其类型关联起来，并明确联合申请采用记录归属还是多主体计数，才能使不同阶段份额具有共同分母。同一主体的名称变化或联合申请归类变化也会影响进入退出判断。当前材料可确认总体参与规模，尚不能确定主体份额转移、主要申请人的阶段排名或合作强度变化。[待补充：申请号—申请年—申请人类型明细、申请人名称统一规则及联合申请归属记录，用于核验三个阶段的主体布局。]</w:t>
      </w:r>
    </w:p>
    <w:p xmlns:w="http://schemas.openxmlformats.org/wordprocessingml/2006/main">
      <w:pPr>
        <w:spacing w:line="480" w:lineRule="auto"/>
        <w:ind w:firstLine="480" w:firstLineChars="200"/>
        <w:rPr>
          <w:rFonts w:ascii="宋体" w:hAnsi="宋体" w:eastAsia="宋体"/>
          <w:sz w:val="24"/>
          <w:szCs w:val="24"/>
        </w:rPr>
      </w:pPr>
      <w:r>
        <w:t xml:space="preserve">这一证据限制不影响基于专利类别开展技术关系分析，但限定了对结构变化原因的解释。第四章能够考察知识类别之间是否形成新的连接，却不能在没有申请人对应关系时将其归因于企业进入、科研合作或主体更替。将技术关系与主体机制分别处理，使已获得的分期结果能够继续支持关键技术识别，同时保留其组织来源有待验证的部分。</w:t>
      </w:r>
    </w:p>
    <w:p xmlns:w="http://schemas.openxmlformats.org/wordprocessingml/2006/main">
      <w:pPr>
        <w:pStyle w:val="4"/>
        <w:numPr>
          <w:numId w:val="0"/>
        </w:numPr>
      </w:pPr>
      <w:r>
        <w:t xml:space="preserve">3.4.3 阶段特征对关键技术识别的启示</w:t>
      </w:r>
    </w:p>
    <w:p xmlns:w="http://schemas.openxmlformats.org/wordprocessingml/2006/main">
      <w:pPr>
        <w:spacing w:line="480" w:lineRule="auto"/>
        <w:ind w:firstLine="480" w:firstLineChars="200"/>
        <w:rPr>
          <w:rFonts w:ascii="宋体" w:hAnsi="宋体" w:eastAsia="宋体"/>
          <w:sz w:val="24"/>
          <w:szCs w:val="24"/>
        </w:rPr>
      </w:pPr>
      <w:r>
        <w:t xml:space="preserve">领域活动的扩展为关键技术识别提供了更丰富的记录，也使单纯数量排序面临解释困难。阶段3的样本明显多于前两个阶段，一类技术即使保持原有相对作用，也可能因总体活动扩大而出现更多专利和共现连接。因而，第四章需要在相同IPC粒度下考察节点的相对位置，将绝对规模增长与结构作用变化区分开来。本章确定的时间窗口与阶段规模由此构成网络指标解释的背景，而不是关键性判定阈值。</w:t>
      </w:r>
    </w:p>
    <w:p xmlns:w="http://schemas.openxmlformats.org/wordprocessingml/2006/main">
      <w:pPr>
        <w:spacing w:line="480" w:lineRule="auto"/>
        <w:ind w:firstLine="480" w:firstLineChars="200"/>
        <w:rPr>
          <w:rFonts w:ascii="宋体" w:hAnsi="宋体" w:eastAsia="宋体"/>
          <w:sz w:val="24"/>
          <w:szCs w:val="24"/>
        </w:rPr>
      </w:pPr>
      <w:r>
        <w:t xml:space="preserve">子领域比较进一步说明，规模较大的技术方向和承担连接作用的技术方向可能并不相同。构件生产、施工机械涉及大量具体装置与作业方案，软件、感知和数据平台则能够服务于多个工程环节。一项信息处理或测量技术可能在若干类别之间提供联系，其价值未必体现为本章标签下最大的记录数。这种差异要求后续同时考察连接广度、跨类别路径及接近其他节点的程度，并结合跨阶段变化辨别已有支撑技术和潜在重要方向。</w:t>
      </w:r>
    </w:p>
    <w:p xmlns:w="http://schemas.openxmlformats.org/wordprocessingml/2006/main">
      <w:pPr>
        <w:spacing w:line="480" w:lineRule="auto"/>
        <w:ind w:firstLine="480" w:firstLineChars="200"/>
        <w:rPr>
          <w:rFonts w:ascii="宋体" w:hAnsi="宋体" w:eastAsia="宋体"/>
          <w:sz w:val="24"/>
          <w:szCs w:val="24"/>
        </w:rPr>
      </w:pPr>
      <w:r>
        <w:t xml:space="preserve">网络结构解释还需要返回工程任务。相同IPC大组可能在设计优化、施工控制或状态监测中承担不同功能，仅凭类别名称难以确定其在智能建造中的具体作用。3.2.2节所列案例为文本解释提供了模型协同、构件制造、现场执行和数据利用等语义参照，第四章在关键节点识别后进一步映射专利题名与摘要，以主题分析说明相关技术内容。由此形成从领域态势、分期关系到工程主题的递进，避免用宽泛子领域直接代替关键技术识别结果。</w:t>
      </w:r>
    </w:p>
    <w:p xmlns:w="http://schemas.openxmlformats.org/wordprocessingml/2006/main">
      <w:pPr>
        <w:spacing w:line="480" w:lineRule="auto"/>
        <w:ind w:firstLine="480" w:firstLineChars="200"/>
        <w:rPr>
          <w:rFonts w:ascii="宋体" w:hAnsi="宋体" w:eastAsia="宋体"/>
          <w:sz w:val="24"/>
          <w:szCs w:val="24"/>
        </w:rPr>
      </w:pPr>
      <w:r>
        <w:t xml:space="preserve">本章提供的输入包括原研究样本范围、三个统一观察窗口及已有技术内容的解释依据，辅助阶段记录为核对时间归属和标签分布提供补充。第四章在这一基础上开展动态网络和主题分析，节点的阶段变化用于解释技术地位，主题语义用于解释工程内容。第五章再将关键节点轨迹、主题及其关联作为历史证据，讨论发展方向及其条件。领域阶段、节点演化和未来路径分别对应宏观时间背景、已观察的关系变化与前瞻性判断，三者通过研究对象衔接，并保持各自的证据性质。</w:t>
      </w:r>
    </w:p>
    <w:p xmlns:w="http://schemas.openxmlformats.org/wordprocessingml/2006/main">
      <w:pPr>
        <w:pStyle w:val="3"/>
        <w:numPr>
          <w:numId w:val="0"/>
        </w:numPr>
      </w:pPr>
      <w:r>
        <w:t xml:space="preserve">3.5 本章小结</w:t>
      </w:r>
    </w:p>
    <w:p xmlns:w="http://schemas.openxmlformats.org/wordprocessingml/2006/main">
      <w:pPr>
        <w:spacing w:line="480" w:lineRule="auto"/>
        <w:ind w:firstLine="480" w:firstLineChars="200"/>
        <w:rPr>
          <w:rFonts w:ascii="宋体" w:hAnsi="宋体" w:eastAsia="宋体"/>
          <w:sz w:val="24"/>
          <w:szCs w:val="24"/>
        </w:rPr>
      </w:pPr>
      <w:r>
        <w:t xml:space="preserve">本章依据5926项专利和6758篇期刊文献的既有统计，结合现有专利主题时间工作簿，从总体态势、生命周期背景和阶段结构三个层次分析智能建造技术的发展。专利活动由早期低位积累转向中期扩展，近期表现为较高规模下的年度波动；文献在前期增长后呈现平台波动，两类记录共同说明知识研究和技术方案形成具有不同节奏。五个子领域覆盖模型表达、状态感知、构件制造、现场执行及数据利用，其工程功能相互联系，企业、高校与科研机构及个人共同构成技术创新的参与基础。</w:t>
      </w:r>
    </w:p>
    <w:p xmlns:w="http://schemas.openxmlformats.org/wordprocessingml/2006/main">
      <w:pPr>
        <w:spacing w:line="480" w:lineRule="auto"/>
        <w:ind w:firstLine="480" w:firstLineChars="200"/>
        <w:rPr>
          <w:rFonts w:ascii="宋体" w:hAnsi="宋体" w:eastAsia="宋体"/>
          <w:sz w:val="24"/>
          <w:szCs w:val="24"/>
        </w:rPr>
      </w:pPr>
      <w:r>
        <w:t xml:space="preserve">已有拟合记录中，Logistic曲线的四项报告误差均低于Gompertz曲线，但生命周期图包含附加衰退设定，2025—2032年向成熟阶段过渡的判断仍属于条件性外推。本文采用2010—2014年、2015—2019年和2020—2025年三个统一观察窗口，分别组织早期积累、中期扩展和近期高位波动的技术活动。原年度统计对应专利127、1023和4776项，辅助工作簿对应124、1023和4766条，两类范围保持区分。</w:t>
      </w:r>
    </w:p>
    <w:p xmlns:w="http://schemas.openxmlformats.org/wordprocessingml/2006/main">
      <w:pPr>
        <w:spacing w:line="480" w:lineRule="auto"/>
        <w:ind w:firstLine="480" w:firstLineChars="200"/>
        <w:rPr>
          <w:rFonts w:ascii="宋体" w:hAnsi="宋体" w:eastAsia="宋体"/>
          <w:sz w:val="24"/>
          <w:szCs w:val="24"/>
        </w:rPr>
      </w:pPr>
      <w:r>
        <w:t xml:space="preserve">辅助标签统计显示，阶段2与阶段3的构件生产和施工机械记录较多，软件及数据平台相关记录在后期增加。早期标签及主体分期信息不足，限定了连续结构变化与组织机制的解释范围。上述结果为关键技术识别明确了时间背景、功能范围和比较口径，第四章据此考察分阶段IPC共现关系与节点影响力，并通过专利主题解释其工程含义，从总体发展态势进一步进入关键技术及其演化规律的识别。</w:t>
      </w:r>
    </w:p>
    <w:sectPr xmlns:w="http://schemas.openxmlformats.org/wordprocessingml/2006/main">
      <w:pgSz w:w="11907" w:h="16840"/>
      <w:pgMar w:top="907" w:right="1531" w:bottom="1418" w:left="1531" w:header="851" w:footer="964" w:gutter="0"/>
      <w:pgNumType w:start="1"/>
      <w:cols w:space="425"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libri Light">
    <w:altName w:val="Helvetica Neue"/>
    <w:panose1 w:val="020F0302020204030204"/>
    <w:charset w:val="00"/>
    <w:family w:val="swiss"/>
    <w:pitch w:val="default"/>
    <w:sig w:usb0="00000000" w:usb1="00000000" w:usb2="00000009" w:usb3="00000000" w:csb0="200001FF" w:csb1="00000000"/>
  </w:font>
  <w:font w:name="Cambria">
    <w:altName w:val="苹方-简"/>
    <w:panose1 w:val="02040503050406030204"/>
    <w:charset w:val="00"/>
    <w:family w:val="roman"/>
    <w:pitch w:val="default"/>
    <w:sig w:usb0="00000000" w:usb1="00000000" w:usb2="02000000" w:usb3="00000000" w:csb0="2000019F" w:csb1="00000000"/>
  </w:font>
  <w:font w:name="嬋体">
    <w:altName w:val="宋体-简"/>
    <w:panose1 w:val="00000000000000000000"/>
    <w:charset w:val="86"/>
    <w:family w:val="auto"/>
    <w:pitch w:val="default"/>
    <w:sig w:usb0="00000000" w:usb1="00000000" w:usb2="00000010" w:usb3="00000000" w:csb0="00040001" w:csb1="00000000"/>
  </w:font>
  <w:font w:name="Verdana">
    <w:panose1 w:val="020B0604030504040204"/>
    <w:charset w:val="00"/>
    <w:family w:val="swiss"/>
    <w:pitch w:val="default"/>
    <w:sig w:usb0="A10006FF" w:usb1="4000205B" w:usb2="00000010" w:usb3="00000000" w:csb0="2000019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Cambria Math">
    <w:altName w:val="Kingsoft Math"/>
    <w:panose1 w:val="02040503050406030204"/>
    <w:charset w:val="00"/>
    <w:family w:val="auto"/>
    <w:pitch w:val="default"/>
    <w:sig w:usb0="00000000" w:usb1="00000000" w:usb2="02000000" w:usb3="00000000" w:csb0="2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汉仪楷体简">
    <w:panose1 w:val="02010600000101010101"/>
    <w:charset w:val="86"/>
    <w:family w:val="auto"/>
    <w:pitch w:val="default"/>
    <w:sig w:usb0="00000001" w:usb1="080E0800" w:usb2="00000002" w:usb3="00000000" w:csb0="0004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汉仪楷体KW">
    <w:panose1 w:val="00020600040101010101"/>
    <w:charset w:val="86"/>
    <w:family w:val="auto"/>
    <w:pitch w:val="default"/>
    <w:sig w:usb0="A00002BF" w:usb1="18EF7CFA" w:usb2="00000016" w:usb3="00000000" w:csb0="00040000" w:csb1="00000000"/>
  </w:font>
  <w:font w:name="MS Gothic">
    <w:altName w:val="Hiragino Sans"/>
    <w:panose1 w:val="020B0609070205080204"/>
    <w:charset w:val="80"/>
    <w:family w:val="modern"/>
    <w:pitch w:val="default"/>
    <w:sig w:usb0="00000000" w:usb1="00000000" w:usb2="08000012" w:usb3="00000000" w:csb0="4002009F" w:csb1="DFD7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53D567">
    <w:pPr>
      <w:pStyle w:val="2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5EFDD">
    <w:pPr>
      <w:pStyle w:val="2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C6F3F">
    <w:pPr>
      <w:pStyle w:val="2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BC0E6A">
    <w:pPr>
      <w:pStyle w:val="24"/>
      <w:framePr w:wrap="around" w:vAnchor="text" w:hAnchor="margin" w:xAlign="center" w:y="1"/>
      <w:spacing w:line="240" w:lineRule="auto"/>
      <w:ind w:firstLine="0" w:firstLineChars="0"/>
      <w:rPr>
        <w:rStyle w:val="40"/>
      </w:rPr>
    </w:pPr>
    <w:r>
      <w:rPr>
        <w:rStyle w:val="40"/>
      </w:rPr>
      <w:fldChar w:fldCharType="begin"/>
    </w:r>
    <w:r>
      <w:rPr>
        <w:rStyle w:val="40"/>
      </w:rPr>
      <w:instrText xml:space="preserve">PAGE  </w:instrText>
    </w:r>
    <w:r>
      <w:rPr>
        <w:rStyle w:val="40"/>
      </w:rPr>
      <w:fldChar w:fldCharType="separate"/>
    </w:r>
    <w:r>
      <w:rPr>
        <w:rStyle w:val="40"/>
      </w:rPr>
      <w:t>16</w:t>
    </w:r>
    <w:r>
      <w:rPr>
        <w:rStyle w:val="40"/>
      </w:rPr>
      <w:fldChar w:fldCharType="end"/>
    </w:r>
  </w:p>
  <w:p w14:paraId="5CED51D1">
    <w:pPr>
      <w:pStyle w:val="24"/>
      <w:spacing w:line="240" w:lineRule="auto"/>
      <w:ind w:firstLine="0" w:firstLineChars="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2D1CF0">
    <w:pPr>
      <w:pStyle w:val="24"/>
      <w:framePr w:wrap="around" w:vAnchor="text" w:hAnchor="margin" w:xAlign="center" w:y="1"/>
      <w:ind w:firstLine="360"/>
      <w:rPr>
        <w:rStyle w:val="40"/>
      </w:rPr>
    </w:pPr>
    <w:r>
      <w:rPr>
        <w:rStyle w:val="40"/>
      </w:rPr>
      <w:fldChar w:fldCharType="begin"/>
    </w:r>
    <w:r>
      <w:rPr>
        <w:rStyle w:val="40"/>
      </w:rPr>
      <w:instrText xml:space="preserve">PAGE  </w:instrText>
    </w:r>
    <w:r>
      <w:rPr>
        <w:rStyle w:val="40"/>
      </w:rPr>
      <w:fldChar w:fldCharType="end"/>
    </w:r>
  </w:p>
  <w:p w14:paraId="2859F3B0">
    <w:pPr>
      <w:pStyle w:val="24"/>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FB26">
    <w:pPr>
      <w:pStyle w:val="2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01F0F3">
    <w:pPr>
      <w:pStyle w:val="25"/>
      <w:pBdr>
        <w:bottom w:val="none" w:color="auto" w:sz="0" w:space="0"/>
      </w:pBdr>
      <w:ind w:firstLine="361"/>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B2EE2E">
    <w:pPr>
      <w:pStyle w:val="2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95784">
    <w:pPr>
      <w:pStyle w:val="2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46406B">
    <w:pPr>
      <w:pStyle w:val="25"/>
      <w:pBdr>
        <w:bottom w:val="single" w:color="auto" w:sz="6" w:space="4"/>
      </w:pBdr>
      <w:ind w:firstLine="0" w:firstLineChars="0"/>
      <w:rPr>
        <w:b/>
        <w:bCs/>
        <w:sz w:val="28"/>
        <w:szCs w:val="28"/>
      </w:rPr>
    </w:pPr>
    <w:r>
      <w:rPr>
        <w:rFonts w:hint="eastAsia"/>
        <w:b/>
        <w:bCs/>
        <w:sz w:val="28"/>
        <w:szCs w:val="28"/>
      </w:rPr>
      <w:t>华中科技大学研究生院</w:t>
    </w:r>
  </w:p>
  <w:p w14:paraId="18278754">
    <w:pPr>
      <w:pStyle w:val="25"/>
      <w:pBdr>
        <w:bottom w:val="none" w:color="auto" w:sz="0" w:space="0"/>
      </w:pBdr>
      <w:ind w:firstLine="361"/>
      <w:rPr>
        <w:b/>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6722CB">
    <w:pPr>
      <w:pStyle w:val="2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97DAF">
    <w:pPr>
      <w:pStyle w:val="2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7664C2"/>
    <w:multiLevelType w:val="singleLevel"/>
    <w:tmpl w:val="C87664C2"/>
    <w:lvl w:ilvl="0" w:tentative="0">
      <w:start w:val="2"/>
      <w:numFmt w:val="decimal"/>
      <w:suff w:val="nothing"/>
      <w:lvlText w:val="（%1）"/>
      <w:lvlJc w:val="left"/>
    </w:lvl>
  </w:abstractNum>
  <w:abstractNum w:abstractNumId="1">
    <w:nsid w:val="13B239B6"/>
    <w:multiLevelType w:val="multilevel"/>
    <w:tmpl w:val="13B239B6"/>
    <w:lvl w:ilvl="0" w:tentative="0">
      <w:start w:val="1"/>
      <w:numFmt w:val="japaneseCounting"/>
      <w:lvlText w:val="第%1章"/>
      <w:lvlJc w:val="left"/>
      <w:pPr>
        <w:ind w:left="840" w:hanging="8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4614287B"/>
    <w:multiLevelType w:val="multilevel"/>
    <w:tmpl w:val="4614287B"/>
    <w:lvl w:ilvl="0" w:tentative="0">
      <w:start w:val="1"/>
      <w:numFmt w:val="japaneseCounting"/>
      <w:lvlText w:val="%1、"/>
      <w:lvlJc w:val="left"/>
      <w:pPr>
        <w:ind w:left="1490" w:hanging="720"/>
      </w:pPr>
      <w:rPr>
        <w:rFonts w:hint="default"/>
      </w:rPr>
    </w:lvl>
    <w:lvl w:ilvl="1" w:tentative="0">
      <w:start w:val="1"/>
      <w:numFmt w:val="lowerLetter"/>
      <w:lvlText w:val="%2)"/>
      <w:lvlJc w:val="left"/>
      <w:pPr>
        <w:ind w:left="1610" w:hanging="420"/>
      </w:pPr>
    </w:lvl>
    <w:lvl w:ilvl="2" w:tentative="0">
      <w:start w:val="1"/>
      <w:numFmt w:val="lowerRoman"/>
      <w:lvlText w:val="%3."/>
      <w:lvlJc w:val="right"/>
      <w:pPr>
        <w:ind w:left="2030" w:hanging="420"/>
      </w:pPr>
    </w:lvl>
    <w:lvl w:ilvl="3" w:tentative="0">
      <w:start w:val="1"/>
      <w:numFmt w:val="decimal"/>
      <w:lvlText w:val="%4."/>
      <w:lvlJc w:val="left"/>
      <w:pPr>
        <w:ind w:left="2450" w:hanging="420"/>
      </w:pPr>
    </w:lvl>
    <w:lvl w:ilvl="4" w:tentative="0">
      <w:start w:val="1"/>
      <w:numFmt w:val="lowerLetter"/>
      <w:lvlText w:val="%5)"/>
      <w:lvlJc w:val="left"/>
      <w:pPr>
        <w:ind w:left="2870" w:hanging="420"/>
      </w:pPr>
    </w:lvl>
    <w:lvl w:ilvl="5" w:tentative="0">
      <w:start w:val="1"/>
      <w:numFmt w:val="lowerRoman"/>
      <w:lvlText w:val="%6."/>
      <w:lvlJc w:val="right"/>
      <w:pPr>
        <w:ind w:left="3290" w:hanging="420"/>
      </w:pPr>
    </w:lvl>
    <w:lvl w:ilvl="6" w:tentative="0">
      <w:start w:val="1"/>
      <w:numFmt w:val="decimal"/>
      <w:lvlText w:val="%7."/>
      <w:lvlJc w:val="left"/>
      <w:pPr>
        <w:ind w:left="3710" w:hanging="420"/>
      </w:pPr>
    </w:lvl>
    <w:lvl w:ilvl="7" w:tentative="0">
      <w:start w:val="1"/>
      <w:numFmt w:val="lowerLetter"/>
      <w:lvlText w:val="%8)"/>
      <w:lvlJc w:val="left"/>
      <w:pPr>
        <w:ind w:left="4130" w:hanging="420"/>
      </w:pPr>
    </w:lvl>
    <w:lvl w:ilvl="8" w:tentative="0">
      <w:start w:val="1"/>
      <w:numFmt w:val="lowerRoman"/>
      <w:lvlText w:val="%9."/>
      <w:lvlJc w:val="right"/>
      <w:pPr>
        <w:ind w:left="4550" w:hanging="420"/>
      </w:pPr>
    </w:lvl>
  </w:abstractNum>
  <w:abstractNum w:abstractNumId="3">
    <w:nsid w:val="573B28E1"/>
    <w:multiLevelType w:val="multilevel"/>
    <w:tmpl w:val="573B28E1"/>
    <w:lvl w:ilvl="0" w:tentative="0">
      <w:start w:val="1"/>
      <w:numFmt w:val="decimal"/>
      <w:lvlText w:val="%1"/>
      <w:lvlJc w:val="left"/>
      <w:pPr>
        <w:ind w:left="420" w:hanging="420"/>
      </w:pPr>
      <w:rPr>
        <w:rFonts w:hint="default"/>
      </w:rPr>
    </w:lvl>
    <w:lvl w:ilvl="1" w:tentative="0">
      <w:start w:val="1"/>
      <w:numFmt w:val="decimal"/>
      <w:lvlText w:val="%1.%2"/>
      <w:lvlJc w:val="left"/>
      <w:pPr>
        <w:ind w:left="840" w:hanging="420"/>
      </w:pPr>
      <w:rPr>
        <w:rFonts w:hint="default"/>
      </w:rPr>
    </w:lvl>
    <w:lvl w:ilvl="2" w:tentative="0">
      <w:start w:val="1"/>
      <w:numFmt w:val="decimal"/>
      <w:lvlText w:val="%1.%2.%3"/>
      <w:lvlJc w:val="left"/>
      <w:pPr>
        <w:ind w:left="1560" w:hanging="720"/>
      </w:pPr>
      <w:rPr>
        <w:rFonts w:hint="default"/>
      </w:rPr>
    </w:lvl>
    <w:lvl w:ilvl="3" w:tentative="0">
      <w:start w:val="1"/>
      <w:numFmt w:val="decimal"/>
      <w:lvlText w:val="%1.%2.%3.%4"/>
      <w:lvlJc w:val="left"/>
      <w:pPr>
        <w:ind w:left="1980" w:hanging="720"/>
      </w:pPr>
      <w:rPr>
        <w:rFonts w:hint="default"/>
      </w:rPr>
    </w:lvl>
    <w:lvl w:ilvl="4" w:tentative="0">
      <w:start w:val="1"/>
      <w:numFmt w:val="decimal"/>
      <w:lvlText w:val="%1.%2.%3.%4.%5"/>
      <w:lvlJc w:val="left"/>
      <w:pPr>
        <w:ind w:left="2760" w:hanging="1080"/>
      </w:pPr>
      <w:rPr>
        <w:rFonts w:hint="default"/>
      </w:rPr>
    </w:lvl>
    <w:lvl w:ilvl="5" w:tentative="0">
      <w:start w:val="1"/>
      <w:numFmt w:val="decimal"/>
      <w:lvlText w:val="%1.%2.%3.%4.%5.%6"/>
      <w:lvlJc w:val="left"/>
      <w:pPr>
        <w:ind w:left="3180" w:hanging="1080"/>
      </w:pPr>
      <w:rPr>
        <w:rFonts w:hint="default"/>
      </w:rPr>
    </w:lvl>
    <w:lvl w:ilvl="6" w:tentative="0">
      <w:start w:val="1"/>
      <w:numFmt w:val="decimal"/>
      <w:lvlText w:val="%1.%2.%3.%4.%5.%6.%7"/>
      <w:lvlJc w:val="left"/>
      <w:pPr>
        <w:ind w:left="3960" w:hanging="1440"/>
      </w:pPr>
      <w:rPr>
        <w:rFonts w:hint="default"/>
      </w:rPr>
    </w:lvl>
    <w:lvl w:ilvl="7" w:tentative="0">
      <w:start w:val="1"/>
      <w:numFmt w:val="decimal"/>
      <w:lvlText w:val="%1.%2.%3.%4.%5.%6.%7.%8"/>
      <w:lvlJc w:val="left"/>
      <w:pPr>
        <w:ind w:left="4380" w:hanging="1440"/>
      </w:pPr>
      <w:rPr>
        <w:rFonts w:hint="default"/>
      </w:rPr>
    </w:lvl>
    <w:lvl w:ilvl="8" w:tentative="0">
      <w:start w:val="1"/>
      <w:numFmt w:val="decimal"/>
      <w:lvlText w:val="%1.%2.%3.%4.%5.%6.%7.%8.%9"/>
      <w:lvlJc w:val="left"/>
      <w:pPr>
        <w:ind w:left="5160" w:hanging="1800"/>
      </w:pPr>
      <w:rPr>
        <w:rFonts w:hint="default"/>
      </w:rPr>
    </w:lvl>
  </w:abstractNum>
  <w:abstractNum w:abstractNumId="4">
    <w:nsid w:val="71422D2B"/>
    <w:multiLevelType w:val="singleLevel"/>
    <w:tmpl w:val="71422D2B"/>
    <w:lvl w:ilvl="0" w:tentative="0">
      <w:start w:val="5"/>
      <w:numFmt w:val="decimal"/>
      <w:suff w:val="nothing"/>
      <w:lvlText w:val="（%1）"/>
      <w:lvlJc w:val="left"/>
    </w:lvl>
  </w:abstractNum>
  <w:abstractNum w:abstractNumId="5">
    <w:nsid w:val="7597720A"/>
    <w:multiLevelType w:val="multilevel"/>
    <w:tmpl w:val="7597720A"/>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4403"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6">
    <w:nsid w:val="77C7C044"/>
    <w:multiLevelType w:val="singleLevel"/>
    <w:tmpl w:val="77C7C044"/>
    <w:lvl w:ilvl="0" w:tentative="0">
      <w:start w:val="1"/>
      <w:numFmt w:val="chineseCounting"/>
      <w:suff w:val="space"/>
      <w:lvlText w:val="第%1章"/>
      <w:lvlJc w:val="left"/>
      <w:rPr>
        <w:rFonts w:hint="eastAsia"/>
      </w:rPr>
    </w:lvl>
  </w:abstractNum>
  <w:num w:numId="1">
    <w:abstractNumId w:val="5"/>
  </w:num>
  <w:num w:numId="2">
    <w:abstractNumId w:val="2"/>
  </w:num>
  <w:num w:numId="3">
    <w:abstractNumId w:val="1"/>
  </w:num>
  <w:num w:numId="4">
    <w:abstractNumId w:val="3"/>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hideSpellingErrors/>
  <w:hideGrammaticalError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7C17"/>
    <w:rsid w:val="00000D40"/>
    <w:rsid w:val="00001888"/>
    <w:rsid w:val="00002702"/>
    <w:rsid w:val="00002B83"/>
    <w:rsid w:val="0000314F"/>
    <w:rsid w:val="00003269"/>
    <w:rsid w:val="000032CC"/>
    <w:rsid w:val="0000407C"/>
    <w:rsid w:val="00005F4A"/>
    <w:rsid w:val="0000774B"/>
    <w:rsid w:val="00007E0D"/>
    <w:rsid w:val="0001005E"/>
    <w:rsid w:val="00011801"/>
    <w:rsid w:val="00012C17"/>
    <w:rsid w:val="00013049"/>
    <w:rsid w:val="00013197"/>
    <w:rsid w:val="00013315"/>
    <w:rsid w:val="00013BC8"/>
    <w:rsid w:val="0001418B"/>
    <w:rsid w:val="000149B4"/>
    <w:rsid w:val="000154A0"/>
    <w:rsid w:val="00015532"/>
    <w:rsid w:val="00016617"/>
    <w:rsid w:val="000166CC"/>
    <w:rsid w:val="000167C4"/>
    <w:rsid w:val="00016E17"/>
    <w:rsid w:val="00017D64"/>
    <w:rsid w:val="000219F8"/>
    <w:rsid w:val="00021C41"/>
    <w:rsid w:val="000230BE"/>
    <w:rsid w:val="00024544"/>
    <w:rsid w:val="000247E1"/>
    <w:rsid w:val="000251AA"/>
    <w:rsid w:val="000252F1"/>
    <w:rsid w:val="000260E4"/>
    <w:rsid w:val="000265B2"/>
    <w:rsid w:val="00026E01"/>
    <w:rsid w:val="00030277"/>
    <w:rsid w:val="00030CF2"/>
    <w:rsid w:val="00031251"/>
    <w:rsid w:val="000313DB"/>
    <w:rsid w:val="00031502"/>
    <w:rsid w:val="00032111"/>
    <w:rsid w:val="00033254"/>
    <w:rsid w:val="00033EEE"/>
    <w:rsid w:val="00035F33"/>
    <w:rsid w:val="00037571"/>
    <w:rsid w:val="00037709"/>
    <w:rsid w:val="0004002C"/>
    <w:rsid w:val="0004057D"/>
    <w:rsid w:val="000408D0"/>
    <w:rsid w:val="00040FCD"/>
    <w:rsid w:val="00041804"/>
    <w:rsid w:val="00041BE3"/>
    <w:rsid w:val="00041CEA"/>
    <w:rsid w:val="000446BE"/>
    <w:rsid w:val="000455A1"/>
    <w:rsid w:val="00045C6E"/>
    <w:rsid w:val="00046409"/>
    <w:rsid w:val="00046648"/>
    <w:rsid w:val="00046EA7"/>
    <w:rsid w:val="00047E19"/>
    <w:rsid w:val="00050FE3"/>
    <w:rsid w:val="00051DBD"/>
    <w:rsid w:val="00052572"/>
    <w:rsid w:val="00053818"/>
    <w:rsid w:val="00053EAA"/>
    <w:rsid w:val="00054EF5"/>
    <w:rsid w:val="000566EB"/>
    <w:rsid w:val="00056716"/>
    <w:rsid w:val="000567F7"/>
    <w:rsid w:val="00057586"/>
    <w:rsid w:val="00060007"/>
    <w:rsid w:val="00061BB2"/>
    <w:rsid w:val="000626AF"/>
    <w:rsid w:val="00062CD6"/>
    <w:rsid w:val="00063210"/>
    <w:rsid w:val="00063D4B"/>
    <w:rsid w:val="00064264"/>
    <w:rsid w:val="00064876"/>
    <w:rsid w:val="00066118"/>
    <w:rsid w:val="00067390"/>
    <w:rsid w:val="00070182"/>
    <w:rsid w:val="00071950"/>
    <w:rsid w:val="000721B2"/>
    <w:rsid w:val="00072997"/>
    <w:rsid w:val="00074473"/>
    <w:rsid w:val="00074E08"/>
    <w:rsid w:val="0007561C"/>
    <w:rsid w:val="0007589E"/>
    <w:rsid w:val="00080CD4"/>
    <w:rsid w:val="000812D6"/>
    <w:rsid w:val="00081942"/>
    <w:rsid w:val="00082217"/>
    <w:rsid w:val="00083617"/>
    <w:rsid w:val="00084566"/>
    <w:rsid w:val="0008458F"/>
    <w:rsid w:val="00084D79"/>
    <w:rsid w:val="000852F3"/>
    <w:rsid w:val="000872DA"/>
    <w:rsid w:val="000909BA"/>
    <w:rsid w:val="00091733"/>
    <w:rsid w:val="00091D04"/>
    <w:rsid w:val="00092A49"/>
    <w:rsid w:val="0009304D"/>
    <w:rsid w:val="0009428F"/>
    <w:rsid w:val="00094F3D"/>
    <w:rsid w:val="000951E3"/>
    <w:rsid w:val="000959E3"/>
    <w:rsid w:val="00096225"/>
    <w:rsid w:val="00096E0A"/>
    <w:rsid w:val="000A1CC8"/>
    <w:rsid w:val="000A24A4"/>
    <w:rsid w:val="000A322B"/>
    <w:rsid w:val="000A5A5C"/>
    <w:rsid w:val="000A5CAE"/>
    <w:rsid w:val="000A5E47"/>
    <w:rsid w:val="000A6ECB"/>
    <w:rsid w:val="000B030A"/>
    <w:rsid w:val="000B0980"/>
    <w:rsid w:val="000B0F19"/>
    <w:rsid w:val="000B1767"/>
    <w:rsid w:val="000B205E"/>
    <w:rsid w:val="000B2885"/>
    <w:rsid w:val="000B3FA1"/>
    <w:rsid w:val="000B5546"/>
    <w:rsid w:val="000B5636"/>
    <w:rsid w:val="000B577D"/>
    <w:rsid w:val="000B5EEE"/>
    <w:rsid w:val="000B640C"/>
    <w:rsid w:val="000B65AA"/>
    <w:rsid w:val="000B6C8F"/>
    <w:rsid w:val="000B7829"/>
    <w:rsid w:val="000B7AA8"/>
    <w:rsid w:val="000C0EB3"/>
    <w:rsid w:val="000C1452"/>
    <w:rsid w:val="000C2088"/>
    <w:rsid w:val="000C2BDB"/>
    <w:rsid w:val="000C2D63"/>
    <w:rsid w:val="000C4188"/>
    <w:rsid w:val="000C500D"/>
    <w:rsid w:val="000C524B"/>
    <w:rsid w:val="000C7273"/>
    <w:rsid w:val="000D11BE"/>
    <w:rsid w:val="000D1B17"/>
    <w:rsid w:val="000D1D2B"/>
    <w:rsid w:val="000D27CB"/>
    <w:rsid w:val="000D3235"/>
    <w:rsid w:val="000D3243"/>
    <w:rsid w:val="000D3C5B"/>
    <w:rsid w:val="000D45EF"/>
    <w:rsid w:val="000D6830"/>
    <w:rsid w:val="000D721B"/>
    <w:rsid w:val="000E0615"/>
    <w:rsid w:val="000E0718"/>
    <w:rsid w:val="000E0779"/>
    <w:rsid w:val="000E128B"/>
    <w:rsid w:val="000E3723"/>
    <w:rsid w:val="000E3AA2"/>
    <w:rsid w:val="000E4A09"/>
    <w:rsid w:val="000E5DA3"/>
    <w:rsid w:val="000E667C"/>
    <w:rsid w:val="000E749C"/>
    <w:rsid w:val="000F00CF"/>
    <w:rsid w:val="000F17EF"/>
    <w:rsid w:val="000F2F99"/>
    <w:rsid w:val="000F322D"/>
    <w:rsid w:val="000F48E7"/>
    <w:rsid w:val="000F5D27"/>
    <w:rsid w:val="000F7054"/>
    <w:rsid w:val="000F71E9"/>
    <w:rsid w:val="000F73EB"/>
    <w:rsid w:val="000F7E20"/>
    <w:rsid w:val="000F7F85"/>
    <w:rsid w:val="00100873"/>
    <w:rsid w:val="00101447"/>
    <w:rsid w:val="001018E0"/>
    <w:rsid w:val="0010197D"/>
    <w:rsid w:val="00101E1D"/>
    <w:rsid w:val="00101FE8"/>
    <w:rsid w:val="00102550"/>
    <w:rsid w:val="00102A47"/>
    <w:rsid w:val="00103F92"/>
    <w:rsid w:val="001047E7"/>
    <w:rsid w:val="001057D8"/>
    <w:rsid w:val="00105BB2"/>
    <w:rsid w:val="001111F9"/>
    <w:rsid w:val="00112409"/>
    <w:rsid w:val="00113D81"/>
    <w:rsid w:val="001148D9"/>
    <w:rsid w:val="0011544C"/>
    <w:rsid w:val="00115508"/>
    <w:rsid w:val="00116371"/>
    <w:rsid w:val="001168A1"/>
    <w:rsid w:val="00116C16"/>
    <w:rsid w:val="00117D3F"/>
    <w:rsid w:val="0012252D"/>
    <w:rsid w:val="0012285B"/>
    <w:rsid w:val="001239BD"/>
    <w:rsid w:val="00123B18"/>
    <w:rsid w:val="00124036"/>
    <w:rsid w:val="0012477D"/>
    <w:rsid w:val="00126151"/>
    <w:rsid w:val="00127362"/>
    <w:rsid w:val="00130444"/>
    <w:rsid w:val="00130F0B"/>
    <w:rsid w:val="001317CA"/>
    <w:rsid w:val="0013364A"/>
    <w:rsid w:val="00133822"/>
    <w:rsid w:val="00133BC0"/>
    <w:rsid w:val="00134AE3"/>
    <w:rsid w:val="001360E8"/>
    <w:rsid w:val="00136D8C"/>
    <w:rsid w:val="00137503"/>
    <w:rsid w:val="00137D1D"/>
    <w:rsid w:val="00140B03"/>
    <w:rsid w:val="00142188"/>
    <w:rsid w:val="00142760"/>
    <w:rsid w:val="00143217"/>
    <w:rsid w:val="001439FF"/>
    <w:rsid w:val="00144369"/>
    <w:rsid w:val="00144C00"/>
    <w:rsid w:val="00144F27"/>
    <w:rsid w:val="0014554E"/>
    <w:rsid w:val="001457E9"/>
    <w:rsid w:val="00145CB0"/>
    <w:rsid w:val="00145CC8"/>
    <w:rsid w:val="00146D30"/>
    <w:rsid w:val="001472CD"/>
    <w:rsid w:val="00147FF6"/>
    <w:rsid w:val="0015074C"/>
    <w:rsid w:val="00150A9A"/>
    <w:rsid w:val="00154936"/>
    <w:rsid w:val="00154E6A"/>
    <w:rsid w:val="0015535B"/>
    <w:rsid w:val="0015639A"/>
    <w:rsid w:val="00156F6D"/>
    <w:rsid w:val="001573A3"/>
    <w:rsid w:val="00160B82"/>
    <w:rsid w:val="00161491"/>
    <w:rsid w:val="00161F2F"/>
    <w:rsid w:val="00163649"/>
    <w:rsid w:val="001640C8"/>
    <w:rsid w:val="0016449C"/>
    <w:rsid w:val="0016537C"/>
    <w:rsid w:val="00165D3A"/>
    <w:rsid w:val="00166386"/>
    <w:rsid w:val="0016700C"/>
    <w:rsid w:val="00171260"/>
    <w:rsid w:val="0017141A"/>
    <w:rsid w:val="00174C94"/>
    <w:rsid w:val="00175CE5"/>
    <w:rsid w:val="00176FBA"/>
    <w:rsid w:val="00177104"/>
    <w:rsid w:val="001805C6"/>
    <w:rsid w:val="0018175B"/>
    <w:rsid w:val="0018223D"/>
    <w:rsid w:val="00182560"/>
    <w:rsid w:val="0018476C"/>
    <w:rsid w:val="00184862"/>
    <w:rsid w:val="00185253"/>
    <w:rsid w:val="00187AE6"/>
    <w:rsid w:val="00190AB7"/>
    <w:rsid w:val="00190FEF"/>
    <w:rsid w:val="001932C1"/>
    <w:rsid w:val="00193DC4"/>
    <w:rsid w:val="00193F77"/>
    <w:rsid w:val="00194BB1"/>
    <w:rsid w:val="001958D9"/>
    <w:rsid w:val="001959DE"/>
    <w:rsid w:val="00196203"/>
    <w:rsid w:val="001A00AF"/>
    <w:rsid w:val="001A042E"/>
    <w:rsid w:val="001A0675"/>
    <w:rsid w:val="001A11A1"/>
    <w:rsid w:val="001A2C28"/>
    <w:rsid w:val="001A350D"/>
    <w:rsid w:val="001A3714"/>
    <w:rsid w:val="001A456A"/>
    <w:rsid w:val="001A4DC2"/>
    <w:rsid w:val="001A562C"/>
    <w:rsid w:val="001A571F"/>
    <w:rsid w:val="001B0FFF"/>
    <w:rsid w:val="001B1283"/>
    <w:rsid w:val="001B340E"/>
    <w:rsid w:val="001B3852"/>
    <w:rsid w:val="001B4B96"/>
    <w:rsid w:val="001B54B9"/>
    <w:rsid w:val="001B5621"/>
    <w:rsid w:val="001B56CA"/>
    <w:rsid w:val="001B6494"/>
    <w:rsid w:val="001B6602"/>
    <w:rsid w:val="001B6C5A"/>
    <w:rsid w:val="001B734F"/>
    <w:rsid w:val="001B7756"/>
    <w:rsid w:val="001B7AAA"/>
    <w:rsid w:val="001C0F9A"/>
    <w:rsid w:val="001C2267"/>
    <w:rsid w:val="001C270B"/>
    <w:rsid w:val="001C395C"/>
    <w:rsid w:val="001C441E"/>
    <w:rsid w:val="001C4B3F"/>
    <w:rsid w:val="001C4BCB"/>
    <w:rsid w:val="001C5ED5"/>
    <w:rsid w:val="001C7918"/>
    <w:rsid w:val="001C7BBB"/>
    <w:rsid w:val="001C7F39"/>
    <w:rsid w:val="001D0BEA"/>
    <w:rsid w:val="001D1BC4"/>
    <w:rsid w:val="001D1BE4"/>
    <w:rsid w:val="001D1F9B"/>
    <w:rsid w:val="001D2553"/>
    <w:rsid w:val="001D286B"/>
    <w:rsid w:val="001D5905"/>
    <w:rsid w:val="001D5E3C"/>
    <w:rsid w:val="001D6AF6"/>
    <w:rsid w:val="001D6F7F"/>
    <w:rsid w:val="001E0042"/>
    <w:rsid w:val="001E0992"/>
    <w:rsid w:val="001E0EAF"/>
    <w:rsid w:val="001E2AE6"/>
    <w:rsid w:val="001E3C6C"/>
    <w:rsid w:val="001E409C"/>
    <w:rsid w:val="001E4491"/>
    <w:rsid w:val="001E49EE"/>
    <w:rsid w:val="001E7E15"/>
    <w:rsid w:val="001F018A"/>
    <w:rsid w:val="001F0258"/>
    <w:rsid w:val="001F02EA"/>
    <w:rsid w:val="001F12E2"/>
    <w:rsid w:val="001F2200"/>
    <w:rsid w:val="001F2A90"/>
    <w:rsid w:val="001F2DE6"/>
    <w:rsid w:val="001F2FD4"/>
    <w:rsid w:val="001F329D"/>
    <w:rsid w:val="001F3788"/>
    <w:rsid w:val="001F4AF5"/>
    <w:rsid w:val="001F4E43"/>
    <w:rsid w:val="001F59A3"/>
    <w:rsid w:val="001F5B7E"/>
    <w:rsid w:val="001F5E0A"/>
    <w:rsid w:val="001F6223"/>
    <w:rsid w:val="001F64A6"/>
    <w:rsid w:val="001F658D"/>
    <w:rsid w:val="0020054E"/>
    <w:rsid w:val="002029DB"/>
    <w:rsid w:val="002046E2"/>
    <w:rsid w:val="00204793"/>
    <w:rsid w:val="00204A4B"/>
    <w:rsid w:val="00204A61"/>
    <w:rsid w:val="00205136"/>
    <w:rsid w:val="002054E7"/>
    <w:rsid w:val="00205765"/>
    <w:rsid w:val="002065DC"/>
    <w:rsid w:val="00210722"/>
    <w:rsid w:val="00210724"/>
    <w:rsid w:val="00210E49"/>
    <w:rsid w:val="0021101E"/>
    <w:rsid w:val="00211370"/>
    <w:rsid w:val="00211687"/>
    <w:rsid w:val="00211803"/>
    <w:rsid w:val="00211ED7"/>
    <w:rsid w:val="00212667"/>
    <w:rsid w:val="002133FC"/>
    <w:rsid w:val="002135E3"/>
    <w:rsid w:val="00213995"/>
    <w:rsid w:val="002158E2"/>
    <w:rsid w:val="00216185"/>
    <w:rsid w:val="00217BCD"/>
    <w:rsid w:val="00217F6C"/>
    <w:rsid w:val="00220941"/>
    <w:rsid w:val="00220B12"/>
    <w:rsid w:val="00221B0A"/>
    <w:rsid w:val="0022209F"/>
    <w:rsid w:val="002223B3"/>
    <w:rsid w:val="00222CFA"/>
    <w:rsid w:val="00224862"/>
    <w:rsid w:val="00225951"/>
    <w:rsid w:val="00226389"/>
    <w:rsid w:val="00227751"/>
    <w:rsid w:val="00230B27"/>
    <w:rsid w:val="00230D45"/>
    <w:rsid w:val="0023100A"/>
    <w:rsid w:val="0023260A"/>
    <w:rsid w:val="00234199"/>
    <w:rsid w:val="002369AF"/>
    <w:rsid w:val="002376D0"/>
    <w:rsid w:val="00240D5C"/>
    <w:rsid w:val="00241935"/>
    <w:rsid w:val="0024281A"/>
    <w:rsid w:val="00243019"/>
    <w:rsid w:val="0024309A"/>
    <w:rsid w:val="0024502F"/>
    <w:rsid w:val="00245D3E"/>
    <w:rsid w:val="00247323"/>
    <w:rsid w:val="00247BE7"/>
    <w:rsid w:val="00250BB3"/>
    <w:rsid w:val="002521CB"/>
    <w:rsid w:val="002523A7"/>
    <w:rsid w:val="00252E34"/>
    <w:rsid w:val="00253718"/>
    <w:rsid w:val="002539D4"/>
    <w:rsid w:val="00255EC0"/>
    <w:rsid w:val="0025690E"/>
    <w:rsid w:val="002572D3"/>
    <w:rsid w:val="00257882"/>
    <w:rsid w:val="002615EC"/>
    <w:rsid w:val="00262914"/>
    <w:rsid w:val="00263F9D"/>
    <w:rsid w:val="00264520"/>
    <w:rsid w:val="00264E18"/>
    <w:rsid w:val="0026561A"/>
    <w:rsid w:val="002667DF"/>
    <w:rsid w:val="0026718C"/>
    <w:rsid w:val="00267973"/>
    <w:rsid w:val="00270D72"/>
    <w:rsid w:val="00271206"/>
    <w:rsid w:val="002712D7"/>
    <w:rsid w:val="00271C63"/>
    <w:rsid w:val="0027238E"/>
    <w:rsid w:val="00273554"/>
    <w:rsid w:val="0027458D"/>
    <w:rsid w:val="00275319"/>
    <w:rsid w:val="00275A84"/>
    <w:rsid w:val="0027677C"/>
    <w:rsid w:val="002768C0"/>
    <w:rsid w:val="00276969"/>
    <w:rsid w:val="00276A7B"/>
    <w:rsid w:val="0028041A"/>
    <w:rsid w:val="00282AE9"/>
    <w:rsid w:val="0028415B"/>
    <w:rsid w:val="002851EB"/>
    <w:rsid w:val="002854F6"/>
    <w:rsid w:val="00285989"/>
    <w:rsid w:val="00285CC6"/>
    <w:rsid w:val="00286E04"/>
    <w:rsid w:val="00290E7F"/>
    <w:rsid w:val="00290FB7"/>
    <w:rsid w:val="0029227D"/>
    <w:rsid w:val="002938AA"/>
    <w:rsid w:val="00293B81"/>
    <w:rsid w:val="00293FD7"/>
    <w:rsid w:val="0029432D"/>
    <w:rsid w:val="002958E7"/>
    <w:rsid w:val="00297D56"/>
    <w:rsid w:val="002A0BD8"/>
    <w:rsid w:val="002A0FD3"/>
    <w:rsid w:val="002A1150"/>
    <w:rsid w:val="002A1DAA"/>
    <w:rsid w:val="002A237E"/>
    <w:rsid w:val="002A2A56"/>
    <w:rsid w:val="002A2BAC"/>
    <w:rsid w:val="002A2F38"/>
    <w:rsid w:val="002A30AB"/>
    <w:rsid w:val="002A3297"/>
    <w:rsid w:val="002A3791"/>
    <w:rsid w:val="002A479E"/>
    <w:rsid w:val="002A49FA"/>
    <w:rsid w:val="002A5F02"/>
    <w:rsid w:val="002A60FA"/>
    <w:rsid w:val="002A63BE"/>
    <w:rsid w:val="002A6C0F"/>
    <w:rsid w:val="002A6ED2"/>
    <w:rsid w:val="002B0B16"/>
    <w:rsid w:val="002B0CAD"/>
    <w:rsid w:val="002B2404"/>
    <w:rsid w:val="002B356A"/>
    <w:rsid w:val="002B3942"/>
    <w:rsid w:val="002B396A"/>
    <w:rsid w:val="002B5647"/>
    <w:rsid w:val="002B5662"/>
    <w:rsid w:val="002B5B0A"/>
    <w:rsid w:val="002B64DB"/>
    <w:rsid w:val="002B7009"/>
    <w:rsid w:val="002B78CE"/>
    <w:rsid w:val="002B7BB5"/>
    <w:rsid w:val="002C0AE9"/>
    <w:rsid w:val="002C1C4A"/>
    <w:rsid w:val="002C21B6"/>
    <w:rsid w:val="002C3021"/>
    <w:rsid w:val="002C3BC4"/>
    <w:rsid w:val="002C554E"/>
    <w:rsid w:val="002C600F"/>
    <w:rsid w:val="002C7313"/>
    <w:rsid w:val="002D2BAB"/>
    <w:rsid w:val="002D33BB"/>
    <w:rsid w:val="002D394F"/>
    <w:rsid w:val="002D4886"/>
    <w:rsid w:val="002D54BD"/>
    <w:rsid w:val="002D67BD"/>
    <w:rsid w:val="002D6BE1"/>
    <w:rsid w:val="002D715F"/>
    <w:rsid w:val="002D7A5A"/>
    <w:rsid w:val="002E0578"/>
    <w:rsid w:val="002E32F1"/>
    <w:rsid w:val="002E47D7"/>
    <w:rsid w:val="002E4CD6"/>
    <w:rsid w:val="002E5091"/>
    <w:rsid w:val="002E5BDD"/>
    <w:rsid w:val="002E7EED"/>
    <w:rsid w:val="002F048F"/>
    <w:rsid w:val="002F21EA"/>
    <w:rsid w:val="002F24BE"/>
    <w:rsid w:val="002F289C"/>
    <w:rsid w:val="002F3171"/>
    <w:rsid w:val="002F4FDE"/>
    <w:rsid w:val="002F5CDA"/>
    <w:rsid w:val="002F703B"/>
    <w:rsid w:val="002F7499"/>
    <w:rsid w:val="0030061C"/>
    <w:rsid w:val="00303930"/>
    <w:rsid w:val="00305264"/>
    <w:rsid w:val="00307330"/>
    <w:rsid w:val="003075ED"/>
    <w:rsid w:val="00311DAB"/>
    <w:rsid w:val="003136FC"/>
    <w:rsid w:val="00313A46"/>
    <w:rsid w:val="00314CA9"/>
    <w:rsid w:val="00316ADA"/>
    <w:rsid w:val="00317F09"/>
    <w:rsid w:val="003209BB"/>
    <w:rsid w:val="00321753"/>
    <w:rsid w:val="003220C3"/>
    <w:rsid w:val="003220D6"/>
    <w:rsid w:val="00324B20"/>
    <w:rsid w:val="0033083D"/>
    <w:rsid w:val="00330F58"/>
    <w:rsid w:val="003315E3"/>
    <w:rsid w:val="003324E8"/>
    <w:rsid w:val="00332A60"/>
    <w:rsid w:val="003347EC"/>
    <w:rsid w:val="003349CC"/>
    <w:rsid w:val="00334B5B"/>
    <w:rsid w:val="00334BC1"/>
    <w:rsid w:val="00335AFE"/>
    <w:rsid w:val="00335C07"/>
    <w:rsid w:val="00337D24"/>
    <w:rsid w:val="00337F67"/>
    <w:rsid w:val="00340203"/>
    <w:rsid w:val="00340297"/>
    <w:rsid w:val="00340987"/>
    <w:rsid w:val="003421D9"/>
    <w:rsid w:val="00343250"/>
    <w:rsid w:val="00343744"/>
    <w:rsid w:val="00343877"/>
    <w:rsid w:val="00344B80"/>
    <w:rsid w:val="003453E1"/>
    <w:rsid w:val="00346015"/>
    <w:rsid w:val="003466A1"/>
    <w:rsid w:val="00346B05"/>
    <w:rsid w:val="00350355"/>
    <w:rsid w:val="00351031"/>
    <w:rsid w:val="0035171F"/>
    <w:rsid w:val="003539AB"/>
    <w:rsid w:val="00353B31"/>
    <w:rsid w:val="0035484B"/>
    <w:rsid w:val="00354DDE"/>
    <w:rsid w:val="00355E3A"/>
    <w:rsid w:val="003565C9"/>
    <w:rsid w:val="00356B5B"/>
    <w:rsid w:val="00356E79"/>
    <w:rsid w:val="00357113"/>
    <w:rsid w:val="003578AA"/>
    <w:rsid w:val="003601E9"/>
    <w:rsid w:val="00361AF7"/>
    <w:rsid w:val="00362FD4"/>
    <w:rsid w:val="0036346B"/>
    <w:rsid w:val="00363C27"/>
    <w:rsid w:val="00363F18"/>
    <w:rsid w:val="003654B6"/>
    <w:rsid w:val="00366572"/>
    <w:rsid w:val="00366655"/>
    <w:rsid w:val="0036715B"/>
    <w:rsid w:val="00367AC6"/>
    <w:rsid w:val="003708E3"/>
    <w:rsid w:val="003711FD"/>
    <w:rsid w:val="003716AD"/>
    <w:rsid w:val="00372232"/>
    <w:rsid w:val="003724A7"/>
    <w:rsid w:val="00372F3C"/>
    <w:rsid w:val="003731DF"/>
    <w:rsid w:val="00373600"/>
    <w:rsid w:val="003738E5"/>
    <w:rsid w:val="0037416A"/>
    <w:rsid w:val="003752FD"/>
    <w:rsid w:val="003754C2"/>
    <w:rsid w:val="00375C32"/>
    <w:rsid w:val="003769B4"/>
    <w:rsid w:val="00381DB7"/>
    <w:rsid w:val="00381F89"/>
    <w:rsid w:val="0038279C"/>
    <w:rsid w:val="00382BD8"/>
    <w:rsid w:val="00383AFE"/>
    <w:rsid w:val="00383BF9"/>
    <w:rsid w:val="003841E0"/>
    <w:rsid w:val="00384E5A"/>
    <w:rsid w:val="00386714"/>
    <w:rsid w:val="00387C2C"/>
    <w:rsid w:val="003901BB"/>
    <w:rsid w:val="00390543"/>
    <w:rsid w:val="003909E8"/>
    <w:rsid w:val="00390B61"/>
    <w:rsid w:val="003914FD"/>
    <w:rsid w:val="003915B5"/>
    <w:rsid w:val="00391EEF"/>
    <w:rsid w:val="00392558"/>
    <w:rsid w:val="00392592"/>
    <w:rsid w:val="00392A14"/>
    <w:rsid w:val="0039454C"/>
    <w:rsid w:val="00394F40"/>
    <w:rsid w:val="003955FD"/>
    <w:rsid w:val="0039688F"/>
    <w:rsid w:val="003A0C7B"/>
    <w:rsid w:val="003A1187"/>
    <w:rsid w:val="003A1C30"/>
    <w:rsid w:val="003A1CA9"/>
    <w:rsid w:val="003A2AC0"/>
    <w:rsid w:val="003A356A"/>
    <w:rsid w:val="003A3C66"/>
    <w:rsid w:val="003A3D7A"/>
    <w:rsid w:val="003A44C3"/>
    <w:rsid w:val="003A4DC7"/>
    <w:rsid w:val="003A6623"/>
    <w:rsid w:val="003A6FCA"/>
    <w:rsid w:val="003A7993"/>
    <w:rsid w:val="003A7A38"/>
    <w:rsid w:val="003B03A5"/>
    <w:rsid w:val="003B0CEF"/>
    <w:rsid w:val="003B18A9"/>
    <w:rsid w:val="003B1B89"/>
    <w:rsid w:val="003B515A"/>
    <w:rsid w:val="003B6069"/>
    <w:rsid w:val="003B6C6C"/>
    <w:rsid w:val="003B7034"/>
    <w:rsid w:val="003B78DC"/>
    <w:rsid w:val="003C02A6"/>
    <w:rsid w:val="003C1382"/>
    <w:rsid w:val="003C384B"/>
    <w:rsid w:val="003C3CC5"/>
    <w:rsid w:val="003C3E5F"/>
    <w:rsid w:val="003C4598"/>
    <w:rsid w:val="003C5194"/>
    <w:rsid w:val="003C59FA"/>
    <w:rsid w:val="003C6034"/>
    <w:rsid w:val="003C60D7"/>
    <w:rsid w:val="003C6898"/>
    <w:rsid w:val="003C6D58"/>
    <w:rsid w:val="003C7322"/>
    <w:rsid w:val="003C75DD"/>
    <w:rsid w:val="003D019C"/>
    <w:rsid w:val="003D0B0F"/>
    <w:rsid w:val="003D1B27"/>
    <w:rsid w:val="003D2D17"/>
    <w:rsid w:val="003D53FD"/>
    <w:rsid w:val="003D541D"/>
    <w:rsid w:val="003D57BC"/>
    <w:rsid w:val="003D5E2C"/>
    <w:rsid w:val="003D6A2B"/>
    <w:rsid w:val="003D7001"/>
    <w:rsid w:val="003D7C47"/>
    <w:rsid w:val="003D7F0B"/>
    <w:rsid w:val="003E05EF"/>
    <w:rsid w:val="003E10EC"/>
    <w:rsid w:val="003E1A03"/>
    <w:rsid w:val="003E1BA2"/>
    <w:rsid w:val="003E271D"/>
    <w:rsid w:val="003E325B"/>
    <w:rsid w:val="003E382A"/>
    <w:rsid w:val="003E3BEC"/>
    <w:rsid w:val="003E3D5B"/>
    <w:rsid w:val="003E3F98"/>
    <w:rsid w:val="003E405F"/>
    <w:rsid w:val="003E4620"/>
    <w:rsid w:val="003E4C13"/>
    <w:rsid w:val="003E526F"/>
    <w:rsid w:val="003E5AB3"/>
    <w:rsid w:val="003E6065"/>
    <w:rsid w:val="003E6652"/>
    <w:rsid w:val="003E7780"/>
    <w:rsid w:val="003E7D17"/>
    <w:rsid w:val="003F0BEB"/>
    <w:rsid w:val="003F125D"/>
    <w:rsid w:val="003F1AD5"/>
    <w:rsid w:val="003F2B37"/>
    <w:rsid w:val="003F31AE"/>
    <w:rsid w:val="003F3CAE"/>
    <w:rsid w:val="003F5B10"/>
    <w:rsid w:val="003F5B65"/>
    <w:rsid w:val="003F719C"/>
    <w:rsid w:val="0040047D"/>
    <w:rsid w:val="00400CFD"/>
    <w:rsid w:val="00401343"/>
    <w:rsid w:val="00401F00"/>
    <w:rsid w:val="00401F14"/>
    <w:rsid w:val="00402226"/>
    <w:rsid w:val="00403D2A"/>
    <w:rsid w:val="00404EB4"/>
    <w:rsid w:val="00406764"/>
    <w:rsid w:val="00406A26"/>
    <w:rsid w:val="00407162"/>
    <w:rsid w:val="00407A0E"/>
    <w:rsid w:val="00407D19"/>
    <w:rsid w:val="00407E7B"/>
    <w:rsid w:val="00407FC3"/>
    <w:rsid w:val="004118D2"/>
    <w:rsid w:val="00411FAB"/>
    <w:rsid w:val="004129B6"/>
    <w:rsid w:val="00413591"/>
    <w:rsid w:val="00413E89"/>
    <w:rsid w:val="004146FC"/>
    <w:rsid w:val="00414AD0"/>
    <w:rsid w:val="004154D6"/>
    <w:rsid w:val="0041606B"/>
    <w:rsid w:val="0041621F"/>
    <w:rsid w:val="00416DC2"/>
    <w:rsid w:val="0041724F"/>
    <w:rsid w:val="00420E11"/>
    <w:rsid w:val="004217C5"/>
    <w:rsid w:val="00421BDA"/>
    <w:rsid w:val="00421F98"/>
    <w:rsid w:val="00422177"/>
    <w:rsid w:val="00424CC2"/>
    <w:rsid w:val="00425348"/>
    <w:rsid w:val="00425F8B"/>
    <w:rsid w:val="00431353"/>
    <w:rsid w:val="00431573"/>
    <w:rsid w:val="00433395"/>
    <w:rsid w:val="00433D32"/>
    <w:rsid w:val="0043515F"/>
    <w:rsid w:val="0043549A"/>
    <w:rsid w:val="00435EC8"/>
    <w:rsid w:val="0043623B"/>
    <w:rsid w:val="00436541"/>
    <w:rsid w:val="004367BC"/>
    <w:rsid w:val="00436E5E"/>
    <w:rsid w:val="00437929"/>
    <w:rsid w:val="00437E9C"/>
    <w:rsid w:val="004401EE"/>
    <w:rsid w:val="00440FE1"/>
    <w:rsid w:val="00441015"/>
    <w:rsid w:val="00441769"/>
    <w:rsid w:val="00445463"/>
    <w:rsid w:val="00447042"/>
    <w:rsid w:val="004474A6"/>
    <w:rsid w:val="00447D11"/>
    <w:rsid w:val="004501CB"/>
    <w:rsid w:val="00451086"/>
    <w:rsid w:val="00451E0C"/>
    <w:rsid w:val="0045307B"/>
    <w:rsid w:val="0045395C"/>
    <w:rsid w:val="00453EEB"/>
    <w:rsid w:val="00454821"/>
    <w:rsid w:val="0045520B"/>
    <w:rsid w:val="004558E0"/>
    <w:rsid w:val="00455E9D"/>
    <w:rsid w:val="0045617B"/>
    <w:rsid w:val="00456BF7"/>
    <w:rsid w:val="0045715C"/>
    <w:rsid w:val="00457EE8"/>
    <w:rsid w:val="004614F0"/>
    <w:rsid w:val="00463B38"/>
    <w:rsid w:val="00463D26"/>
    <w:rsid w:val="00464338"/>
    <w:rsid w:val="00464677"/>
    <w:rsid w:val="00465A37"/>
    <w:rsid w:val="00466852"/>
    <w:rsid w:val="004678E0"/>
    <w:rsid w:val="00470F6A"/>
    <w:rsid w:val="0047138C"/>
    <w:rsid w:val="0047163E"/>
    <w:rsid w:val="00471A0E"/>
    <w:rsid w:val="004728F7"/>
    <w:rsid w:val="00472BD6"/>
    <w:rsid w:val="0047315F"/>
    <w:rsid w:val="00473183"/>
    <w:rsid w:val="00475FB0"/>
    <w:rsid w:val="004773C4"/>
    <w:rsid w:val="0048122B"/>
    <w:rsid w:val="00481791"/>
    <w:rsid w:val="0048208B"/>
    <w:rsid w:val="00482C16"/>
    <w:rsid w:val="00483912"/>
    <w:rsid w:val="00483A50"/>
    <w:rsid w:val="0048425E"/>
    <w:rsid w:val="00484A73"/>
    <w:rsid w:val="00485FD4"/>
    <w:rsid w:val="004864FC"/>
    <w:rsid w:val="004865E0"/>
    <w:rsid w:val="00486C92"/>
    <w:rsid w:val="004875E8"/>
    <w:rsid w:val="00487AC1"/>
    <w:rsid w:val="0049041A"/>
    <w:rsid w:val="004904F7"/>
    <w:rsid w:val="004910BB"/>
    <w:rsid w:val="00491368"/>
    <w:rsid w:val="0049158E"/>
    <w:rsid w:val="00492057"/>
    <w:rsid w:val="00494101"/>
    <w:rsid w:val="00494EBB"/>
    <w:rsid w:val="004954F7"/>
    <w:rsid w:val="00495CE4"/>
    <w:rsid w:val="00496164"/>
    <w:rsid w:val="00496E3B"/>
    <w:rsid w:val="00497BA3"/>
    <w:rsid w:val="00497DA9"/>
    <w:rsid w:val="004A123E"/>
    <w:rsid w:val="004A1A6A"/>
    <w:rsid w:val="004A1B94"/>
    <w:rsid w:val="004A1BB9"/>
    <w:rsid w:val="004A20FA"/>
    <w:rsid w:val="004A2C3C"/>
    <w:rsid w:val="004A2E26"/>
    <w:rsid w:val="004A367B"/>
    <w:rsid w:val="004A463C"/>
    <w:rsid w:val="004A516B"/>
    <w:rsid w:val="004A6D4B"/>
    <w:rsid w:val="004A6DB4"/>
    <w:rsid w:val="004A7BBD"/>
    <w:rsid w:val="004B0CA3"/>
    <w:rsid w:val="004B1169"/>
    <w:rsid w:val="004B1312"/>
    <w:rsid w:val="004B1EA2"/>
    <w:rsid w:val="004B293D"/>
    <w:rsid w:val="004B2D9A"/>
    <w:rsid w:val="004B3732"/>
    <w:rsid w:val="004B476F"/>
    <w:rsid w:val="004B514B"/>
    <w:rsid w:val="004B5794"/>
    <w:rsid w:val="004B5C1C"/>
    <w:rsid w:val="004B5EBE"/>
    <w:rsid w:val="004B6926"/>
    <w:rsid w:val="004B6D0D"/>
    <w:rsid w:val="004B70E5"/>
    <w:rsid w:val="004B7407"/>
    <w:rsid w:val="004B7972"/>
    <w:rsid w:val="004B7A07"/>
    <w:rsid w:val="004B7B89"/>
    <w:rsid w:val="004C048D"/>
    <w:rsid w:val="004C0E53"/>
    <w:rsid w:val="004C0F08"/>
    <w:rsid w:val="004C2304"/>
    <w:rsid w:val="004C2E3D"/>
    <w:rsid w:val="004C37F7"/>
    <w:rsid w:val="004C5FE4"/>
    <w:rsid w:val="004C6965"/>
    <w:rsid w:val="004C6C3E"/>
    <w:rsid w:val="004C798E"/>
    <w:rsid w:val="004D02C1"/>
    <w:rsid w:val="004D12EA"/>
    <w:rsid w:val="004D2674"/>
    <w:rsid w:val="004D2B8E"/>
    <w:rsid w:val="004D5034"/>
    <w:rsid w:val="004D5239"/>
    <w:rsid w:val="004D5FD4"/>
    <w:rsid w:val="004D664B"/>
    <w:rsid w:val="004D76EE"/>
    <w:rsid w:val="004D7B39"/>
    <w:rsid w:val="004E00E6"/>
    <w:rsid w:val="004E061A"/>
    <w:rsid w:val="004E0FAB"/>
    <w:rsid w:val="004E1E4F"/>
    <w:rsid w:val="004E2EB8"/>
    <w:rsid w:val="004E575F"/>
    <w:rsid w:val="004E5975"/>
    <w:rsid w:val="004F0306"/>
    <w:rsid w:val="004F2339"/>
    <w:rsid w:val="004F25CC"/>
    <w:rsid w:val="004F2E6E"/>
    <w:rsid w:val="004F32B1"/>
    <w:rsid w:val="004F340E"/>
    <w:rsid w:val="004F3426"/>
    <w:rsid w:val="004F3994"/>
    <w:rsid w:val="004F4DF6"/>
    <w:rsid w:val="004F4F82"/>
    <w:rsid w:val="004F59B7"/>
    <w:rsid w:val="004F72DF"/>
    <w:rsid w:val="004F7355"/>
    <w:rsid w:val="004F75DF"/>
    <w:rsid w:val="004F78BC"/>
    <w:rsid w:val="00500A32"/>
    <w:rsid w:val="0050264B"/>
    <w:rsid w:val="00503605"/>
    <w:rsid w:val="00503A6A"/>
    <w:rsid w:val="00504B3D"/>
    <w:rsid w:val="005106D3"/>
    <w:rsid w:val="0051109A"/>
    <w:rsid w:val="00511452"/>
    <w:rsid w:val="00511895"/>
    <w:rsid w:val="00512468"/>
    <w:rsid w:val="00512544"/>
    <w:rsid w:val="0051276C"/>
    <w:rsid w:val="00514C43"/>
    <w:rsid w:val="0051508F"/>
    <w:rsid w:val="005155D7"/>
    <w:rsid w:val="005156D9"/>
    <w:rsid w:val="00515F2D"/>
    <w:rsid w:val="00516516"/>
    <w:rsid w:val="005173B4"/>
    <w:rsid w:val="00517794"/>
    <w:rsid w:val="005179E3"/>
    <w:rsid w:val="005211D5"/>
    <w:rsid w:val="00521DC4"/>
    <w:rsid w:val="00522853"/>
    <w:rsid w:val="00523297"/>
    <w:rsid w:val="00523E5D"/>
    <w:rsid w:val="00524888"/>
    <w:rsid w:val="005250AC"/>
    <w:rsid w:val="005255AD"/>
    <w:rsid w:val="005259B3"/>
    <w:rsid w:val="00525BCF"/>
    <w:rsid w:val="00526583"/>
    <w:rsid w:val="0052688B"/>
    <w:rsid w:val="005268CA"/>
    <w:rsid w:val="005272C5"/>
    <w:rsid w:val="00527887"/>
    <w:rsid w:val="0053081F"/>
    <w:rsid w:val="0053115F"/>
    <w:rsid w:val="005312A8"/>
    <w:rsid w:val="00533366"/>
    <w:rsid w:val="00535AC7"/>
    <w:rsid w:val="00536AB2"/>
    <w:rsid w:val="00536DB5"/>
    <w:rsid w:val="0053752B"/>
    <w:rsid w:val="00540D06"/>
    <w:rsid w:val="0054345D"/>
    <w:rsid w:val="0054410C"/>
    <w:rsid w:val="00544D80"/>
    <w:rsid w:val="00546223"/>
    <w:rsid w:val="00546697"/>
    <w:rsid w:val="00547469"/>
    <w:rsid w:val="005503B8"/>
    <w:rsid w:val="00550659"/>
    <w:rsid w:val="00550D07"/>
    <w:rsid w:val="005520E5"/>
    <w:rsid w:val="0055283A"/>
    <w:rsid w:val="0055393D"/>
    <w:rsid w:val="00553ACB"/>
    <w:rsid w:val="005542B2"/>
    <w:rsid w:val="00554747"/>
    <w:rsid w:val="00554E09"/>
    <w:rsid w:val="0055606A"/>
    <w:rsid w:val="00556731"/>
    <w:rsid w:val="00557B92"/>
    <w:rsid w:val="00561988"/>
    <w:rsid w:val="005619FB"/>
    <w:rsid w:val="00561C88"/>
    <w:rsid w:val="00562D57"/>
    <w:rsid w:val="00563E0A"/>
    <w:rsid w:val="005658D2"/>
    <w:rsid w:val="00565A2E"/>
    <w:rsid w:val="00565D23"/>
    <w:rsid w:val="0056755A"/>
    <w:rsid w:val="00567843"/>
    <w:rsid w:val="00567C7E"/>
    <w:rsid w:val="005707CE"/>
    <w:rsid w:val="0057093A"/>
    <w:rsid w:val="00570FC8"/>
    <w:rsid w:val="00573B07"/>
    <w:rsid w:val="00575BE9"/>
    <w:rsid w:val="005760CC"/>
    <w:rsid w:val="0057714F"/>
    <w:rsid w:val="0057752F"/>
    <w:rsid w:val="00580A61"/>
    <w:rsid w:val="00580AE2"/>
    <w:rsid w:val="00580FAA"/>
    <w:rsid w:val="005810CD"/>
    <w:rsid w:val="00581324"/>
    <w:rsid w:val="00581747"/>
    <w:rsid w:val="00581951"/>
    <w:rsid w:val="00581E20"/>
    <w:rsid w:val="005822DD"/>
    <w:rsid w:val="00583198"/>
    <w:rsid w:val="00584658"/>
    <w:rsid w:val="00584F8C"/>
    <w:rsid w:val="00585833"/>
    <w:rsid w:val="00585CC9"/>
    <w:rsid w:val="00586548"/>
    <w:rsid w:val="00587BD6"/>
    <w:rsid w:val="00587DEF"/>
    <w:rsid w:val="00587E10"/>
    <w:rsid w:val="00590997"/>
    <w:rsid w:val="00590EB7"/>
    <w:rsid w:val="00591A6D"/>
    <w:rsid w:val="00594C25"/>
    <w:rsid w:val="005953C0"/>
    <w:rsid w:val="00595437"/>
    <w:rsid w:val="00595AB2"/>
    <w:rsid w:val="0059615B"/>
    <w:rsid w:val="0059671C"/>
    <w:rsid w:val="00597FA8"/>
    <w:rsid w:val="005A019D"/>
    <w:rsid w:val="005A089C"/>
    <w:rsid w:val="005A1945"/>
    <w:rsid w:val="005A22FD"/>
    <w:rsid w:val="005A3051"/>
    <w:rsid w:val="005A421E"/>
    <w:rsid w:val="005A430B"/>
    <w:rsid w:val="005A4339"/>
    <w:rsid w:val="005A4639"/>
    <w:rsid w:val="005A47F4"/>
    <w:rsid w:val="005A482C"/>
    <w:rsid w:val="005A6477"/>
    <w:rsid w:val="005A64D9"/>
    <w:rsid w:val="005A73D2"/>
    <w:rsid w:val="005A7CA0"/>
    <w:rsid w:val="005A7D7F"/>
    <w:rsid w:val="005B0579"/>
    <w:rsid w:val="005B0871"/>
    <w:rsid w:val="005B0B2B"/>
    <w:rsid w:val="005B0E60"/>
    <w:rsid w:val="005B2B48"/>
    <w:rsid w:val="005B2B69"/>
    <w:rsid w:val="005B3717"/>
    <w:rsid w:val="005B3F41"/>
    <w:rsid w:val="005B4741"/>
    <w:rsid w:val="005B5556"/>
    <w:rsid w:val="005B5699"/>
    <w:rsid w:val="005B6944"/>
    <w:rsid w:val="005B6BD6"/>
    <w:rsid w:val="005B7A73"/>
    <w:rsid w:val="005B7E93"/>
    <w:rsid w:val="005C0C37"/>
    <w:rsid w:val="005C0D14"/>
    <w:rsid w:val="005C1A56"/>
    <w:rsid w:val="005C1B15"/>
    <w:rsid w:val="005C330A"/>
    <w:rsid w:val="005C33AB"/>
    <w:rsid w:val="005C45F1"/>
    <w:rsid w:val="005C468B"/>
    <w:rsid w:val="005C5094"/>
    <w:rsid w:val="005C68AC"/>
    <w:rsid w:val="005C6C3D"/>
    <w:rsid w:val="005D134C"/>
    <w:rsid w:val="005D1848"/>
    <w:rsid w:val="005D1AC7"/>
    <w:rsid w:val="005D2569"/>
    <w:rsid w:val="005D4E9E"/>
    <w:rsid w:val="005D5C89"/>
    <w:rsid w:val="005D6E50"/>
    <w:rsid w:val="005E10F5"/>
    <w:rsid w:val="005E32A7"/>
    <w:rsid w:val="005E33F6"/>
    <w:rsid w:val="005E3956"/>
    <w:rsid w:val="005E4424"/>
    <w:rsid w:val="005E6195"/>
    <w:rsid w:val="005E65D9"/>
    <w:rsid w:val="005E6C3E"/>
    <w:rsid w:val="005F0ABC"/>
    <w:rsid w:val="005F295A"/>
    <w:rsid w:val="005F2F05"/>
    <w:rsid w:val="005F3FCA"/>
    <w:rsid w:val="005F44E9"/>
    <w:rsid w:val="005F4B45"/>
    <w:rsid w:val="005F6E05"/>
    <w:rsid w:val="006014B7"/>
    <w:rsid w:val="0060223C"/>
    <w:rsid w:val="00602CD9"/>
    <w:rsid w:val="00604792"/>
    <w:rsid w:val="00605430"/>
    <w:rsid w:val="00607233"/>
    <w:rsid w:val="006072EC"/>
    <w:rsid w:val="00611607"/>
    <w:rsid w:val="00612146"/>
    <w:rsid w:val="00612A9D"/>
    <w:rsid w:val="00613075"/>
    <w:rsid w:val="0061321B"/>
    <w:rsid w:val="00613759"/>
    <w:rsid w:val="006140CF"/>
    <w:rsid w:val="0061648B"/>
    <w:rsid w:val="00616687"/>
    <w:rsid w:val="00616E14"/>
    <w:rsid w:val="00617734"/>
    <w:rsid w:val="0061782C"/>
    <w:rsid w:val="00617B94"/>
    <w:rsid w:val="00620D07"/>
    <w:rsid w:val="00621CEC"/>
    <w:rsid w:val="00622709"/>
    <w:rsid w:val="0062412A"/>
    <w:rsid w:val="00625ACC"/>
    <w:rsid w:val="00626329"/>
    <w:rsid w:val="00630319"/>
    <w:rsid w:val="006309AD"/>
    <w:rsid w:val="00632155"/>
    <w:rsid w:val="0063234F"/>
    <w:rsid w:val="00633981"/>
    <w:rsid w:val="00633C01"/>
    <w:rsid w:val="00633ECF"/>
    <w:rsid w:val="00635100"/>
    <w:rsid w:val="00635585"/>
    <w:rsid w:val="00636373"/>
    <w:rsid w:val="00637320"/>
    <w:rsid w:val="00637927"/>
    <w:rsid w:val="00637B3B"/>
    <w:rsid w:val="006404B9"/>
    <w:rsid w:val="00640BA1"/>
    <w:rsid w:val="0064223F"/>
    <w:rsid w:val="00642B07"/>
    <w:rsid w:val="00642F7B"/>
    <w:rsid w:val="006438E5"/>
    <w:rsid w:val="00643FAE"/>
    <w:rsid w:val="00644860"/>
    <w:rsid w:val="00644FEE"/>
    <w:rsid w:val="006456A1"/>
    <w:rsid w:val="00645A7A"/>
    <w:rsid w:val="00645B1E"/>
    <w:rsid w:val="0064652F"/>
    <w:rsid w:val="00647405"/>
    <w:rsid w:val="00647B9A"/>
    <w:rsid w:val="00647F38"/>
    <w:rsid w:val="006510E2"/>
    <w:rsid w:val="0065213C"/>
    <w:rsid w:val="00652BBA"/>
    <w:rsid w:val="00653280"/>
    <w:rsid w:val="006544AC"/>
    <w:rsid w:val="00654B10"/>
    <w:rsid w:val="00655359"/>
    <w:rsid w:val="00656F99"/>
    <w:rsid w:val="00660474"/>
    <w:rsid w:val="0066173B"/>
    <w:rsid w:val="00661ED0"/>
    <w:rsid w:val="00662350"/>
    <w:rsid w:val="006631B4"/>
    <w:rsid w:val="00663874"/>
    <w:rsid w:val="0066402B"/>
    <w:rsid w:val="00665240"/>
    <w:rsid w:val="00665306"/>
    <w:rsid w:val="00665B33"/>
    <w:rsid w:val="006666FD"/>
    <w:rsid w:val="0066691D"/>
    <w:rsid w:val="0067058C"/>
    <w:rsid w:val="00670D76"/>
    <w:rsid w:val="0067209D"/>
    <w:rsid w:val="0067226F"/>
    <w:rsid w:val="00672575"/>
    <w:rsid w:val="00672EC2"/>
    <w:rsid w:val="00673A63"/>
    <w:rsid w:val="00674264"/>
    <w:rsid w:val="00674489"/>
    <w:rsid w:val="00674E47"/>
    <w:rsid w:val="006760DE"/>
    <w:rsid w:val="00676970"/>
    <w:rsid w:val="00677C10"/>
    <w:rsid w:val="00677CFF"/>
    <w:rsid w:val="00677EAF"/>
    <w:rsid w:val="00677F5C"/>
    <w:rsid w:val="00681030"/>
    <w:rsid w:val="00682035"/>
    <w:rsid w:val="0068293E"/>
    <w:rsid w:val="00683BF6"/>
    <w:rsid w:val="00683D85"/>
    <w:rsid w:val="00683D98"/>
    <w:rsid w:val="00684C9D"/>
    <w:rsid w:val="00685922"/>
    <w:rsid w:val="0068626B"/>
    <w:rsid w:val="00686689"/>
    <w:rsid w:val="00686F24"/>
    <w:rsid w:val="006876BC"/>
    <w:rsid w:val="0068772E"/>
    <w:rsid w:val="00691736"/>
    <w:rsid w:val="006927BE"/>
    <w:rsid w:val="00693ED9"/>
    <w:rsid w:val="00696078"/>
    <w:rsid w:val="006965BA"/>
    <w:rsid w:val="00697B89"/>
    <w:rsid w:val="00697FF9"/>
    <w:rsid w:val="006A1394"/>
    <w:rsid w:val="006A1C42"/>
    <w:rsid w:val="006A2441"/>
    <w:rsid w:val="006A317A"/>
    <w:rsid w:val="006A36CF"/>
    <w:rsid w:val="006A3A89"/>
    <w:rsid w:val="006A3F14"/>
    <w:rsid w:val="006A488A"/>
    <w:rsid w:val="006A4F90"/>
    <w:rsid w:val="006A570C"/>
    <w:rsid w:val="006A695A"/>
    <w:rsid w:val="006A6CA4"/>
    <w:rsid w:val="006B09CA"/>
    <w:rsid w:val="006B0B44"/>
    <w:rsid w:val="006B25E2"/>
    <w:rsid w:val="006B43A7"/>
    <w:rsid w:val="006B5D76"/>
    <w:rsid w:val="006B5DC6"/>
    <w:rsid w:val="006B5F69"/>
    <w:rsid w:val="006B6FF3"/>
    <w:rsid w:val="006B7078"/>
    <w:rsid w:val="006B741B"/>
    <w:rsid w:val="006B7B77"/>
    <w:rsid w:val="006B7CBB"/>
    <w:rsid w:val="006C0772"/>
    <w:rsid w:val="006C1569"/>
    <w:rsid w:val="006C2DD4"/>
    <w:rsid w:val="006C35C4"/>
    <w:rsid w:val="006C4568"/>
    <w:rsid w:val="006C51B6"/>
    <w:rsid w:val="006C5749"/>
    <w:rsid w:val="006C57D6"/>
    <w:rsid w:val="006C65A3"/>
    <w:rsid w:val="006C71C7"/>
    <w:rsid w:val="006C77E6"/>
    <w:rsid w:val="006C78B4"/>
    <w:rsid w:val="006D0E2E"/>
    <w:rsid w:val="006D2083"/>
    <w:rsid w:val="006D2380"/>
    <w:rsid w:val="006D2447"/>
    <w:rsid w:val="006D256C"/>
    <w:rsid w:val="006D32E0"/>
    <w:rsid w:val="006D347F"/>
    <w:rsid w:val="006D3BA5"/>
    <w:rsid w:val="006D3FFF"/>
    <w:rsid w:val="006D468D"/>
    <w:rsid w:val="006D4E03"/>
    <w:rsid w:val="006D525B"/>
    <w:rsid w:val="006D55EA"/>
    <w:rsid w:val="006D6669"/>
    <w:rsid w:val="006E05B2"/>
    <w:rsid w:val="006E0E15"/>
    <w:rsid w:val="006E152C"/>
    <w:rsid w:val="006E20C2"/>
    <w:rsid w:val="006E2545"/>
    <w:rsid w:val="006E2B40"/>
    <w:rsid w:val="006E3F6D"/>
    <w:rsid w:val="006E5ED8"/>
    <w:rsid w:val="006E5FF6"/>
    <w:rsid w:val="006E6504"/>
    <w:rsid w:val="006F21D1"/>
    <w:rsid w:val="006F3104"/>
    <w:rsid w:val="006F32C6"/>
    <w:rsid w:val="006F3F05"/>
    <w:rsid w:val="006F65A1"/>
    <w:rsid w:val="006F6A4C"/>
    <w:rsid w:val="006F7138"/>
    <w:rsid w:val="006F7970"/>
    <w:rsid w:val="007007B0"/>
    <w:rsid w:val="00700D05"/>
    <w:rsid w:val="0070121C"/>
    <w:rsid w:val="00701617"/>
    <w:rsid w:val="00702184"/>
    <w:rsid w:val="00703ABE"/>
    <w:rsid w:val="00704A66"/>
    <w:rsid w:val="00704ECC"/>
    <w:rsid w:val="00705830"/>
    <w:rsid w:val="00705F5D"/>
    <w:rsid w:val="00705FE5"/>
    <w:rsid w:val="0070628F"/>
    <w:rsid w:val="00706303"/>
    <w:rsid w:val="007075E5"/>
    <w:rsid w:val="007121D7"/>
    <w:rsid w:val="00713BDE"/>
    <w:rsid w:val="00714376"/>
    <w:rsid w:val="00714382"/>
    <w:rsid w:val="00714DE2"/>
    <w:rsid w:val="0071609D"/>
    <w:rsid w:val="00717C9E"/>
    <w:rsid w:val="007205FF"/>
    <w:rsid w:val="00720966"/>
    <w:rsid w:val="00723AFF"/>
    <w:rsid w:val="0072473F"/>
    <w:rsid w:val="00724D46"/>
    <w:rsid w:val="007255B3"/>
    <w:rsid w:val="00725D0F"/>
    <w:rsid w:val="007268B3"/>
    <w:rsid w:val="007277E5"/>
    <w:rsid w:val="007279C6"/>
    <w:rsid w:val="00730471"/>
    <w:rsid w:val="00730481"/>
    <w:rsid w:val="007305B3"/>
    <w:rsid w:val="007327B7"/>
    <w:rsid w:val="0073286A"/>
    <w:rsid w:val="00733D60"/>
    <w:rsid w:val="00733EE5"/>
    <w:rsid w:val="0073572C"/>
    <w:rsid w:val="00735A60"/>
    <w:rsid w:val="007367E5"/>
    <w:rsid w:val="0073732A"/>
    <w:rsid w:val="00737349"/>
    <w:rsid w:val="007378D7"/>
    <w:rsid w:val="0073790B"/>
    <w:rsid w:val="00737A48"/>
    <w:rsid w:val="00740F4A"/>
    <w:rsid w:val="00741F7E"/>
    <w:rsid w:val="0074257D"/>
    <w:rsid w:val="0074406C"/>
    <w:rsid w:val="00744BF0"/>
    <w:rsid w:val="0074532D"/>
    <w:rsid w:val="0074596B"/>
    <w:rsid w:val="00746C1D"/>
    <w:rsid w:val="00747AE3"/>
    <w:rsid w:val="00747CEC"/>
    <w:rsid w:val="00750763"/>
    <w:rsid w:val="00751413"/>
    <w:rsid w:val="00751E71"/>
    <w:rsid w:val="0075238D"/>
    <w:rsid w:val="0075277B"/>
    <w:rsid w:val="00753EA4"/>
    <w:rsid w:val="00754A72"/>
    <w:rsid w:val="00755148"/>
    <w:rsid w:val="00755375"/>
    <w:rsid w:val="00755A39"/>
    <w:rsid w:val="0075714F"/>
    <w:rsid w:val="007572FA"/>
    <w:rsid w:val="00757F4D"/>
    <w:rsid w:val="007618F1"/>
    <w:rsid w:val="00761D54"/>
    <w:rsid w:val="007623FD"/>
    <w:rsid w:val="007624DE"/>
    <w:rsid w:val="007632FC"/>
    <w:rsid w:val="00763E4C"/>
    <w:rsid w:val="0076405D"/>
    <w:rsid w:val="007654BB"/>
    <w:rsid w:val="00766747"/>
    <w:rsid w:val="007676E3"/>
    <w:rsid w:val="00767D0F"/>
    <w:rsid w:val="0077079C"/>
    <w:rsid w:val="00770E6F"/>
    <w:rsid w:val="007711B8"/>
    <w:rsid w:val="00771F89"/>
    <w:rsid w:val="00772933"/>
    <w:rsid w:val="00772982"/>
    <w:rsid w:val="00772CB1"/>
    <w:rsid w:val="00773479"/>
    <w:rsid w:val="007738BF"/>
    <w:rsid w:val="0077488A"/>
    <w:rsid w:val="00775EEE"/>
    <w:rsid w:val="007760FA"/>
    <w:rsid w:val="00776DA1"/>
    <w:rsid w:val="00776F0C"/>
    <w:rsid w:val="007800D0"/>
    <w:rsid w:val="007803BD"/>
    <w:rsid w:val="00780CC2"/>
    <w:rsid w:val="00781EE1"/>
    <w:rsid w:val="00782354"/>
    <w:rsid w:val="00782678"/>
    <w:rsid w:val="00782B06"/>
    <w:rsid w:val="00782C12"/>
    <w:rsid w:val="00783539"/>
    <w:rsid w:val="00783E26"/>
    <w:rsid w:val="007866B1"/>
    <w:rsid w:val="00787951"/>
    <w:rsid w:val="00787AF0"/>
    <w:rsid w:val="00791BAE"/>
    <w:rsid w:val="0079269C"/>
    <w:rsid w:val="00792ECC"/>
    <w:rsid w:val="00793209"/>
    <w:rsid w:val="00793A9E"/>
    <w:rsid w:val="00793B74"/>
    <w:rsid w:val="00795BB5"/>
    <w:rsid w:val="0079658F"/>
    <w:rsid w:val="00797D35"/>
    <w:rsid w:val="007A0BF6"/>
    <w:rsid w:val="007A0EE3"/>
    <w:rsid w:val="007A0F7D"/>
    <w:rsid w:val="007A128B"/>
    <w:rsid w:val="007A12A3"/>
    <w:rsid w:val="007A1B0F"/>
    <w:rsid w:val="007A24A4"/>
    <w:rsid w:val="007A28AE"/>
    <w:rsid w:val="007A2D19"/>
    <w:rsid w:val="007A3497"/>
    <w:rsid w:val="007A3654"/>
    <w:rsid w:val="007A50E3"/>
    <w:rsid w:val="007A5A45"/>
    <w:rsid w:val="007A6517"/>
    <w:rsid w:val="007A6849"/>
    <w:rsid w:val="007A6976"/>
    <w:rsid w:val="007A69F4"/>
    <w:rsid w:val="007A6C12"/>
    <w:rsid w:val="007A6CE1"/>
    <w:rsid w:val="007A6F8A"/>
    <w:rsid w:val="007A7CE6"/>
    <w:rsid w:val="007B14BB"/>
    <w:rsid w:val="007B1525"/>
    <w:rsid w:val="007B2257"/>
    <w:rsid w:val="007B279D"/>
    <w:rsid w:val="007B43EA"/>
    <w:rsid w:val="007B5DBB"/>
    <w:rsid w:val="007B6632"/>
    <w:rsid w:val="007B6893"/>
    <w:rsid w:val="007B6AB8"/>
    <w:rsid w:val="007B6EAA"/>
    <w:rsid w:val="007C0545"/>
    <w:rsid w:val="007C1699"/>
    <w:rsid w:val="007C23EB"/>
    <w:rsid w:val="007C2526"/>
    <w:rsid w:val="007C29E9"/>
    <w:rsid w:val="007C3A22"/>
    <w:rsid w:val="007C4DA8"/>
    <w:rsid w:val="007C50DE"/>
    <w:rsid w:val="007C54BB"/>
    <w:rsid w:val="007C554B"/>
    <w:rsid w:val="007C5F5C"/>
    <w:rsid w:val="007C7154"/>
    <w:rsid w:val="007C7200"/>
    <w:rsid w:val="007C7C6E"/>
    <w:rsid w:val="007D165B"/>
    <w:rsid w:val="007D2895"/>
    <w:rsid w:val="007D2906"/>
    <w:rsid w:val="007D3D03"/>
    <w:rsid w:val="007D4724"/>
    <w:rsid w:val="007D4BEA"/>
    <w:rsid w:val="007D4C3A"/>
    <w:rsid w:val="007D5DC8"/>
    <w:rsid w:val="007D635A"/>
    <w:rsid w:val="007D6926"/>
    <w:rsid w:val="007D6D43"/>
    <w:rsid w:val="007D7C48"/>
    <w:rsid w:val="007E01B6"/>
    <w:rsid w:val="007E02A8"/>
    <w:rsid w:val="007E0EAE"/>
    <w:rsid w:val="007E13DE"/>
    <w:rsid w:val="007E28F8"/>
    <w:rsid w:val="007E332B"/>
    <w:rsid w:val="007E3FBF"/>
    <w:rsid w:val="007E4EED"/>
    <w:rsid w:val="007E5E72"/>
    <w:rsid w:val="007E6CF2"/>
    <w:rsid w:val="007E6EBA"/>
    <w:rsid w:val="007E6FF7"/>
    <w:rsid w:val="007E777C"/>
    <w:rsid w:val="007E7DDC"/>
    <w:rsid w:val="007E7EFD"/>
    <w:rsid w:val="007F0A47"/>
    <w:rsid w:val="007F0D68"/>
    <w:rsid w:val="007F146A"/>
    <w:rsid w:val="007F1508"/>
    <w:rsid w:val="007F1A4B"/>
    <w:rsid w:val="007F2906"/>
    <w:rsid w:val="007F41E9"/>
    <w:rsid w:val="007F42EB"/>
    <w:rsid w:val="007F4C3B"/>
    <w:rsid w:val="007F538B"/>
    <w:rsid w:val="007F53A3"/>
    <w:rsid w:val="007F675D"/>
    <w:rsid w:val="007F68E3"/>
    <w:rsid w:val="007F781A"/>
    <w:rsid w:val="007F78F9"/>
    <w:rsid w:val="008006D4"/>
    <w:rsid w:val="00801528"/>
    <w:rsid w:val="008030B8"/>
    <w:rsid w:val="00803D77"/>
    <w:rsid w:val="00803FD8"/>
    <w:rsid w:val="00804276"/>
    <w:rsid w:val="00804689"/>
    <w:rsid w:val="00806779"/>
    <w:rsid w:val="00807AFF"/>
    <w:rsid w:val="00807BEA"/>
    <w:rsid w:val="008109F9"/>
    <w:rsid w:val="00810C97"/>
    <w:rsid w:val="00810D4B"/>
    <w:rsid w:val="00811298"/>
    <w:rsid w:val="00811C04"/>
    <w:rsid w:val="00814994"/>
    <w:rsid w:val="00816376"/>
    <w:rsid w:val="00816912"/>
    <w:rsid w:val="0082048F"/>
    <w:rsid w:val="008205D9"/>
    <w:rsid w:val="00820866"/>
    <w:rsid w:val="0082121F"/>
    <w:rsid w:val="00822677"/>
    <w:rsid w:val="008237A6"/>
    <w:rsid w:val="00823EDF"/>
    <w:rsid w:val="00824B3D"/>
    <w:rsid w:val="008264C2"/>
    <w:rsid w:val="00826A43"/>
    <w:rsid w:val="00826D83"/>
    <w:rsid w:val="008276B7"/>
    <w:rsid w:val="008302BE"/>
    <w:rsid w:val="00831A88"/>
    <w:rsid w:val="00831AA7"/>
    <w:rsid w:val="00831B47"/>
    <w:rsid w:val="00832450"/>
    <w:rsid w:val="00832753"/>
    <w:rsid w:val="00832D74"/>
    <w:rsid w:val="00833B5E"/>
    <w:rsid w:val="00834656"/>
    <w:rsid w:val="00834BA4"/>
    <w:rsid w:val="008351C7"/>
    <w:rsid w:val="00836421"/>
    <w:rsid w:val="00836CE7"/>
    <w:rsid w:val="00837384"/>
    <w:rsid w:val="0084139A"/>
    <w:rsid w:val="00841430"/>
    <w:rsid w:val="00841459"/>
    <w:rsid w:val="008421A4"/>
    <w:rsid w:val="00843009"/>
    <w:rsid w:val="00844377"/>
    <w:rsid w:val="0084438A"/>
    <w:rsid w:val="00845005"/>
    <w:rsid w:val="00845A1C"/>
    <w:rsid w:val="008468BB"/>
    <w:rsid w:val="008473A0"/>
    <w:rsid w:val="00851126"/>
    <w:rsid w:val="00853AFA"/>
    <w:rsid w:val="00853DB8"/>
    <w:rsid w:val="00854DFE"/>
    <w:rsid w:val="0085590C"/>
    <w:rsid w:val="00856C3B"/>
    <w:rsid w:val="00856FEE"/>
    <w:rsid w:val="00857C40"/>
    <w:rsid w:val="00860459"/>
    <w:rsid w:val="00860FF0"/>
    <w:rsid w:val="00861202"/>
    <w:rsid w:val="008618F1"/>
    <w:rsid w:val="00861DFB"/>
    <w:rsid w:val="008621A5"/>
    <w:rsid w:val="00863F77"/>
    <w:rsid w:val="00864068"/>
    <w:rsid w:val="00864414"/>
    <w:rsid w:val="00865345"/>
    <w:rsid w:val="0086639F"/>
    <w:rsid w:val="00866E7C"/>
    <w:rsid w:val="008671ED"/>
    <w:rsid w:val="008672D6"/>
    <w:rsid w:val="00867AA0"/>
    <w:rsid w:val="00867BC9"/>
    <w:rsid w:val="008742F4"/>
    <w:rsid w:val="0087494F"/>
    <w:rsid w:val="008750C8"/>
    <w:rsid w:val="00875682"/>
    <w:rsid w:val="008758C3"/>
    <w:rsid w:val="00876D09"/>
    <w:rsid w:val="0087729F"/>
    <w:rsid w:val="0087733D"/>
    <w:rsid w:val="008814B4"/>
    <w:rsid w:val="00882755"/>
    <w:rsid w:val="00882DEF"/>
    <w:rsid w:val="00884593"/>
    <w:rsid w:val="00884A4F"/>
    <w:rsid w:val="008860F0"/>
    <w:rsid w:val="0088688C"/>
    <w:rsid w:val="00886EE9"/>
    <w:rsid w:val="008878D4"/>
    <w:rsid w:val="00887911"/>
    <w:rsid w:val="00887D96"/>
    <w:rsid w:val="00892603"/>
    <w:rsid w:val="0089283A"/>
    <w:rsid w:val="00894F7D"/>
    <w:rsid w:val="00896DAC"/>
    <w:rsid w:val="008971FB"/>
    <w:rsid w:val="008A03DD"/>
    <w:rsid w:val="008A1DC0"/>
    <w:rsid w:val="008A21B7"/>
    <w:rsid w:val="008A260D"/>
    <w:rsid w:val="008A2A10"/>
    <w:rsid w:val="008A466E"/>
    <w:rsid w:val="008A50F8"/>
    <w:rsid w:val="008A5272"/>
    <w:rsid w:val="008A5952"/>
    <w:rsid w:val="008A5E49"/>
    <w:rsid w:val="008A7FC4"/>
    <w:rsid w:val="008B05EF"/>
    <w:rsid w:val="008B0E1A"/>
    <w:rsid w:val="008B23D9"/>
    <w:rsid w:val="008B2AA3"/>
    <w:rsid w:val="008B42C4"/>
    <w:rsid w:val="008B61EF"/>
    <w:rsid w:val="008C03E9"/>
    <w:rsid w:val="008C0604"/>
    <w:rsid w:val="008C083C"/>
    <w:rsid w:val="008C2CC1"/>
    <w:rsid w:val="008C2EC1"/>
    <w:rsid w:val="008C37EA"/>
    <w:rsid w:val="008C410D"/>
    <w:rsid w:val="008C5156"/>
    <w:rsid w:val="008C54F0"/>
    <w:rsid w:val="008C7816"/>
    <w:rsid w:val="008D00C1"/>
    <w:rsid w:val="008D01C1"/>
    <w:rsid w:val="008D09E1"/>
    <w:rsid w:val="008D0C1A"/>
    <w:rsid w:val="008D104F"/>
    <w:rsid w:val="008D1B21"/>
    <w:rsid w:val="008D1E6F"/>
    <w:rsid w:val="008D2872"/>
    <w:rsid w:val="008D2B08"/>
    <w:rsid w:val="008D3228"/>
    <w:rsid w:val="008D3F7B"/>
    <w:rsid w:val="008D485E"/>
    <w:rsid w:val="008D493A"/>
    <w:rsid w:val="008D6913"/>
    <w:rsid w:val="008D7F7D"/>
    <w:rsid w:val="008E0203"/>
    <w:rsid w:val="008E1BB5"/>
    <w:rsid w:val="008E1D76"/>
    <w:rsid w:val="008E39AC"/>
    <w:rsid w:val="008E3ABD"/>
    <w:rsid w:val="008E449E"/>
    <w:rsid w:val="008E47B0"/>
    <w:rsid w:val="008E4E36"/>
    <w:rsid w:val="008E61AA"/>
    <w:rsid w:val="008E67D3"/>
    <w:rsid w:val="008E6D18"/>
    <w:rsid w:val="008E728D"/>
    <w:rsid w:val="008E7CBE"/>
    <w:rsid w:val="008F146A"/>
    <w:rsid w:val="008F1EF1"/>
    <w:rsid w:val="008F21DB"/>
    <w:rsid w:val="008F241F"/>
    <w:rsid w:val="008F4BC8"/>
    <w:rsid w:val="008F507C"/>
    <w:rsid w:val="008F5082"/>
    <w:rsid w:val="008F531E"/>
    <w:rsid w:val="008F6A02"/>
    <w:rsid w:val="008F6C7D"/>
    <w:rsid w:val="008F7738"/>
    <w:rsid w:val="008F7B83"/>
    <w:rsid w:val="00901917"/>
    <w:rsid w:val="00901E70"/>
    <w:rsid w:val="009020A9"/>
    <w:rsid w:val="0090250A"/>
    <w:rsid w:val="009037C2"/>
    <w:rsid w:val="00904389"/>
    <w:rsid w:val="00904686"/>
    <w:rsid w:val="00904C80"/>
    <w:rsid w:val="0090502F"/>
    <w:rsid w:val="009055AE"/>
    <w:rsid w:val="00906D99"/>
    <w:rsid w:val="00907306"/>
    <w:rsid w:val="009079B0"/>
    <w:rsid w:val="00907C92"/>
    <w:rsid w:val="00912979"/>
    <w:rsid w:val="009144BB"/>
    <w:rsid w:val="00914809"/>
    <w:rsid w:val="00914D7F"/>
    <w:rsid w:val="00915406"/>
    <w:rsid w:val="0091779A"/>
    <w:rsid w:val="009202DA"/>
    <w:rsid w:val="0092144C"/>
    <w:rsid w:val="009221C4"/>
    <w:rsid w:val="009221CA"/>
    <w:rsid w:val="0092327D"/>
    <w:rsid w:val="00923675"/>
    <w:rsid w:val="00923712"/>
    <w:rsid w:val="00924023"/>
    <w:rsid w:val="009240AA"/>
    <w:rsid w:val="009243B9"/>
    <w:rsid w:val="0092596A"/>
    <w:rsid w:val="0092629B"/>
    <w:rsid w:val="009262E4"/>
    <w:rsid w:val="00926344"/>
    <w:rsid w:val="009272F5"/>
    <w:rsid w:val="00931884"/>
    <w:rsid w:val="00931BA5"/>
    <w:rsid w:val="00932679"/>
    <w:rsid w:val="00932960"/>
    <w:rsid w:val="00932A7F"/>
    <w:rsid w:val="00932E5B"/>
    <w:rsid w:val="0093418C"/>
    <w:rsid w:val="0093431A"/>
    <w:rsid w:val="00934695"/>
    <w:rsid w:val="00934D55"/>
    <w:rsid w:val="0093516D"/>
    <w:rsid w:val="0093565D"/>
    <w:rsid w:val="00935C71"/>
    <w:rsid w:val="00936B4D"/>
    <w:rsid w:val="00940B4F"/>
    <w:rsid w:val="009426E3"/>
    <w:rsid w:val="00943398"/>
    <w:rsid w:val="00944CB3"/>
    <w:rsid w:val="0094565F"/>
    <w:rsid w:val="009473E2"/>
    <w:rsid w:val="00947654"/>
    <w:rsid w:val="00947DB6"/>
    <w:rsid w:val="00947FDD"/>
    <w:rsid w:val="009507E6"/>
    <w:rsid w:val="0095140D"/>
    <w:rsid w:val="00951877"/>
    <w:rsid w:val="0095215C"/>
    <w:rsid w:val="0095221B"/>
    <w:rsid w:val="00952E9D"/>
    <w:rsid w:val="00952F2C"/>
    <w:rsid w:val="009533CE"/>
    <w:rsid w:val="00954989"/>
    <w:rsid w:val="00955000"/>
    <w:rsid w:val="0095627B"/>
    <w:rsid w:val="009566A4"/>
    <w:rsid w:val="009567CD"/>
    <w:rsid w:val="009576ED"/>
    <w:rsid w:val="00957C5E"/>
    <w:rsid w:val="00960171"/>
    <w:rsid w:val="0096106C"/>
    <w:rsid w:val="00961133"/>
    <w:rsid w:val="00961F19"/>
    <w:rsid w:val="00963963"/>
    <w:rsid w:val="00963AF2"/>
    <w:rsid w:val="00963F27"/>
    <w:rsid w:val="00964A44"/>
    <w:rsid w:val="00965261"/>
    <w:rsid w:val="00965A8D"/>
    <w:rsid w:val="00966E0C"/>
    <w:rsid w:val="0096747A"/>
    <w:rsid w:val="00967485"/>
    <w:rsid w:val="00967E02"/>
    <w:rsid w:val="009704D2"/>
    <w:rsid w:val="00970793"/>
    <w:rsid w:val="00971E04"/>
    <w:rsid w:val="0097403C"/>
    <w:rsid w:val="009743F6"/>
    <w:rsid w:val="009753C2"/>
    <w:rsid w:val="0097677C"/>
    <w:rsid w:val="00976F47"/>
    <w:rsid w:val="0097710F"/>
    <w:rsid w:val="0097794E"/>
    <w:rsid w:val="00977A2D"/>
    <w:rsid w:val="009816FC"/>
    <w:rsid w:val="009835CB"/>
    <w:rsid w:val="009846C8"/>
    <w:rsid w:val="00985D95"/>
    <w:rsid w:val="00986439"/>
    <w:rsid w:val="00986D92"/>
    <w:rsid w:val="00986EFA"/>
    <w:rsid w:val="009872FF"/>
    <w:rsid w:val="00987375"/>
    <w:rsid w:val="00987957"/>
    <w:rsid w:val="009879FC"/>
    <w:rsid w:val="00987A81"/>
    <w:rsid w:val="00990093"/>
    <w:rsid w:val="00992578"/>
    <w:rsid w:val="00992AB0"/>
    <w:rsid w:val="00992DC9"/>
    <w:rsid w:val="00992EDB"/>
    <w:rsid w:val="00995A7B"/>
    <w:rsid w:val="00995D67"/>
    <w:rsid w:val="00996634"/>
    <w:rsid w:val="00996B2B"/>
    <w:rsid w:val="00996DA7"/>
    <w:rsid w:val="00997F9F"/>
    <w:rsid w:val="009A1FE0"/>
    <w:rsid w:val="009A2F3C"/>
    <w:rsid w:val="009A3B82"/>
    <w:rsid w:val="009A42B0"/>
    <w:rsid w:val="009A48EA"/>
    <w:rsid w:val="009A7483"/>
    <w:rsid w:val="009A7E44"/>
    <w:rsid w:val="009B10D6"/>
    <w:rsid w:val="009B1DA2"/>
    <w:rsid w:val="009B35DD"/>
    <w:rsid w:val="009B3890"/>
    <w:rsid w:val="009B3A58"/>
    <w:rsid w:val="009B3D32"/>
    <w:rsid w:val="009B3DF4"/>
    <w:rsid w:val="009B3F29"/>
    <w:rsid w:val="009B5674"/>
    <w:rsid w:val="009B580D"/>
    <w:rsid w:val="009B6531"/>
    <w:rsid w:val="009B67E5"/>
    <w:rsid w:val="009C027C"/>
    <w:rsid w:val="009C065A"/>
    <w:rsid w:val="009C1A45"/>
    <w:rsid w:val="009C1A6C"/>
    <w:rsid w:val="009C1B82"/>
    <w:rsid w:val="009C1FC2"/>
    <w:rsid w:val="009C2067"/>
    <w:rsid w:val="009C299B"/>
    <w:rsid w:val="009C2A4F"/>
    <w:rsid w:val="009C57D4"/>
    <w:rsid w:val="009C6E64"/>
    <w:rsid w:val="009C7131"/>
    <w:rsid w:val="009C71C4"/>
    <w:rsid w:val="009C7C17"/>
    <w:rsid w:val="009C7F3E"/>
    <w:rsid w:val="009D039D"/>
    <w:rsid w:val="009D04FA"/>
    <w:rsid w:val="009D06F1"/>
    <w:rsid w:val="009D43C5"/>
    <w:rsid w:val="009D4C0F"/>
    <w:rsid w:val="009D5D2F"/>
    <w:rsid w:val="009D6429"/>
    <w:rsid w:val="009D6F11"/>
    <w:rsid w:val="009E0289"/>
    <w:rsid w:val="009E07B8"/>
    <w:rsid w:val="009E0F63"/>
    <w:rsid w:val="009E15EB"/>
    <w:rsid w:val="009E1C8E"/>
    <w:rsid w:val="009E223C"/>
    <w:rsid w:val="009E29F2"/>
    <w:rsid w:val="009E338D"/>
    <w:rsid w:val="009E378F"/>
    <w:rsid w:val="009E3A2F"/>
    <w:rsid w:val="009E4025"/>
    <w:rsid w:val="009E45D9"/>
    <w:rsid w:val="009E6757"/>
    <w:rsid w:val="009E6893"/>
    <w:rsid w:val="009E6AAE"/>
    <w:rsid w:val="009E765C"/>
    <w:rsid w:val="009E7FD7"/>
    <w:rsid w:val="009F0694"/>
    <w:rsid w:val="009F0C30"/>
    <w:rsid w:val="009F1C2B"/>
    <w:rsid w:val="009F1D3F"/>
    <w:rsid w:val="009F1F17"/>
    <w:rsid w:val="009F2255"/>
    <w:rsid w:val="009F2B92"/>
    <w:rsid w:val="009F30C8"/>
    <w:rsid w:val="009F44D9"/>
    <w:rsid w:val="009F45F9"/>
    <w:rsid w:val="009F50BE"/>
    <w:rsid w:val="009F59CB"/>
    <w:rsid w:val="009F61A5"/>
    <w:rsid w:val="009F7B13"/>
    <w:rsid w:val="00A00B1E"/>
    <w:rsid w:val="00A01F36"/>
    <w:rsid w:val="00A02168"/>
    <w:rsid w:val="00A02658"/>
    <w:rsid w:val="00A02C95"/>
    <w:rsid w:val="00A030D7"/>
    <w:rsid w:val="00A03C11"/>
    <w:rsid w:val="00A03ED3"/>
    <w:rsid w:val="00A03F6A"/>
    <w:rsid w:val="00A041E9"/>
    <w:rsid w:val="00A044AE"/>
    <w:rsid w:val="00A04595"/>
    <w:rsid w:val="00A0531C"/>
    <w:rsid w:val="00A06AF0"/>
    <w:rsid w:val="00A07F1D"/>
    <w:rsid w:val="00A11563"/>
    <w:rsid w:val="00A12107"/>
    <w:rsid w:val="00A137E2"/>
    <w:rsid w:val="00A13FDD"/>
    <w:rsid w:val="00A1557E"/>
    <w:rsid w:val="00A162A6"/>
    <w:rsid w:val="00A17A8B"/>
    <w:rsid w:val="00A17FA3"/>
    <w:rsid w:val="00A20292"/>
    <w:rsid w:val="00A20625"/>
    <w:rsid w:val="00A20B65"/>
    <w:rsid w:val="00A20E4E"/>
    <w:rsid w:val="00A20F49"/>
    <w:rsid w:val="00A21960"/>
    <w:rsid w:val="00A2378E"/>
    <w:rsid w:val="00A24187"/>
    <w:rsid w:val="00A24633"/>
    <w:rsid w:val="00A24A4B"/>
    <w:rsid w:val="00A25AC7"/>
    <w:rsid w:val="00A27760"/>
    <w:rsid w:val="00A27D13"/>
    <w:rsid w:val="00A30B87"/>
    <w:rsid w:val="00A30BE0"/>
    <w:rsid w:val="00A30F95"/>
    <w:rsid w:val="00A31038"/>
    <w:rsid w:val="00A31120"/>
    <w:rsid w:val="00A31BF6"/>
    <w:rsid w:val="00A31C39"/>
    <w:rsid w:val="00A321C7"/>
    <w:rsid w:val="00A325EC"/>
    <w:rsid w:val="00A3271D"/>
    <w:rsid w:val="00A35415"/>
    <w:rsid w:val="00A369EC"/>
    <w:rsid w:val="00A36BB0"/>
    <w:rsid w:val="00A40924"/>
    <w:rsid w:val="00A41457"/>
    <w:rsid w:val="00A41FDF"/>
    <w:rsid w:val="00A4219A"/>
    <w:rsid w:val="00A42BBC"/>
    <w:rsid w:val="00A42F99"/>
    <w:rsid w:val="00A42FE5"/>
    <w:rsid w:val="00A442C3"/>
    <w:rsid w:val="00A44C71"/>
    <w:rsid w:val="00A453A9"/>
    <w:rsid w:val="00A45FC4"/>
    <w:rsid w:val="00A46AF9"/>
    <w:rsid w:val="00A510EF"/>
    <w:rsid w:val="00A522B4"/>
    <w:rsid w:val="00A52ECD"/>
    <w:rsid w:val="00A54118"/>
    <w:rsid w:val="00A542DE"/>
    <w:rsid w:val="00A54B32"/>
    <w:rsid w:val="00A54CFA"/>
    <w:rsid w:val="00A54E58"/>
    <w:rsid w:val="00A6000D"/>
    <w:rsid w:val="00A60AC4"/>
    <w:rsid w:val="00A60D9F"/>
    <w:rsid w:val="00A61303"/>
    <w:rsid w:val="00A6223E"/>
    <w:rsid w:val="00A6231B"/>
    <w:rsid w:val="00A63E46"/>
    <w:rsid w:val="00A64470"/>
    <w:rsid w:val="00A646F1"/>
    <w:rsid w:val="00A647B3"/>
    <w:rsid w:val="00A65109"/>
    <w:rsid w:val="00A665C4"/>
    <w:rsid w:val="00A676D1"/>
    <w:rsid w:val="00A701A3"/>
    <w:rsid w:val="00A70AB7"/>
    <w:rsid w:val="00A71476"/>
    <w:rsid w:val="00A72F63"/>
    <w:rsid w:val="00A730CD"/>
    <w:rsid w:val="00A74C25"/>
    <w:rsid w:val="00A75700"/>
    <w:rsid w:val="00A75D10"/>
    <w:rsid w:val="00A76583"/>
    <w:rsid w:val="00A7668C"/>
    <w:rsid w:val="00A801E9"/>
    <w:rsid w:val="00A80E24"/>
    <w:rsid w:val="00A813E8"/>
    <w:rsid w:val="00A81A03"/>
    <w:rsid w:val="00A83D3C"/>
    <w:rsid w:val="00A8494A"/>
    <w:rsid w:val="00A84C2D"/>
    <w:rsid w:val="00A852D8"/>
    <w:rsid w:val="00A85563"/>
    <w:rsid w:val="00A864E6"/>
    <w:rsid w:val="00A86556"/>
    <w:rsid w:val="00A86654"/>
    <w:rsid w:val="00A8722E"/>
    <w:rsid w:val="00A8754F"/>
    <w:rsid w:val="00A87AB4"/>
    <w:rsid w:val="00A87B06"/>
    <w:rsid w:val="00A90080"/>
    <w:rsid w:val="00A95309"/>
    <w:rsid w:val="00A96FF4"/>
    <w:rsid w:val="00A97D96"/>
    <w:rsid w:val="00A97F69"/>
    <w:rsid w:val="00AA13C2"/>
    <w:rsid w:val="00AA13F2"/>
    <w:rsid w:val="00AA1789"/>
    <w:rsid w:val="00AA363D"/>
    <w:rsid w:val="00AA462B"/>
    <w:rsid w:val="00AA4A28"/>
    <w:rsid w:val="00AA4B38"/>
    <w:rsid w:val="00AA51C5"/>
    <w:rsid w:val="00AA51DB"/>
    <w:rsid w:val="00AB0CE2"/>
    <w:rsid w:val="00AB10B2"/>
    <w:rsid w:val="00AB10FE"/>
    <w:rsid w:val="00AB2137"/>
    <w:rsid w:val="00AB2DF6"/>
    <w:rsid w:val="00AB3F08"/>
    <w:rsid w:val="00AB47DF"/>
    <w:rsid w:val="00AB55DD"/>
    <w:rsid w:val="00AB5ABD"/>
    <w:rsid w:val="00AB6DB0"/>
    <w:rsid w:val="00AB74A1"/>
    <w:rsid w:val="00AC033F"/>
    <w:rsid w:val="00AC157B"/>
    <w:rsid w:val="00AC1F97"/>
    <w:rsid w:val="00AC2575"/>
    <w:rsid w:val="00AC2F70"/>
    <w:rsid w:val="00AC3A1A"/>
    <w:rsid w:val="00AC44C4"/>
    <w:rsid w:val="00AC60C1"/>
    <w:rsid w:val="00AC6270"/>
    <w:rsid w:val="00AC6362"/>
    <w:rsid w:val="00AC63D1"/>
    <w:rsid w:val="00AC6B48"/>
    <w:rsid w:val="00AC6D5B"/>
    <w:rsid w:val="00AC7A72"/>
    <w:rsid w:val="00AD03BB"/>
    <w:rsid w:val="00AD1ECB"/>
    <w:rsid w:val="00AD30BF"/>
    <w:rsid w:val="00AD3C4D"/>
    <w:rsid w:val="00AD46AA"/>
    <w:rsid w:val="00AD5C1E"/>
    <w:rsid w:val="00AD64E2"/>
    <w:rsid w:val="00AD6D7E"/>
    <w:rsid w:val="00AE000B"/>
    <w:rsid w:val="00AE061C"/>
    <w:rsid w:val="00AE1888"/>
    <w:rsid w:val="00AE18CE"/>
    <w:rsid w:val="00AE1ADB"/>
    <w:rsid w:val="00AE312E"/>
    <w:rsid w:val="00AE601A"/>
    <w:rsid w:val="00AE7081"/>
    <w:rsid w:val="00AE79D4"/>
    <w:rsid w:val="00AF02C7"/>
    <w:rsid w:val="00AF0F59"/>
    <w:rsid w:val="00AF3B40"/>
    <w:rsid w:val="00AF40D0"/>
    <w:rsid w:val="00AF4ED7"/>
    <w:rsid w:val="00AF5995"/>
    <w:rsid w:val="00AF759A"/>
    <w:rsid w:val="00AF7D7C"/>
    <w:rsid w:val="00B006FA"/>
    <w:rsid w:val="00B02340"/>
    <w:rsid w:val="00B02BC2"/>
    <w:rsid w:val="00B02C26"/>
    <w:rsid w:val="00B0355A"/>
    <w:rsid w:val="00B04BA1"/>
    <w:rsid w:val="00B07317"/>
    <w:rsid w:val="00B07643"/>
    <w:rsid w:val="00B07CFC"/>
    <w:rsid w:val="00B112F1"/>
    <w:rsid w:val="00B12240"/>
    <w:rsid w:val="00B1235F"/>
    <w:rsid w:val="00B12B64"/>
    <w:rsid w:val="00B13DEF"/>
    <w:rsid w:val="00B1406C"/>
    <w:rsid w:val="00B1417B"/>
    <w:rsid w:val="00B1448B"/>
    <w:rsid w:val="00B145DE"/>
    <w:rsid w:val="00B147F9"/>
    <w:rsid w:val="00B1567F"/>
    <w:rsid w:val="00B15EB6"/>
    <w:rsid w:val="00B161AA"/>
    <w:rsid w:val="00B16476"/>
    <w:rsid w:val="00B166E2"/>
    <w:rsid w:val="00B1690E"/>
    <w:rsid w:val="00B17780"/>
    <w:rsid w:val="00B17EF4"/>
    <w:rsid w:val="00B2039A"/>
    <w:rsid w:val="00B205AD"/>
    <w:rsid w:val="00B210C9"/>
    <w:rsid w:val="00B21784"/>
    <w:rsid w:val="00B22671"/>
    <w:rsid w:val="00B22E80"/>
    <w:rsid w:val="00B23219"/>
    <w:rsid w:val="00B23316"/>
    <w:rsid w:val="00B23D04"/>
    <w:rsid w:val="00B23EA2"/>
    <w:rsid w:val="00B24A54"/>
    <w:rsid w:val="00B24C5E"/>
    <w:rsid w:val="00B266F4"/>
    <w:rsid w:val="00B27D15"/>
    <w:rsid w:val="00B300D9"/>
    <w:rsid w:val="00B30265"/>
    <w:rsid w:val="00B30654"/>
    <w:rsid w:val="00B30E4B"/>
    <w:rsid w:val="00B32075"/>
    <w:rsid w:val="00B32BBC"/>
    <w:rsid w:val="00B34288"/>
    <w:rsid w:val="00B34BA1"/>
    <w:rsid w:val="00B3667F"/>
    <w:rsid w:val="00B373AA"/>
    <w:rsid w:val="00B3788D"/>
    <w:rsid w:val="00B42384"/>
    <w:rsid w:val="00B423FA"/>
    <w:rsid w:val="00B45181"/>
    <w:rsid w:val="00B457B6"/>
    <w:rsid w:val="00B45F52"/>
    <w:rsid w:val="00B47134"/>
    <w:rsid w:val="00B47BB9"/>
    <w:rsid w:val="00B50270"/>
    <w:rsid w:val="00B50404"/>
    <w:rsid w:val="00B516E3"/>
    <w:rsid w:val="00B51F9B"/>
    <w:rsid w:val="00B52A06"/>
    <w:rsid w:val="00B54A16"/>
    <w:rsid w:val="00B55A62"/>
    <w:rsid w:val="00B57D67"/>
    <w:rsid w:val="00B60B5F"/>
    <w:rsid w:val="00B61C1D"/>
    <w:rsid w:val="00B62B60"/>
    <w:rsid w:val="00B62D69"/>
    <w:rsid w:val="00B6323C"/>
    <w:rsid w:val="00B64B11"/>
    <w:rsid w:val="00B656C3"/>
    <w:rsid w:val="00B65C4E"/>
    <w:rsid w:val="00B65E3F"/>
    <w:rsid w:val="00B66205"/>
    <w:rsid w:val="00B67049"/>
    <w:rsid w:val="00B67354"/>
    <w:rsid w:val="00B71D72"/>
    <w:rsid w:val="00B7360A"/>
    <w:rsid w:val="00B75326"/>
    <w:rsid w:val="00B75D58"/>
    <w:rsid w:val="00B76492"/>
    <w:rsid w:val="00B76D4F"/>
    <w:rsid w:val="00B774BD"/>
    <w:rsid w:val="00B77CA4"/>
    <w:rsid w:val="00B82C05"/>
    <w:rsid w:val="00B8603D"/>
    <w:rsid w:val="00B867A9"/>
    <w:rsid w:val="00B91267"/>
    <w:rsid w:val="00B9218C"/>
    <w:rsid w:val="00B92D4E"/>
    <w:rsid w:val="00B92E69"/>
    <w:rsid w:val="00B92F74"/>
    <w:rsid w:val="00B93103"/>
    <w:rsid w:val="00B9515C"/>
    <w:rsid w:val="00B95BEE"/>
    <w:rsid w:val="00B96334"/>
    <w:rsid w:val="00B96EA6"/>
    <w:rsid w:val="00B97013"/>
    <w:rsid w:val="00B97475"/>
    <w:rsid w:val="00BA1250"/>
    <w:rsid w:val="00BA13E5"/>
    <w:rsid w:val="00BA14A2"/>
    <w:rsid w:val="00BA24C3"/>
    <w:rsid w:val="00BA3EDB"/>
    <w:rsid w:val="00BA4D13"/>
    <w:rsid w:val="00BA59BB"/>
    <w:rsid w:val="00BA5D44"/>
    <w:rsid w:val="00BA7622"/>
    <w:rsid w:val="00BA7EB8"/>
    <w:rsid w:val="00BB0CD8"/>
    <w:rsid w:val="00BB10AE"/>
    <w:rsid w:val="00BB1B4E"/>
    <w:rsid w:val="00BB2988"/>
    <w:rsid w:val="00BB3AC0"/>
    <w:rsid w:val="00BB3F4E"/>
    <w:rsid w:val="00BB6F88"/>
    <w:rsid w:val="00BC0074"/>
    <w:rsid w:val="00BC0E19"/>
    <w:rsid w:val="00BC0E94"/>
    <w:rsid w:val="00BC168D"/>
    <w:rsid w:val="00BC19AC"/>
    <w:rsid w:val="00BC2229"/>
    <w:rsid w:val="00BC2937"/>
    <w:rsid w:val="00BC4412"/>
    <w:rsid w:val="00BC46C3"/>
    <w:rsid w:val="00BC4967"/>
    <w:rsid w:val="00BC58AE"/>
    <w:rsid w:val="00BC6FE2"/>
    <w:rsid w:val="00BD28A9"/>
    <w:rsid w:val="00BD2969"/>
    <w:rsid w:val="00BD2ACF"/>
    <w:rsid w:val="00BD2ED9"/>
    <w:rsid w:val="00BD36C0"/>
    <w:rsid w:val="00BD3ACC"/>
    <w:rsid w:val="00BD5205"/>
    <w:rsid w:val="00BD6CFE"/>
    <w:rsid w:val="00BD6E54"/>
    <w:rsid w:val="00BD752E"/>
    <w:rsid w:val="00BD791A"/>
    <w:rsid w:val="00BE03FA"/>
    <w:rsid w:val="00BE30EC"/>
    <w:rsid w:val="00BE364E"/>
    <w:rsid w:val="00BE4056"/>
    <w:rsid w:val="00BE62A9"/>
    <w:rsid w:val="00BE79DE"/>
    <w:rsid w:val="00BF0530"/>
    <w:rsid w:val="00BF1707"/>
    <w:rsid w:val="00BF1B7F"/>
    <w:rsid w:val="00BF2163"/>
    <w:rsid w:val="00BF23A6"/>
    <w:rsid w:val="00BF360D"/>
    <w:rsid w:val="00BF3F3A"/>
    <w:rsid w:val="00BF4532"/>
    <w:rsid w:val="00BF494B"/>
    <w:rsid w:val="00BF5E4D"/>
    <w:rsid w:val="00BF71D2"/>
    <w:rsid w:val="00BF7540"/>
    <w:rsid w:val="00BF7E98"/>
    <w:rsid w:val="00C01479"/>
    <w:rsid w:val="00C021F6"/>
    <w:rsid w:val="00C0237E"/>
    <w:rsid w:val="00C031DB"/>
    <w:rsid w:val="00C04468"/>
    <w:rsid w:val="00C0591E"/>
    <w:rsid w:val="00C0641F"/>
    <w:rsid w:val="00C06CCE"/>
    <w:rsid w:val="00C070C7"/>
    <w:rsid w:val="00C072B6"/>
    <w:rsid w:val="00C10E9D"/>
    <w:rsid w:val="00C13398"/>
    <w:rsid w:val="00C139F5"/>
    <w:rsid w:val="00C13BCE"/>
    <w:rsid w:val="00C14005"/>
    <w:rsid w:val="00C14ADD"/>
    <w:rsid w:val="00C15C13"/>
    <w:rsid w:val="00C167FF"/>
    <w:rsid w:val="00C168DD"/>
    <w:rsid w:val="00C16F0E"/>
    <w:rsid w:val="00C17F95"/>
    <w:rsid w:val="00C2026A"/>
    <w:rsid w:val="00C20811"/>
    <w:rsid w:val="00C20E27"/>
    <w:rsid w:val="00C20EFE"/>
    <w:rsid w:val="00C218D0"/>
    <w:rsid w:val="00C2244B"/>
    <w:rsid w:val="00C22A55"/>
    <w:rsid w:val="00C2347D"/>
    <w:rsid w:val="00C242DB"/>
    <w:rsid w:val="00C244F7"/>
    <w:rsid w:val="00C244FD"/>
    <w:rsid w:val="00C248BE"/>
    <w:rsid w:val="00C25B69"/>
    <w:rsid w:val="00C26543"/>
    <w:rsid w:val="00C26DEF"/>
    <w:rsid w:val="00C27FF3"/>
    <w:rsid w:val="00C3069E"/>
    <w:rsid w:val="00C31B48"/>
    <w:rsid w:val="00C359B1"/>
    <w:rsid w:val="00C367A7"/>
    <w:rsid w:val="00C36E38"/>
    <w:rsid w:val="00C3714F"/>
    <w:rsid w:val="00C404D6"/>
    <w:rsid w:val="00C40C23"/>
    <w:rsid w:val="00C4157D"/>
    <w:rsid w:val="00C41AC5"/>
    <w:rsid w:val="00C42FC2"/>
    <w:rsid w:val="00C4459F"/>
    <w:rsid w:val="00C44A4B"/>
    <w:rsid w:val="00C44D58"/>
    <w:rsid w:val="00C45617"/>
    <w:rsid w:val="00C45C10"/>
    <w:rsid w:val="00C512FD"/>
    <w:rsid w:val="00C52D93"/>
    <w:rsid w:val="00C536CC"/>
    <w:rsid w:val="00C5477C"/>
    <w:rsid w:val="00C54AA8"/>
    <w:rsid w:val="00C55F7D"/>
    <w:rsid w:val="00C57A0E"/>
    <w:rsid w:val="00C57A10"/>
    <w:rsid w:val="00C57F26"/>
    <w:rsid w:val="00C61063"/>
    <w:rsid w:val="00C612DA"/>
    <w:rsid w:val="00C626F2"/>
    <w:rsid w:val="00C633B8"/>
    <w:rsid w:val="00C63D0D"/>
    <w:rsid w:val="00C641B3"/>
    <w:rsid w:val="00C6483E"/>
    <w:rsid w:val="00C6624C"/>
    <w:rsid w:val="00C66965"/>
    <w:rsid w:val="00C66A49"/>
    <w:rsid w:val="00C66FBB"/>
    <w:rsid w:val="00C67D4E"/>
    <w:rsid w:val="00C70D39"/>
    <w:rsid w:val="00C71723"/>
    <w:rsid w:val="00C722F5"/>
    <w:rsid w:val="00C72AC1"/>
    <w:rsid w:val="00C72E2B"/>
    <w:rsid w:val="00C72F3F"/>
    <w:rsid w:val="00C7302F"/>
    <w:rsid w:val="00C734A4"/>
    <w:rsid w:val="00C7654E"/>
    <w:rsid w:val="00C8021E"/>
    <w:rsid w:val="00C80C2B"/>
    <w:rsid w:val="00C82AB0"/>
    <w:rsid w:val="00C83676"/>
    <w:rsid w:val="00C83AD6"/>
    <w:rsid w:val="00C851A8"/>
    <w:rsid w:val="00C85457"/>
    <w:rsid w:val="00C8601B"/>
    <w:rsid w:val="00C861C4"/>
    <w:rsid w:val="00C867B4"/>
    <w:rsid w:val="00C86D19"/>
    <w:rsid w:val="00C87DB6"/>
    <w:rsid w:val="00C87E66"/>
    <w:rsid w:val="00C90154"/>
    <w:rsid w:val="00C91A57"/>
    <w:rsid w:val="00C92B73"/>
    <w:rsid w:val="00C9390C"/>
    <w:rsid w:val="00C954B4"/>
    <w:rsid w:val="00C96143"/>
    <w:rsid w:val="00C96808"/>
    <w:rsid w:val="00C96F3C"/>
    <w:rsid w:val="00C9700B"/>
    <w:rsid w:val="00C970CF"/>
    <w:rsid w:val="00CA064A"/>
    <w:rsid w:val="00CA1268"/>
    <w:rsid w:val="00CA3EF6"/>
    <w:rsid w:val="00CA3F66"/>
    <w:rsid w:val="00CA441A"/>
    <w:rsid w:val="00CA5A99"/>
    <w:rsid w:val="00CA5EB8"/>
    <w:rsid w:val="00CA7364"/>
    <w:rsid w:val="00CB01B6"/>
    <w:rsid w:val="00CB0890"/>
    <w:rsid w:val="00CB09E2"/>
    <w:rsid w:val="00CB10A3"/>
    <w:rsid w:val="00CB2ACB"/>
    <w:rsid w:val="00CB2DFA"/>
    <w:rsid w:val="00CB3211"/>
    <w:rsid w:val="00CB3351"/>
    <w:rsid w:val="00CB3456"/>
    <w:rsid w:val="00CB37A9"/>
    <w:rsid w:val="00CB3B65"/>
    <w:rsid w:val="00CB45CD"/>
    <w:rsid w:val="00CB483F"/>
    <w:rsid w:val="00CB55FC"/>
    <w:rsid w:val="00CB58A8"/>
    <w:rsid w:val="00CB5B05"/>
    <w:rsid w:val="00CB61B0"/>
    <w:rsid w:val="00CB6D90"/>
    <w:rsid w:val="00CB7712"/>
    <w:rsid w:val="00CC05D9"/>
    <w:rsid w:val="00CC1E48"/>
    <w:rsid w:val="00CC2078"/>
    <w:rsid w:val="00CC42D6"/>
    <w:rsid w:val="00CC4A1F"/>
    <w:rsid w:val="00CC7514"/>
    <w:rsid w:val="00CC790B"/>
    <w:rsid w:val="00CD08A3"/>
    <w:rsid w:val="00CD190C"/>
    <w:rsid w:val="00CD1D1B"/>
    <w:rsid w:val="00CD1D80"/>
    <w:rsid w:val="00CD29E8"/>
    <w:rsid w:val="00CD37C5"/>
    <w:rsid w:val="00CD46CA"/>
    <w:rsid w:val="00CD475A"/>
    <w:rsid w:val="00CD4B1A"/>
    <w:rsid w:val="00CD66B7"/>
    <w:rsid w:val="00CD6963"/>
    <w:rsid w:val="00CD6F97"/>
    <w:rsid w:val="00CD7492"/>
    <w:rsid w:val="00CD7694"/>
    <w:rsid w:val="00CE00CC"/>
    <w:rsid w:val="00CE0D07"/>
    <w:rsid w:val="00CE3637"/>
    <w:rsid w:val="00CE38C5"/>
    <w:rsid w:val="00CE4255"/>
    <w:rsid w:val="00CE4D01"/>
    <w:rsid w:val="00CE51FD"/>
    <w:rsid w:val="00CE5729"/>
    <w:rsid w:val="00CE740D"/>
    <w:rsid w:val="00CE7883"/>
    <w:rsid w:val="00CF0444"/>
    <w:rsid w:val="00CF43E7"/>
    <w:rsid w:val="00CF4488"/>
    <w:rsid w:val="00CF51C3"/>
    <w:rsid w:val="00CF59DF"/>
    <w:rsid w:val="00CF64EF"/>
    <w:rsid w:val="00CF6840"/>
    <w:rsid w:val="00CF6874"/>
    <w:rsid w:val="00CF71A1"/>
    <w:rsid w:val="00CF71F9"/>
    <w:rsid w:val="00D01217"/>
    <w:rsid w:val="00D01BF6"/>
    <w:rsid w:val="00D027F3"/>
    <w:rsid w:val="00D04066"/>
    <w:rsid w:val="00D058D5"/>
    <w:rsid w:val="00D05937"/>
    <w:rsid w:val="00D06443"/>
    <w:rsid w:val="00D06895"/>
    <w:rsid w:val="00D108B5"/>
    <w:rsid w:val="00D10AE1"/>
    <w:rsid w:val="00D1192A"/>
    <w:rsid w:val="00D11C8E"/>
    <w:rsid w:val="00D11D14"/>
    <w:rsid w:val="00D12363"/>
    <w:rsid w:val="00D1298F"/>
    <w:rsid w:val="00D1344D"/>
    <w:rsid w:val="00D136F8"/>
    <w:rsid w:val="00D13BD9"/>
    <w:rsid w:val="00D13CE0"/>
    <w:rsid w:val="00D13FD5"/>
    <w:rsid w:val="00D14D77"/>
    <w:rsid w:val="00D154C1"/>
    <w:rsid w:val="00D159C8"/>
    <w:rsid w:val="00D164D7"/>
    <w:rsid w:val="00D21405"/>
    <w:rsid w:val="00D21792"/>
    <w:rsid w:val="00D21ED3"/>
    <w:rsid w:val="00D2387F"/>
    <w:rsid w:val="00D23BB2"/>
    <w:rsid w:val="00D254AC"/>
    <w:rsid w:val="00D26FC2"/>
    <w:rsid w:val="00D3053A"/>
    <w:rsid w:val="00D316E0"/>
    <w:rsid w:val="00D324F7"/>
    <w:rsid w:val="00D32FEA"/>
    <w:rsid w:val="00D33288"/>
    <w:rsid w:val="00D33E4E"/>
    <w:rsid w:val="00D3466C"/>
    <w:rsid w:val="00D348C8"/>
    <w:rsid w:val="00D3537F"/>
    <w:rsid w:val="00D35B46"/>
    <w:rsid w:val="00D3708C"/>
    <w:rsid w:val="00D3738E"/>
    <w:rsid w:val="00D409A2"/>
    <w:rsid w:val="00D40FD0"/>
    <w:rsid w:val="00D41E99"/>
    <w:rsid w:val="00D42074"/>
    <w:rsid w:val="00D422DC"/>
    <w:rsid w:val="00D434EE"/>
    <w:rsid w:val="00D44B3D"/>
    <w:rsid w:val="00D45327"/>
    <w:rsid w:val="00D4561B"/>
    <w:rsid w:val="00D45934"/>
    <w:rsid w:val="00D464B3"/>
    <w:rsid w:val="00D46C94"/>
    <w:rsid w:val="00D51662"/>
    <w:rsid w:val="00D526AF"/>
    <w:rsid w:val="00D5286A"/>
    <w:rsid w:val="00D538E7"/>
    <w:rsid w:val="00D54076"/>
    <w:rsid w:val="00D54210"/>
    <w:rsid w:val="00D544E3"/>
    <w:rsid w:val="00D54A9A"/>
    <w:rsid w:val="00D551DE"/>
    <w:rsid w:val="00D5561E"/>
    <w:rsid w:val="00D5638A"/>
    <w:rsid w:val="00D56719"/>
    <w:rsid w:val="00D57E17"/>
    <w:rsid w:val="00D60841"/>
    <w:rsid w:val="00D61249"/>
    <w:rsid w:val="00D617F4"/>
    <w:rsid w:val="00D6250D"/>
    <w:rsid w:val="00D63378"/>
    <w:rsid w:val="00D65181"/>
    <w:rsid w:val="00D6518B"/>
    <w:rsid w:val="00D659E2"/>
    <w:rsid w:val="00D66172"/>
    <w:rsid w:val="00D66C23"/>
    <w:rsid w:val="00D6731B"/>
    <w:rsid w:val="00D70547"/>
    <w:rsid w:val="00D70870"/>
    <w:rsid w:val="00D709EB"/>
    <w:rsid w:val="00D7191A"/>
    <w:rsid w:val="00D72198"/>
    <w:rsid w:val="00D72804"/>
    <w:rsid w:val="00D731B5"/>
    <w:rsid w:val="00D73236"/>
    <w:rsid w:val="00D7408F"/>
    <w:rsid w:val="00D740D4"/>
    <w:rsid w:val="00D74F9A"/>
    <w:rsid w:val="00D80149"/>
    <w:rsid w:val="00D80B37"/>
    <w:rsid w:val="00D813C2"/>
    <w:rsid w:val="00D81E26"/>
    <w:rsid w:val="00D83562"/>
    <w:rsid w:val="00D83E80"/>
    <w:rsid w:val="00D84C12"/>
    <w:rsid w:val="00D84C72"/>
    <w:rsid w:val="00D85239"/>
    <w:rsid w:val="00D8587C"/>
    <w:rsid w:val="00D85CDA"/>
    <w:rsid w:val="00D85F23"/>
    <w:rsid w:val="00D86418"/>
    <w:rsid w:val="00D86457"/>
    <w:rsid w:val="00D86A8D"/>
    <w:rsid w:val="00D872D5"/>
    <w:rsid w:val="00D878CD"/>
    <w:rsid w:val="00D90074"/>
    <w:rsid w:val="00D91937"/>
    <w:rsid w:val="00D922EB"/>
    <w:rsid w:val="00D92B12"/>
    <w:rsid w:val="00D93D94"/>
    <w:rsid w:val="00D94390"/>
    <w:rsid w:val="00D94D74"/>
    <w:rsid w:val="00D95653"/>
    <w:rsid w:val="00D95E17"/>
    <w:rsid w:val="00D96038"/>
    <w:rsid w:val="00D96D73"/>
    <w:rsid w:val="00D9771F"/>
    <w:rsid w:val="00D9774D"/>
    <w:rsid w:val="00DA0F45"/>
    <w:rsid w:val="00DA32C8"/>
    <w:rsid w:val="00DA3CFA"/>
    <w:rsid w:val="00DA3DB3"/>
    <w:rsid w:val="00DA42EC"/>
    <w:rsid w:val="00DA496D"/>
    <w:rsid w:val="00DA4C8C"/>
    <w:rsid w:val="00DA7AE4"/>
    <w:rsid w:val="00DB03F7"/>
    <w:rsid w:val="00DB088D"/>
    <w:rsid w:val="00DB175F"/>
    <w:rsid w:val="00DB22A8"/>
    <w:rsid w:val="00DB28ED"/>
    <w:rsid w:val="00DB4683"/>
    <w:rsid w:val="00DB4B05"/>
    <w:rsid w:val="00DB5381"/>
    <w:rsid w:val="00DB5C0A"/>
    <w:rsid w:val="00DB632F"/>
    <w:rsid w:val="00DB6725"/>
    <w:rsid w:val="00DB6A2F"/>
    <w:rsid w:val="00DB7541"/>
    <w:rsid w:val="00DB7E0C"/>
    <w:rsid w:val="00DC0997"/>
    <w:rsid w:val="00DC13D1"/>
    <w:rsid w:val="00DC1461"/>
    <w:rsid w:val="00DC2B9F"/>
    <w:rsid w:val="00DC3ADE"/>
    <w:rsid w:val="00DC4704"/>
    <w:rsid w:val="00DC492B"/>
    <w:rsid w:val="00DC4D71"/>
    <w:rsid w:val="00DC5776"/>
    <w:rsid w:val="00DC6183"/>
    <w:rsid w:val="00DC6E90"/>
    <w:rsid w:val="00DC71F5"/>
    <w:rsid w:val="00DD23FB"/>
    <w:rsid w:val="00DD2950"/>
    <w:rsid w:val="00DD32B9"/>
    <w:rsid w:val="00DD5977"/>
    <w:rsid w:val="00DD5AA3"/>
    <w:rsid w:val="00DD6AF9"/>
    <w:rsid w:val="00DD722D"/>
    <w:rsid w:val="00DD74A5"/>
    <w:rsid w:val="00DD7FED"/>
    <w:rsid w:val="00DE16C3"/>
    <w:rsid w:val="00DE1B9B"/>
    <w:rsid w:val="00DE2093"/>
    <w:rsid w:val="00DE377E"/>
    <w:rsid w:val="00DE512D"/>
    <w:rsid w:val="00DE5B42"/>
    <w:rsid w:val="00DE690B"/>
    <w:rsid w:val="00DE7372"/>
    <w:rsid w:val="00DF1265"/>
    <w:rsid w:val="00DF1712"/>
    <w:rsid w:val="00DF19B4"/>
    <w:rsid w:val="00DF2942"/>
    <w:rsid w:val="00DF2D3F"/>
    <w:rsid w:val="00DF2FAE"/>
    <w:rsid w:val="00DF45CC"/>
    <w:rsid w:val="00DF4FE5"/>
    <w:rsid w:val="00DF50DA"/>
    <w:rsid w:val="00DF5935"/>
    <w:rsid w:val="00DF5B43"/>
    <w:rsid w:val="00DF6567"/>
    <w:rsid w:val="00E00427"/>
    <w:rsid w:val="00E00740"/>
    <w:rsid w:val="00E02065"/>
    <w:rsid w:val="00E020AF"/>
    <w:rsid w:val="00E02208"/>
    <w:rsid w:val="00E03C35"/>
    <w:rsid w:val="00E04581"/>
    <w:rsid w:val="00E04C2D"/>
    <w:rsid w:val="00E050DA"/>
    <w:rsid w:val="00E05597"/>
    <w:rsid w:val="00E05A01"/>
    <w:rsid w:val="00E05A3E"/>
    <w:rsid w:val="00E10D9D"/>
    <w:rsid w:val="00E112AE"/>
    <w:rsid w:val="00E115B7"/>
    <w:rsid w:val="00E131E0"/>
    <w:rsid w:val="00E1376E"/>
    <w:rsid w:val="00E14579"/>
    <w:rsid w:val="00E145DE"/>
    <w:rsid w:val="00E14D85"/>
    <w:rsid w:val="00E15930"/>
    <w:rsid w:val="00E1638D"/>
    <w:rsid w:val="00E17AC3"/>
    <w:rsid w:val="00E20497"/>
    <w:rsid w:val="00E220E9"/>
    <w:rsid w:val="00E22406"/>
    <w:rsid w:val="00E23184"/>
    <w:rsid w:val="00E23E9F"/>
    <w:rsid w:val="00E249FA"/>
    <w:rsid w:val="00E24A39"/>
    <w:rsid w:val="00E251F2"/>
    <w:rsid w:val="00E27A0E"/>
    <w:rsid w:val="00E30A84"/>
    <w:rsid w:val="00E3187F"/>
    <w:rsid w:val="00E33AB0"/>
    <w:rsid w:val="00E33C08"/>
    <w:rsid w:val="00E35081"/>
    <w:rsid w:val="00E3652D"/>
    <w:rsid w:val="00E36F12"/>
    <w:rsid w:val="00E37278"/>
    <w:rsid w:val="00E3747E"/>
    <w:rsid w:val="00E37C0C"/>
    <w:rsid w:val="00E40D7D"/>
    <w:rsid w:val="00E417AE"/>
    <w:rsid w:val="00E41B4D"/>
    <w:rsid w:val="00E42383"/>
    <w:rsid w:val="00E42BF6"/>
    <w:rsid w:val="00E42C5D"/>
    <w:rsid w:val="00E4449D"/>
    <w:rsid w:val="00E465A8"/>
    <w:rsid w:val="00E478C2"/>
    <w:rsid w:val="00E518DC"/>
    <w:rsid w:val="00E52700"/>
    <w:rsid w:val="00E53C44"/>
    <w:rsid w:val="00E53D3C"/>
    <w:rsid w:val="00E54F44"/>
    <w:rsid w:val="00E560B4"/>
    <w:rsid w:val="00E60DDC"/>
    <w:rsid w:val="00E62132"/>
    <w:rsid w:val="00E62646"/>
    <w:rsid w:val="00E627AA"/>
    <w:rsid w:val="00E6291A"/>
    <w:rsid w:val="00E62B85"/>
    <w:rsid w:val="00E63814"/>
    <w:rsid w:val="00E63FE4"/>
    <w:rsid w:val="00E65445"/>
    <w:rsid w:val="00E66170"/>
    <w:rsid w:val="00E663DA"/>
    <w:rsid w:val="00E667F9"/>
    <w:rsid w:val="00E67B08"/>
    <w:rsid w:val="00E67F1A"/>
    <w:rsid w:val="00E704DE"/>
    <w:rsid w:val="00E70A1E"/>
    <w:rsid w:val="00E71D60"/>
    <w:rsid w:val="00E723F9"/>
    <w:rsid w:val="00E740B6"/>
    <w:rsid w:val="00E748D6"/>
    <w:rsid w:val="00E74E88"/>
    <w:rsid w:val="00E74F00"/>
    <w:rsid w:val="00E7502D"/>
    <w:rsid w:val="00E76469"/>
    <w:rsid w:val="00E76B28"/>
    <w:rsid w:val="00E76C67"/>
    <w:rsid w:val="00E77B20"/>
    <w:rsid w:val="00E80509"/>
    <w:rsid w:val="00E80804"/>
    <w:rsid w:val="00E833B5"/>
    <w:rsid w:val="00E85430"/>
    <w:rsid w:val="00E857DA"/>
    <w:rsid w:val="00E8619B"/>
    <w:rsid w:val="00E8638C"/>
    <w:rsid w:val="00E865D1"/>
    <w:rsid w:val="00E8733E"/>
    <w:rsid w:val="00E87415"/>
    <w:rsid w:val="00E90536"/>
    <w:rsid w:val="00E92F4C"/>
    <w:rsid w:val="00E95371"/>
    <w:rsid w:val="00E954F3"/>
    <w:rsid w:val="00E955CC"/>
    <w:rsid w:val="00E9566A"/>
    <w:rsid w:val="00E95D09"/>
    <w:rsid w:val="00E95DD4"/>
    <w:rsid w:val="00E961AD"/>
    <w:rsid w:val="00E9671F"/>
    <w:rsid w:val="00E9692D"/>
    <w:rsid w:val="00E97125"/>
    <w:rsid w:val="00E97D7C"/>
    <w:rsid w:val="00E97E58"/>
    <w:rsid w:val="00EA1CBC"/>
    <w:rsid w:val="00EA2965"/>
    <w:rsid w:val="00EA2DA1"/>
    <w:rsid w:val="00EA32F8"/>
    <w:rsid w:val="00EA366E"/>
    <w:rsid w:val="00EA3ED9"/>
    <w:rsid w:val="00EA57D5"/>
    <w:rsid w:val="00EA60C5"/>
    <w:rsid w:val="00EA6AC2"/>
    <w:rsid w:val="00EA78ED"/>
    <w:rsid w:val="00EB59CC"/>
    <w:rsid w:val="00EB625C"/>
    <w:rsid w:val="00EB7634"/>
    <w:rsid w:val="00EB7D2D"/>
    <w:rsid w:val="00EB7D7C"/>
    <w:rsid w:val="00EC0B2F"/>
    <w:rsid w:val="00EC184F"/>
    <w:rsid w:val="00EC32D8"/>
    <w:rsid w:val="00EC37DB"/>
    <w:rsid w:val="00EC38D1"/>
    <w:rsid w:val="00EC3938"/>
    <w:rsid w:val="00EC4576"/>
    <w:rsid w:val="00EC4C32"/>
    <w:rsid w:val="00EC54FA"/>
    <w:rsid w:val="00EC5518"/>
    <w:rsid w:val="00EC5932"/>
    <w:rsid w:val="00EC5F77"/>
    <w:rsid w:val="00EC7F12"/>
    <w:rsid w:val="00ED101F"/>
    <w:rsid w:val="00ED1FC2"/>
    <w:rsid w:val="00ED3B84"/>
    <w:rsid w:val="00ED40F5"/>
    <w:rsid w:val="00ED517F"/>
    <w:rsid w:val="00ED58E2"/>
    <w:rsid w:val="00ED68FA"/>
    <w:rsid w:val="00ED69C5"/>
    <w:rsid w:val="00ED6E6B"/>
    <w:rsid w:val="00ED70E1"/>
    <w:rsid w:val="00ED72BA"/>
    <w:rsid w:val="00ED7783"/>
    <w:rsid w:val="00ED7B66"/>
    <w:rsid w:val="00EE014C"/>
    <w:rsid w:val="00EE05B9"/>
    <w:rsid w:val="00EE0BCE"/>
    <w:rsid w:val="00EE13C2"/>
    <w:rsid w:val="00EE1623"/>
    <w:rsid w:val="00EE2048"/>
    <w:rsid w:val="00EE274B"/>
    <w:rsid w:val="00EE2783"/>
    <w:rsid w:val="00EE2A95"/>
    <w:rsid w:val="00EE2E5C"/>
    <w:rsid w:val="00EE3080"/>
    <w:rsid w:val="00EE393B"/>
    <w:rsid w:val="00EE3E57"/>
    <w:rsid w:val="00EE42E4"/>
    <w:rsid w:val="00EE4B22"/>
    <w:rsid w:val="00EE4E43"/>
    <w:rsid w:val="00EE5502"/>
    <w:rsid w:val="00EE55A7"/>
    <w:rsid w:val="00EE56AF"/>
    <w:rsid w:val="00EE5871"/>
    <w:rsid w:val="00EE7616"/>
    <w:rsid w:val="00EE7BFE"/>
    <w:rsid w:val="00EF047F"/>
    <w:rsid w:val="00EF1762"/>
    <w:rsid w:val="00EF307C"/>
    <w:rsid w:val="00EF36C9"/>
    <w:rsid w:val="00EF3730"/>
    <w:rsid w:val="00EF4087"/>
    <w:rsid w:val="00EF55E3"/>
    <w:rsid w:val="00EF679B"/>
    <w:rsid w:val="00EF6D47"/>
    <w:rsid w:val="00EF74AC"/>
    <w:rsid w:val="00EF7D5C"/>
    <w:rsid w:val="00F0000A"/>
    <w:rsid w:val="00F00B9B"/>
    <w:rsid w:val="00F00E34"/>
    <w:rsid w:val="00F01946"/>
    <w:rsid w:val="00F0218A"/>
    <w:rsid w:val="00F02C0B"/>
    <w:rsid w:val="00F03099"/>
    <w:rsid w:val="00F04064"/>
    <w:rsid w:val="00F046BA"/>
    <w:rsid w:val="00F05C4A"/>
    <w:rsid w:val="00F05CA9"/>
    <w:rsid w:val="00F06088"/>
    <w:rsid w:val="00F074A0"/>
    <w:rsid w:val="00F079D5"/>
    <w:rsid w:val="00F07B31"/>
    <w:rsid w:val="00F07B55"/>
    <w:rsid w:val="00F07F25"/>
    <w:rsid w:val="00F07F49"/>
    <w:rsid w:val="00F07FC0"/>
    <w:rsid w:val="00F11EB4"/>
    <w:rsid w:val="00F11F9F"/>
    <w:rsid w:val="00F1225B"/>
    <w:rsid w:val="00F14202"/>
    <w:rsid w:val="00F159BE"/>
    <w:rsid w:val="00F15CBE"/>
    <w:rsid w:val="00F16523"/>
    <w:rsid w:val="00F1686E"/>
    <w:rsid w:val="00F16B69"/>
    <w:rsid w:val="00F17291"/>
    <w:rsid w:val="00F1798D"/>
    <w:rsid w:val="00F17CC1"/>
    <w:rsid w:val="00F17DE1"/>
    <w:rsid w:val="00F2013B"/>
    <w:rsid w:val="00F20685"/>
    <w:rsid w:val="00F219AF"/>
    <w:rsid w:val="00F21BDC"/>
    <w:rsid w:val="00F21E5C"/>
    <w:rsid w:val="00F22596"/>
    <w:rsid w:val="00F24B8C"/>
    <w:rsid w:val="00F27220"/>
    <w:rsid w:val="00F2746E"/>
    <w:rsid w:val="00F316EA"/>
    <w:rsid w:val="00F31821"/>
    <w:rsid w:val="00F31B31"/>
    <w:rsid w:val="00F323B9"/>
    <w:rsid w:val="00F332E2"/>
    <w:rsid w:val="00F338DB"/>
    <w:rsid w:val="00F33AC1"/>
    <w:rsid w:val="00F358BD"/>
    <w:rsid w:val="00F35F9F"/>
    <w:rsid w:val="00F37310"/>
    <w:rsid w:val="00F4026B"/>
    <w:rsid w:val="00F414AC"/>
    <w:rsid w:val="00F41922"/>
    <w:rsid w:val="00F428B2"/>
    <w:rsid w:val="00F43458"/>
    <w:rsid w:val="00F445AF"/>
    <w:rsid w:val="00F44822"/>
    <w:rsid w:val="00F448CB"/>
    <w:rsid w:val="00F454A4"/>
    <w:rsid w:val="00F463D4"/>
    <w:rsid w:val="00F46DD4"/>
    <w:rsid w:val="00F47FB4"/>
    <w:rsid w:val="00F503D8"/>
    <w:rsid w:val="00F50BD7"/>
    <w:rsid w:val="00F51034"/>
    <w:rsid w:val="00F51456"/>
    <w:rsid w:val="00F51557"/>
    <w:rsid w:val="00F52C34"/>
    <w:rsid w:val="00F54838"/>
    <w:rsid w:val="00F56813"/>
    <w:rsid w:val="00F577B5"/>
    <w:rsid w:val="00F6059B"/>
    <w:rsid w:val="00F61350"/>
    <w:rsid w:val="00F628D6"/>
    <w:rsid w:val="00F6488B"/>
    <w:rsid w:val="00F67C3F"/>
    <w:rsid w:val="00F708E8"/>
    <w:rsid w:val="00F731DB"/>
    <w:rsid w:val="00F7501C"/>
    <w:rsid w:val="00F761A9"/>
    <w:rsid w:val="00F76542"/>
    <w:rsid w:val="00F76F25"/>
    <w:rsid w:val="00F770F3"/>
    <w:rsid w:val="00F773F4"/>
    <w:rsid w:val="00F77D35"/>
    <w:rsid w:val="00F80195"/>
    <w:rsid w:val="00F81598"/>
    <w:rsid w:val="00F82022"/>
    <w:rsid w:val="00F82305"/>
    <w:rsid w:val="00F823B9"/>
    <w:rsid w:val="00F825A0"/>
    <w:rsid w:val="00F82C41"/>
    <w:rsid w:val="00F84253"/>
    <w:rsid w:val="00F84A61"/>
    <w:rsid w:val="00F853C2"/>
    <w:rsid w:val="00F85D4A"/>
    <w:rsid w:val="00F860FA"/>
    <w:rsid w:val="00F87747"/>
    <w:rsid w:val="00F90725"/>
    <w:rsid w:val="00F91188"/>
    <w:rsid w:val="00F91274"/>
    <w:rsid w:val="00F91C1F"/>
    <w:rsid w:val="00F928D5"/>
    <w:rsid w:val="00F9335B"/>
    <w:rsid w:val="00F9377F"/>
    <w:rsid w:val="00F95A01"/>
    <w:rsid w:val="00F9653C"/>
    <w:rsid w:val="00F97F68"/>
    <w:rsid w:val="00FA0B54"/>
    <w:rsid w:val="00FA5779"/>
    <w:rsid w:val="00FA6D94"/>
    <w:rsid w:val="00FA701D"/>
    <w:rsid w:val="00FB101F"/>
    <w:rsid w:val="00FB102D"/>
    <w:rsid w:val="00FB1034"/>
    <w:rsid w:val="00FB27E6"/>
    <w:rsid w:val="00FB3999"/>
    <w:rsid w:val="00FB3E32"/>
    <w:rsid w:val="00FB3ECC"/>
    <w:rsid w:val="00FB44BA"/>
    <w:rsid w:val="00FB4546"/>
    <w:rsid w:val="00FB56C3"/>
    <w:rsid w:val="00FB64E0"/>
    <w:rsid w:val="00FB74F5"/>
    <w:rsid w:val="00FC0538"/>
    <w:rsid w:val="00FC05E8"/>
    <w:rsid w:val="00FC0981"/>
    <w:rsid w:val="00FC09F5"/>
    <w:rsid w:val="00FC1F71"/>
    <w:rsid w:val="00FC2D25"/>
    <w:rsid w:val="00FC37D3"/>
    <w:rsid w:val="00FC3FCA"/>
    <w:rsid w:val="00FC54B9"/>
    <w:rsid w:val="00FC56FA"/>
    <w:rsid w:val="00FC5EF7"/>
    <w:rsid w:val="00FC640D"/>
    <w:rsid w:val="00FC7B4C"/>
    <w:rsid w:val="00FD024F"/>
    <w:rsid w:val="00FD0681"/>
    <w:rsid w:val="00FD2FCE"/>
    <w:rsid w:val="00FD3735"/>
    <w:rsid w:val="00FD4DD8"/>
    <w:rsid w:val="00FD542E"/>
    <w:rsid w:val="00FD55D6"/>
    <w:rsid w:val="00FD57BD"/>
    <w:rsid w:val="00FD5941"/>
    <w:rsid w:val="00FD5BFC"/>
    <w:rsid w:val="00FE151F"/>
    <w:rsid w:val="00FE22C9"/>
    <w:rsid w:val="00FE6EDD"/>
    <w:rsid w:val="00FE7D75"/>
    <w:rsid w:val="00FF112C"/>
    <w:rsid w:val="00FF1275"/>
    <w:rsid w:val="00FF1485"/>
    <w:rsid w:val="00FF1DC0"/>
    <w:rsid w:val="00FF275F"/>
    <w:rsid w:val="00FF2E02"/>
    <w:rsid w:val="00FF4592"/>
    <w:rsid w:val="00FF4F6D"/>
    <w:rsid w:val="00FF557A"/>
    <w:rsid w:val="00FF687D"/>
    <w:rsid w:val="00FF6A6C"/>
    <w:rsid w:val="00FF7BB3"/>
    <w:rsid w:val="030F3975"/>
    <w:rsid w:val="03706636"/>
    <w:rsid w:val="055843DE"/>
    <w:rsid w:val="07702E6D"/>
    <w:rsid w:val="0C3B1C9C"/>
    <w:rsid w:val="10B10C2D"/>
    <w:rsid w:val="11650BF5"/>
    <w:rsid w:val="16614987"/>
    <w:rsid w:val="20D34741"/>
    <w:rsid w:val="22746545"/>
    <w:rsid w:val="22C214AB"/>
    <w:rsid w:val="25116067"/>
    <w:rsid w:val="264A28EF"/>
    <w:rsid w:val="2BBD04C8"/>
    <w:rsid w:val="2E102177"/>
    <w:rsid w:val="2F3445FD"/>
    <w:rsid w:val="30A30433"/>
    <w:rsid w:val="3256248E"/>
    <w:rsid w:val="36F70DAC"/>
    <w:rsid w:val="3A841F26"/>
    <w:rsid w:val="3F7F0767"/>
    <w:rsid w:val="403C3E1D"/>
    <w:rsid w:val="471800D0"/>
    <w:rsid w:val="474C2A4D"/>
    <w:rsid w:val="4795789A"/>
    <w:rsid w:val="493747DC"/>
    <w:rsid w:val="4B821BCD"/>
    <w:rsid w:val="50FD74D6"/>
    <w:rsid w:val="52344790"/>
    <w:rsid w:val="573949B7"/>
    <w:rsid w:val="5A3418FE"/>
    <w:rsid w:val="5B2A2BD4"/>
    <w:rsid w:val="5B53544E"/>
    <w:rsid w:val="5F5E5CBA"/>
    <w:rsid w:val="616816AE"/>
    <w:rsid w:val="65E240AB"/>
    <w:rsid w:val="67390D6F"/>
    <w:rsid w:val="68517758"/>
    <w:rsid w:val="68F0350B"/>
    <w:rsid w:val="6E7822FB"/>
    <w:rsid w:val="6F004E4C"/>
    <w:rsid w:val="71CC42A1"/>
    <w:rsid w:val="748474DA"/>
    <w:rsid w:val="79D75968"/>
    <w:rsid w:val="7C0C59D0"/>
    <w:rsid w:val="AF7F15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35" w:semiHidden="0" w:name="caption"/>
    <w:lsdException w:uiPriority="0" w:name="table of figures"/>
    <w:lsdException w:uiPriority="0" w:name="envelope address"/>
    <w:lsdException w:uiPriority="0" w:name="envelope return"/>
    <w:lsdException w:qFormat="1" w:unhideWhenUsed="0"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nhideWhenUsed="0" w:uiPriority="0" w:semiHidden="0" w:name="endnote text"/>
    <w:lsdException w:uiPriority="0" w:name="table of authorities"/>
    <w:lsdException w:uiPriority="0" w:name="macro"/>
    <w:lsdException w:unhideWhenUsed="0" w:uiPriority="0" w:semiHidden="0" w:name="toa heading"/>
    <w:lsdException w:unhideWhenUsed="0" w:uiPriority="0" w:semiHidden="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iPriority="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pageBreakBefore/>
      <w:numPr>
        <w:ilvl w:val="0"/>
        <w:numId w:val="1"/>
      </w:numPr>
      <w:spacing w:before="310" w:after="280"/>
      <w:ind w:left="0" w:hanging="431" w:hangingChars="180"/>
      <w:jc w:val="center"/>
      <w:outlineLvl w:val="0"/>
    </w:pPr>
    <w:rPr>
      <w:rFonts w:eastAsia="黑体"/>
      <w:b/>
      <w:sz w:val="32"/>
    </w:rPr>
  </w:style>
  <w:style w:type="paragraph" w:styleId="3">
    <w:name w:val="heading 2"/>
    <w:basedOn w:val="1"/>
    <w:next w:val="1"/>
    <w:link w:val="81"/>
    <w:autoRedefine/>
    <w:qFormat/>
    <w:uiPriority w:val="0"/>
    <w:pPr>
      <w:keepNext/>
      <w:keepLines/>
      <w:numPr>
        <w:ilvl w:val="1"/>
        <w:numId w:val="1"/>
      </w:numPr>
      <w:tabs>
        <w:tab w:val="left" w:pos="709"/>
      </w:tabs>
      <w:spacing w:before="200" w:after="140"/>
      <w:ind w:left="0" w:firstLine="0"/>
      <w:outlineLvl w:val="1"/>
    </w:pPr>
    <w:rPr>
      <w:rFonts w:eastAsia="黑体"/>
      <w:b/>
      <w:bCs/>
      <w:sz w:val="28"/>
      <w:szCs w:val="32"/>
    </w:rPr>
  </w:style>
  <w:style w:type="paragraph" w:styleId="4">
    <w:name w:val="heading 3"/>
    <w:basedOn w:val="1"/>
    <w:next w:val="1"/>
    <w:link w:val="45"/>
    <w:autoRedefine/>
    <w:qFormat/>
    <w:uiPriority w:val="0"/>
    <w:pPr>
      <w:keepNext/>
      <w:keepLines/>
      <w:numPr>
        <w:ilvl w:val="2"/>
        <w:numId w:val="1"/>
      </w:numPr>
      <w:spacing w:before="140" w:after="80"/>
      <w:ind w:left="0" w:firstLine="0"/>
      <w:outlineLvl w:val="2"/>
    </w:pPr>
    <w:rPr>
      <w:rFonts w:eastAsia="黑体"/>
      <w:b/>
      <w:bCs/>
      <w:szCs w:val="32"/>
    </w:rPr>
  </w:style>
  <w:style w:type="paragraph" w:styleId="5">
    <w:name w:val="heading 4"/>
    <w:basedOn w:val="1"/>
    <w:next w:val="1"/>
    <w:link w:val="46"/>
    <w:autoRedefine/>
    <w:qFormat/>
    <w:uiPriority w:val="0"/>
    <w:pPr>
      <w:keepNext/>
      <w:keepLines/>
      <w:numPr>
        <w:ilvl w:val="3"/>
        <w:numId w:val="1"/>
      </w:numPr>
      <w:spacing w:before="60" w:after="40" w:line="324" w:lineRule="auto"/>
      <w:outlineLvl w:val="3"/>
    </w:pPr>
    <w:rPr>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87"/>
    <w:semiHidden/>
    <w:unhideWhenUsed/>
    <w:qFormat/>
    <w:uiPriority w:val="0"/>
    <w:pPr>
      <w:keepNext/>
      <w:keepLines/>
      <w:numPr>
        <w:ilvl w:val="5"/>
        <w:numId w:val="1"/>
      </w:numPr>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88"/>
    <w:semiHidden/>
    <w:unhideWhenUsed/>
    <w:qFormat/>
    <w:uiPriority w:val="0"/>
    <w:pPr>
      <w:keepNext/>
      <w:keepLines/>
      <w:numPr>
        <w:ilvl w:val="6"/>
        <w:numId w:val="1"/>
      </w:numPr>
      <w:spacing w:before="240" w:after="64" w:line="320" w:lineRule="auto"/>
      <w:outlineLvl w:val="6"/>
    </w:pPr>
    <w:rPr>
      <w:b/>
      <w:bCs/>
    </w:rPr>
  </w:style>
  <w:style w:type="paragraph" w:styleId="9">
    <w:name w:val="heading 8"/>
    <w:basedOn w:val="1"/>
    <w:next w:val="1"/>
    <w:link w:val="89"/>
    <w:semiHidden/>
    <w:unhideWhenUsed/>
    <w:qFormat/>
    <w:uiPriority w:val="0"/>
    <w:pPr>
      <w:keepNext/>
      <w:keepLines/>
      <w:numPr>
        <w:ilvl w:val="7"/>
        <w:numId w:val="1"/>
      </w:numPr>
      <w:spacing w:before="240" w:after="64" w:line="320" w:lineRule="auto"/>
      <w:outlineLvl w:val="7"/>
    </w:pPr>
    <w:rPr>
      <w:rFonts w:asciiTheme="majorHAnsi" w:hAnsiTheme="majorHAnsi" w:eastAsiaTheme="majorEastAsia" w:cstheme="majorBidi"/>
    </w:rPr>
  </w:style>
  <w:style w:type="paragraph" w:styleId="10">
    <w:name w:val="heading 9"/>
    <w:basedOn w:val="1"/>
    <w:next w:val="1"/>
    <w:link w:val="90"/>
    <w:semiHidden/>
    <w:unhideWhenUsed/>
    <w:qFormat/>
    <w:uiPriority w:val="0"/>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39">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semiHidden/>
    <w:qFormat/>
    <w:uiPriority w:val="0"/>
    <w:pPr>
      <w:ind w:left="1440"/>
      <w:jc w:val="left"/>
    </w:pPr>
    <w:rPr>
      <w:rFonts w:asciiTheme="minorHAnsi" w:hAnsiTheme="minorHAnsi" w:cstheme="minorHAnsi"/>
      <w:sz w:val="18"/>
      <w:szCs w:val="18"/>
    </w:rPr>
  </w:style>
  <w:style w:type="paragraph" w:styleId="12">
    <w:name w:val="Normal Indent"/>
    <w:basedOn w:val="1"/>
    <w:qFormat/>
    <w:uiPriority w:val="0"/>
    <w:pPr>
      <w:ind w:firstLine="420" w:firstLineChars="200"/>
    </w:pPr>
  </w:style>
  <w:style w:type="paragraph" w:styleId="13">
    <w:name w:val="caption"/>
    <w:basedOn w:val="1"/>
    <w:next w:val="1"/>
    <w:qFormat/>
    <w:uiPriority w:val="35"/>
    <w:pPr>
      <w:ind w:left="100" w:hanging="100" w:hangingChars="100"/>
    </w:pPr>
    <w:rPr>
      <w:rFonts w:ascii="Cambria" w:hAnsi="Cambria" w:eastAsia="黑体"/>
      <w:sz w:val="20"/>
      <w:szCs w:val="20"/>
    </w:rPr>
  </w:style>
  <w:style w:type="paragraph" w:styleId="14">
    <w:name w:val="Document Map"/>
    <w:basedOn w:val="1"/>
    <w:semiHidden/>
    <w:qFormat/>
    <w:uiPriority w:val="0"/>
    <w:pPr>
      <w:shd w:val="clear" w:color="auto" w:fill="000080"/>
    </w:pPr>
  </w:style>
  <w:style w:type="paragraph" w:styleId="15">
    <w:name w:val="annotation text"/>
    <w:basedOn w:val="1"/>
    <w:link w:val="78"/>
    <w:qFormat/>
    <w:uiPriority w:val="0"/>
    <w:pPr>
      <w:jc w:val="left"/>
    </w:pPr>
    <w:rPr>
      <w:lang w:val="zh-CN" w:eastAsia="zh-CN"/>
    </w:rPr>
  </w:style>
  <w:style w:type="paragraph" w:styleId="16">
    <w:name w:val="Body Text"/>
    <w:basedOn w:val="1"/>
    <w:qFormat/>
    <w:uiPriority w:val="0"/>
    <w:pPr>
      <w:spacing w:after="120"/>
    </w:pPr>
  </w:style>
  <w:style w:type="paragraph" w:styleId="17">
    <w:name w:val="Body Text Indent"/>
    <w:basedOn w:val="1"/>
    <w:qFormat/>
    <w:uiPriority w:val="0"/>
    <w:pPr>
      <w:spacing w:after="120"/>
      <w:ind w:left="420" w:leftChars="200"/>
    </w:pPr>
  </w:style>
  <w:style w:type="paragraph" w:styleId="18">
    <w:name w:val="toc 5"/>
    <w:basedOn w:val="1"/>
    <w:next w:val="1"/>
    <w:autoRedefine/>
    <w:semiHidden/>
    <w:qFormat/>
    <w:uiPriority w:val="0"/>
    <w:pPr>
      <w:ind w:left="960"/>
      <w:jc w:val="left"/>
    </w:pPr>
    <w:rPr>
      <w:rFonts w:asciiTheme="minorHAnsi" w:hAnsiTheme="minorHAnsi" w:cstheme="minorHAnsi"/>
      <w:sz w:val="18"/>
      <w:szCs w:val="18"/>
    </w:rPr>
  </w:style>
  <w:style w:type="paragraph" w:styleId="19">
    <w:name w:val="toc 3"/>
    <w:basedOn w:val="1"/>
    <w:next w:val="1"/>
    <w:autoRedefine/>
    <w:qFormat/>
    <w:uiPriority w:val="39"/>
    <w:pPr>
      <w:ind w:left="480"/>
      <w:jc w:val="left"/>
    </w:pPr>
    <w:rPr>
      <w:rFonts w:asciiTheme="minorHAnsi" w:hAnsiTheme="minorHAnsi" w:cstheme="minorHAnsi"/>
      <w:i/>
      <w:iCs/>
      <w:sz w:val="20"/>
      <w:szCs w:val="20"/>
    </w:rPr>
  </w:style>
  <w:style w:type="paragraph" w:styleId="20">
    <w:name w:val="toc 8"/>
    <w:basedOn w:val="1"/>
    <w:next w:val="1"/>
    <w:autoRedefine/>
    <w:semiHidden/>
    <w:qFormat/>
    <w:uiPriority w:val="0"/>
    <w:pPr>
      <w:ind w:left="1680"/>
      <w:jc w:val="left"/>
    </w:pPr>
    <w:rPr>
      <w:rFonts w:asciiTheme="minorHAnsi" w:hAnsiTheme="minorHAnsi" w:cstheme="minorHAnsi"/>
      <w:sz w:val="18"/>
      <w:szCs w:val="18"/>
    </w:rPr>
  </w:style>
  <w:style w:type="paragraph" w:styleId="21">
    <w:name w:val="Date"/>
    <w:basedOn w:val="1"/>
    <w:next w:val="1"/>
    <w:qFormat/>
    <w:uiPriority w:val="0"/>
    <w:pPr>
      <w:ind w:left="100" w:leftChars="2500"/>
    </w:pPr>
  </w:style>
  <w:style w:type="paragraph" w:styleId="22">
    <w:name w:val="Body Text Indent 2"/>
    <w:basedOn w:val="1"/>
    <w:qFormat/>
    <w:uiPriority w:val="0"/>
    <w:pPr>
      <w:spacing w:after="120" w:line="480" w:lineRule="auto"/>
      <w:ind w:left="420" w:leftChars="200" w:firstLine="200" w:firstLineChars="200"/>
      <w:jc w:val="left"/>
    </w:pPr>
  </w:style>
  <w:style w:type="paragraph" w:styleId="23">
    <w:name w:val="Balloon Text"/>
    <w:basedOn w:val="1"/>
    <w:link w:val="56"/>
    <w:qFormat/>
    <w:uiPriority w:val="0"/>
    <w:rPr>
      <w:sz w:val="18"/>
      <w:szCs w:val="18"/>
      <w:lang w:val="zh-CN" w:eastAsia="zh-CN"/>
    </w:rPr>
  </w:style>
  <w:style w:type="paragraph" w:styleId="24">
    <w:name w:val="footer"/>
    <w:basedOn w:val="1"/>
    <w:link w:val="51"/>
    <w:qFormat/>
    <w:uiPriority w:val="0"/>
    <w:pPr>
      <w:tabs>
        <w:tab w:val="center" w:pos="4153"/>
        <w:tab w:val="right" w:pos="8306"/>
      </w:tabs>
      <w:snapToGrid w:val="0"/>
      <w:ind w:firstLine="200" w:firstLineChars="200"/>
      <w:jc w:val="left"/>
    </w:pPr>
    <w:rPr>
      <w:sz w:val="18"/>
      <w:szCs w:val="18"/>
    </w:rPr>
  </w:style>
  <w:style w:type="paragraph" w:styleId="25">
    <w:name w:val="header"/>
    <w:basedOn w:val="1"/>
    <w:link w:val="50"/>
    <w:qFormat/>
    <w:uiPriority w:val="99"/>
    <w:pPr>
      <w:pBdr>
        <w:bottom w:val="single" w:color="auto" w:sz="6" w:space="1"/>
      </w:pBdr>
      <w:tabs>
        <w:tab w:val="center" w:pos="4153"/>
        <w:tab w:val="right" w:pos="8306"/>
      </w:tabs>
      <w:snapToGrid w:val="0"/>
      <w:ind w:firstLine="200" w:firstLineChars="200"/>
      <w:jc w:val="center"/>
    </w:pPr>
    <w:rPr>
      <w:sz w:val="18"/>
      <w:szCs w:val="18"/>
    </w:rPr>
  </w:style>
  <w:style w:type="paragraph" w:styleId="26">
    <w:name w:val="toc 1"/>
    <w:basedOn w:val="1"/>
    <w:next w:val="1"/>
    <w:autoRedefine/>
    <w:qFormat/>
    <w:uiPriority w:val="39"/>
    <w:pPr>
      <w:tabs>
        <w:tab w:val="left" w:pos="480"/>
        <w:tab w:val="right" w:leader="dot" w:pos="8721"/>
      </w:tabs>
      <w:spacing w:line="500" w:lineRule="exact"/>
      <w:jc w:val="left"/>
    </w:pPr>
    <w:rPr>
      <w:rFonts w:ascii="黑体" w:hAnsi="黑体" w:eastAsia="黑体" w:cstheme="minorHAnsi"/>
      <w:b/>
      <w:bCs/>
      <w:caps/>
      <w:sz w:val="20"/>
      <w:szCs w:val="20"/>
    </w:rPr>
  </w:style>
  <w:style w:type="paragraph" w:styleId="27">
    <w:name w:val="toc 4"/>
    <w:basedOn w:val="1"/>
    <w:next w:val="1"/>
    <w:autoRedefine/>
    <w:semiHidden/>
    <w:qFormat/>
    <w:uiPriority w:val="0"/>
    <w:pPr>
      <w:ind w:left="720"/>
      <w:jc w:val="left"/>
    </w:pPr>
    <w:rPr>
      <w:rFonts w:asciiTheme="minorHAnsi" w:hAnsiTheme="minorHAnsi" w:cstheme="minorHAnsi"/>
      <w:sz w:val="18"/>
      <w:szCs w:val="18"/>
    </w:rPr>
  </w:style>
  <w:style w:type="paragraph" w:styleId="28">
    <w:name w:val="footnote text"/>
    <w:basedOn w:val="1"/>
    <w:semiHidden/>
    <w:qFormat/>
    <w:uiPriority w:val="0"/>
    <w:pPr>
      <w:snapToGrid w:val="0"/>
      <w:jc w:val="left"/>
    </w:pPr>
    <w:rPr>
      <w:sz w:val="18"/>
      <w:szCs w:val="18"/>
    </w:rPr>
  </w:style>
  <w:style w:type="paragraph" w:styleId="29">
    <w:name w:val="toc 6"/>
    <w:basedOn w:val="1"/>
    <w:next w:val="1"/>
    <w:autoRedefine/>
    <w:semiHidden/>
    <w:qFormat/>
    <w:uiPriority w:val="0"/>
    <w:pPr>
      <w:ind w:left="1200"/>
      <w:jc w:val="left"/>
    </w:pPr>
    <w:rPr>
      <w:rFonts w:asciiTheme="minorHAnsi" w:hAnsiTheme="minorHAnsi" w:cstheme="minorHAnsi"/>
      <w:sz w:val="18"/>
      <w:szCs w:val="18"/>
    </w:rPr>
  </w:style>
  <w:style w:type="paragraph" w:styleId="30">
    <w:name w:val="toc 2"/>
    <w:basedOn w:val="1"/>
    <w:next w:val="1"/>
    <w:autoRedefine/>
    <w:qFormat/>
    <w:uiPriority w:val="39"/>
    <w:pPr>
      <w:tabs>
        <w:tab w:val="left" w:pos="798"/>
        <w:tab w:val="right" w:leader="dot" w:pos="8721"/>
      </w:tabs>
      <w:spacing w:line="490" w:lineRule="exact"/>
      <w:jc w:val="left"/>
    </w:pPr>
    <w:rPr>
      <w:rFonts w:asciiTheme="minorHAnsi" w:hAnsiTheme="minorHAnsi" w:cstheme="minorHAnsi"/>
      <w:smallCaps/>
      <w:sz w:val="20"/>
      <w:szCs w:val="20"/>
    </w:rPr>
  </w:style>
  <w:style w:type="paragraph" w:styleId="31">
    <w:name w:val="toc 9"/>
    <w:basedOn w:val="1"/>
    <w:next w:val="1"/>
    <w:autoRedefine/>
    <w:semiHidden/>
    <w:qFormat/>
    <w:uiPriority w:val="0"/>
    <w:pPr>
      <w:ind w:left="1920"/>
      <w:jc w:val="left"/>
    </w:pPr>
    <w:rPr>
      <w:rFonts w:asciiTheme="minorHAnsi" w:hAnsiTheme="minorHAnsi" w:cstheme="minorHAnsi"/>
      <w:sz w:val="18"/>
      <w:szCs w:val="18"/>
    </w:rPr>
  </w:style>
  <w:style w:type="paragraph" w:styleId="32">
    <w:name w:val="Body Text 2"/>
    <w:basedOn w:val="1"/>
    <w:qFormat/>
    <w:uiPriority w:val="0"/>
    <w:pPr>
      <w:spacing w:after="120" w:line="480" w:lineRule="auto"/>
    </w:pPr>
  </w:style>
  <w:style w:type="paragraph" w:styleId="33">
    <w:name w:val="Normal (Web)"/>
    <w:basedOn w:val="1"/>
    <w:unhideWhenUsed/>
    <w:qFormat/>
    <w:uiPriority w:val="0"/>
    <w:pPr>
      <w:widowControl/>
      <w:spacing w:before="100" w:beforeAutospacing="1" w:after="100" w:afterAutospacing="1"/>
      <w:jc w:val="left"/>
    </w:pPr>
    <w:rPr>
      <w:rFonts w:ascii="宋体" w:hAnsi="宋体" w:cs="宋体"/>
      <w:kern w:val="0"/>
    </w:rPr>
  </w:style>
  <w:style w:type="paragraph" w:styleId="34">
    <w:name w:val="Title"/>
    <w:basedOn w:val="1"/>
    <w:qFormat/>
    <w:uiPriority w:val="0"/>
    <w:pPr>
      <w:spacing w:before="240" w:after="60"/>
      <w:jc w:val="center"/>
      <w:outlineLvl w:val="0"/>
    </w:pPr>
    <w:rPr>
      <w:rFonts w:ascii="Arial" w:hAnsi="Arial" w:cs="Arial"/>
      <w:b/>
      <w:bCs/>
      <w:sz w:val="32"/>
      <w:szCs w:val="32"/>
    </w:rPr>
  </w:style>
  <w:style w:type="paragraph" w:styleId="35">
    <w:name w:val="annotation subject"/>
    <w:basedOn w:val="15"/>
    <w:next w:val="15"/>
    <w:link w:val="79"/>
    <w:qFormat/>
    <w:uiPriority w:val="0"/>
    <w:rPr>
      <w:b/>
      <w:bCs/>
    </w:rPr>
  </w:style>
  <w:style w:type="paragraph" w:styleId="36">
    <w:name w:val="Body Text First Indent"/>
    <w:basedOn w:val="16"/>
    <w:qFormat/>
    <w:uiPriority w:val="0"/>
    <w:pPr>
      <w:ind w:firstLine="420" w:firstLineChars="100"/>
    </w:pPr>
  </w:style>
  <w:style w:type="table" w:styleId="38">
    <w:name w:val="Table Grid"/>
    <w:basedOn w:val="37"/>
    <w:qFormat/>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40">
    <w:name w:val="page number"/>
    <w:basedOn w:val="39"/>
    <w:qFormat/>
    <w:uiPriority w:val="0"/>
  </w:style>
  <w:style w:type="character" w:styleId="41">
    <w:name w:val="Emphasis"/>
    <w:qFormat/>
    <w:uiPriority w:val="0"/>
    <w:rPr>
      <w:i/>
      <w:iCs/>
    </w:rPr>
  </w:style>
  <w:style w:type="character" w:styleId="42">
    <w:name w:val="Hyperlink"/>
    <w:qFormat/>
    <w:uiPriority w:val="99"/>
    <w:rPr>
      <w:color w:val="0000FF"/>
      <w:u w:val="single"/>
    </w:rPr>
  </w:style>
  <w:style w:type="character" w:styleId="43">
    <w:name w:val="annotation reference"/>
    <w:qFormat/>
    <w:uiPriority w:val="0"/>
    <w:rPr>
      <w:sz w:val="21"/>
      <w:szCs w:val="21"/>
    </w:rPr>
  </w:style>
  <w:style w:type="character" w:styleId="44">
    <w:name w:val="footnote reference"/>
    <w:semiHidden/>
    <w:qFormat/>
    <w:uiPriority w:val="0"/>
    <w:rPr>
      <w:rFonts w:eastAsia="嬋体"/>
      <w:sz w:val="24"/>
      <w:szCs w:val="24"/>
      <w:vertAlign w:val="superscript"/>
      <w:lang w:val="en-US" w:eastAsia="en-US" w:bidi="ar-SA"/>
    </w:rPr>
  </w:style>
  <w:style w:type="character" w:customStyle="1" w:styleId="45">
    <w:name w:val="标题 3 字符"/>
    <w:link w:val="4"/>
    <w:qFormat/>
    <w:uiPriority w:val="0"/>
    <w:rPr>
      <w:rFonts w:eastAsia="黑体"/>
      <w:b/>
      <w:bCs/>
      <w:kern w:val="2"/>
      <w:sz w:val="24"/>
      <w:szCs w:val="32"/>
    </w:rPr>
  </w:style>
  <w:style w:type="character" w:customStyle="1" w:styleId="46">
    <w:name w:val="标题 4 字符"/>
    <w:link w:val="5"/>
    <w:qFormat/>
    <w:uiPriority w:val="0"/>
    <w:rPr>
      <w:b/>
      <w:bCs/>
      <w:kern w:val="2"/>
      <w:sz w:val="24"/>
      <w:szCs w:val="28"/>
    </w:rPr>
  </w:style>
  <w:style w:type="paragraph" w:customStyle="1" w:styleId="47">
    <w:name w:val="标题2"/>
    <w:basedOn w:val="3"/>
    <w:autoRedefine/>
    <w:qFormat/>
    <w:uiPriority w:val="0"/>
    <w:rPr>
      <w:bCs w:val="0"/>
    </w:rPr>
  </w:style>
  <w:style w:type="paragraph" w:customStyle="1" w:styleId="48">
    <w:name w:val="标题3"/>
    <w:basedOn w:val="4"/>
    <w:next w:val="5"/>
    <w:autoRedefine/>
    <w:qFormat/>
    <w:uiPriority w:val="0"/>
  </w:style>
  <w:style w:type="paragraph" w:customStyle="1" w:styleId="49">
    <w:name w:val="表格"/>
    <w:basedOn w:val="1"/>
    <w:autoRedefine/>
    <w:qFormat/>
    <w:uiPriority w:val="0"/>
    <w:pPr>
      <w:jc w:val="center"/>
    </w:pPr>
  </w:style>
  <w:style w:type="character" w:customStyle="1" w:styleId="50">
    <w:name w:val="页眉 字符"/>
    <w:link w:val="25"/>
    <w:qFormat/>
    <w:uiPriority w:val="99"/>
    <w:rPr>
      <w:rFonts w:eastAsia="宋体"/>
      <w:kern w:val="2"/>
      <w:sz w:val="18"/>
      <w:szCs w:val="18"/>
      <w:lang w:val="en-US" w:eastAsia="zh-CN" w:bidi="ar-SA"/>
    </w:rPr>
  </w:style>
  <w:style w:type="character" w:customStyle="1" w:styleId="51">
    <w:name w:val="页脚 字符"/>
    <w:link w:val="24"/>
    <w:qFormat/>
    <w:uiPriority w:val="0"/>
    <w:rPr>
      <w:rFonts w:eastAsia="宋体"/>
      <w:kern w:val="2"/>
      <w:sz w:val="18"/>
      <w:szCs w:val="18"/>
      <w:lang w:val="en-US" w:eastAsia="zh-CN" w:bidi="ar-SA"/>
    </w:rPr>
  </w:style>
  <w:style w:type="paragraph" w:customStyle="1" w:styleId="52">
    <w:name w:val="SPIE reference listing"/>
    <w:basedOn w:val="1"/>
    <w:qFormat/>
    <w:uiPriority w:val="0"/>
    <w:pPr>
      <w:widowControl/>
    </w:pPr>
    <w:rPr>
      <w:kern w:val="0"/>
      <w:sz w:val="20"/>
      <w:szCs w:val="20"/>
      <w:lang w:eastAsia="en-US"/>
    </w:rPr>
  </w:style>
  <w:style w:type="paragraph" w:customStyle="1" w:styleId="53">
    <w:name w:val="Char Char Char Char Char Char"/>
    <w:basedOn w:val="1"/>
    <w:next w:val="1"/>
    <w:autoRedefine/>
    <w:qFormat/>
    <w:uiPriority w:val="0"/>
    <w:pPr>
      <w:widowControl/>
      <w:spacing w:before="156" w:beforeLines="50" w:after="312" w:afterLines="100"/>
      <w:ind w:left="357"/>
      <w:jc w:val="center"/>
    </w:pPr>
    <w:rPr>
      <w:rFonts w:ascii="宋体" w:hAnsi="宋体"/>
      <w:b/>
      <w:kern w:val="0"/>
      <w:sz w:val="52"/>
      <w:szCs w:val="52"/>
      <w:lang w:eastAsia="en-US"/>
    </w:rPr>
  </w:style>
  <w:style w:type="character" w:customStyle="1" w:styleId="54">
    <w:name w:val="word"/>
    <w:basedOn w:val="39"/>
    <w:qFormat/>
    <w:uiPriority w:val="0"/>
  </w:style>
  <w:style w:type="character" w:customStyle="1" w:styleId="55">
    <w:name w:val="trans"/>
    <w:basedOn w:val="39"/>
    <w:qFormat/>
    <w:uiPriority w:val="0"/>
  </w:style>
  <w:style w:type="character" w:customStyle="1" w:styleId="56">
    <w:name w:val="批注框文本 字符"/>
    <w:link w:val="23"/>
    <w:qFormat/>
    <w:uiPriority w:val="0"/>
    <w:rPr>
      <w:rFonts w:eastAsia="宋体"/>
      <w:kern w:val="2"/>
      <w:sz w:val="18"/>
      <w:szCs w:val="18"/>
      <w:lang w:val="zh-CN" w:eastAsia="zh-CN" w:bidi="ar-SA"/>
    </w:rPr>
  </w:style>
  <w:style w:type="paragraph" w:customStyle="1" w:styleId="57">
    <w:name w:val="Char1 Char Char Char"/>
    <w:basedOn w:val="1"/>
    <w:qFormat/>
    <w:uiPriority w:val="0"/>
    <w:rPr>
      <w:szCs w:val="20"/>
    </w:rPr>
  </w:style>
  <w:style w:type="paragraph" w:customStyle="1" w:styleId="58">
    <w:name w:val="中等深浅网格 1 - 强调文字颜色 21"/>
    <w:basedOn w:val="1"/>
    <w:qFormat/>
    <w:uiPriority w:val="0"/>
    <w:pPr>
      <w:ind w:firstLine="420" w:firstLineChars="200"/>
    </w:pPr>
    <w:rPr>
      <w:szCs w:val="22"/>
    </w:rPr>
  </w:style>
  <w:style w:type="paragraph" w:customStyle="1" w:styleId="59">
    <w:name w:val="样式1"/>
    <w:basedOn w:val="5"/>
    <w:qFormat/>
    <w:uiPriority w:val="0"/>
    <w:pPr>
      <w:keepNext w:val="0"/>
      <w:keepLines w:val="0"/>
      <w:spacing w:before="100" w:line="300" w:lineRule="auto"/>
    </w:pPr>
    <w:rPr>
      <w:b w:val="0"/>
      <w:lang w:val="zh-CN" w:eastAsia="zh-CN"/>
    </w:rPr>
  </w:style>
  <w:style w:type="paragraph" w:customStyle="1" w:styleId="60">
    <w:name w:val="样式4"/>
    <w:basedOn w:val="5"/>
    <w:qFormat/>
    <w:uiPriority w:val="0"/>
    <w:pPr>
      <w:keepNext w:val="0"/>
      <w:keepLines w:val="0"/>
      <w:spacing w:before="100" w:line="377" w:lineRule="auto"/>
    </w:pPr>
    <w:rPr>
      <w:b w:val="0"/>
      <w:szCs w:val="24"/>
      <w:lang w:val="zh-CN" w:eastAsia="zh-CN"/>
    </w:rPr>
  </w:style>
  <w:style w:type="paragraph" w:customStyle="1" w:styleId="61">
    <w:name w:val="样式2"/>
    <w:basedOn w:val="5"/>
    <w:qFormat/>
    <w:uiPriority w:val="0"/>
    <w:pPr>
      <w:keepNext w:val="0"/>
      <w:keepLines w:val="0"/>
      <w:spacing w:before="100" w:line="377" w:lineRule="auto"/>
    </w:pPr>
    <w:rPr>
      <w:b w:val="0"/>
      <w:szCs w:val="24"/>
      <w:lang w:val="zh-CN" w:eastAsia="zh-CN"/>
    </w:rPr>
  </w:style>
  <w:style w:type="character" w:customStyle="1" w:styleId="62">
    <w:name w:val="apple-style-span"/>
    <w:basedOn w:val="39"/>
    <w:qFormat/>
    <w:uiPriority w:val="0"/>
  </w:style>
  <w:style w:type="character" w:customStyle="1" w:styleId="63">
    <w:name w:val="apple-converted-space"/>
    <w:basedOn w:val="39"/>
    <w:qFormat/>
    <w:uiPriority w:val="0"/>
  </w:style>
  <w:style w:type="paragraph" w:customStyle="1" w:styleId="64">
    <w:name w:val="样式 标题 4 + 宋体"/>
    <w:basedOn w:val="5"/>
    <w:qFormat/>
    <w:uiPriority w:val="0"/>
    <w:pPr>
      <w:keepNext w:val="0"/>
      <w:keepLines w:val="0"/>
      <w:spacing w:before="100" w:line="300" w:lineRule="auto"/>
    </w:pPr>
    <w:rPr>
      <w:rFonts w:ascii="宋体" w:hAnsi="宋体"/>
      <w:b w:val="0"/>
      <w:lang w:val="zh-CN" w:eastAsia="zh-CN"/>
    </w:rPr>
  </w:style>
  <w:style w:type="paragraph" w:customStyle="1" w:styleId="65">
    <w:name w:val="标题 4+"/>
    <w:basedOn w:val="1"/>
    <w:link w:val="66"/>
    <w:qFormat/>
    <w:uiPriority w:val="0"/>
    <w:rPr>
      <w:b/>
    </w:rPr>
  </w:style>
  <w:style w:type="character" w:customStyle="1" w:styleId="66">
    <w:name w:val="标题 4+ Char"/>
    <w:link w:val="65"/>
    <w:qFormat/>
    <w:uiPriority w:val="0"/>
    <w:rPr>
      <w:rFonts w:eastAsia="宋体"/>
      <w:b/>
      <w:kern w:val="2"/>
      <w:sz w:val="24"/>
      <w:szCs w:val="24"/>
      <w:lang w:val="en-US" w:eastAsia="zh-CN" w:bidi="ar-SA"/>
    </w:rPr>
  </w:style>
  <w:style w:type="paragraph" w:customStyle="1" w:styleId="67">
    <w:name w:val="Normal New"/>
    <w:qFormat/>
    <w:uiPriority w:val="0"/>
    <w:pPr>
      <w:jc w:val="both"/>
    </w:pPr>
    <w:rPr>
      <w:rFonts w:ascii="Times New Roman" w:hAnsi="Times New Roman" w:eastAsia="宋体" w:cs="Times New Roman"/>
      <w:kern w:val="2"/>
      <w:sz w:val="21"/>
      <w:lang w:val="en-US" w:eastAsia="zh-CN" w:bidi="ar-SA"/>
    </w:rPr>
  </w:style>
  <w:style w:type="paragraph" w:customStyle="1" w:styleId="68">
    <w:name w:val="中等深浅底纹 1 - 强调文字颜色 11"/>
    <w:qFormat/>
    <w:uiPriority w:val="0"/>
    <w:pPr>
      <w:widowControl w:val="0"/>
      <w:jc w:val="both"/>
    </w:pPr>
    <w:rPr>
      <w:rFonts w:ascii="Calibri" w:hAnsi="Calibri" w:eastAsia="宋体" w:cs="Times New Roman"/>
      <w:kern w:val="2"/>
      <w:sz w:val="21"/>
      <w:szCs w:val="22"/>
      <w:lang w:val="en-US" w:eastAsia="zh-CN" w:bidi="ar-SA"/>
    </w:rPr>
  </w:style>
  <w:style w:type="character" w:customStyle="1" w:styleId="69">
    <w:name w:val="author"/>
    <w:qFormat/>
    <w:uiPriority w:val="0"/>
  </w:style>
  <w:style w:type="character" w:customStyle="1" w:styleId="70">
    <w:name w:val="pubyear"/>
    <w:qFormat/>
    <w:uiPriority w:val="0"/>
  </w:style>
  <w:style w:type="character" w:customStyle="1" w:styleId="71">
    <w:name w:val="chaptertitle"/>
    <w:qFormat/>
    <w:uiPriority w:val="0"/>
  </w:style>
  <w:style w:type="character" w:customStyle="1" w:styleId="72">
    <w:name w:val="editor"/>
    <w:qFormat/>
    <w:uiPriority w:val="0"/>
  </w:style>
  <w:style w:type="character" w:customStyle="1" w:styleId="73">
    <w:name w:val="booktitle"/>
    <w:qFormat/>
    <w:uiPriority w:val="0"/>
  </w:style>
  <w:style w:type="character" w:customStyle="1" w:styleId="74">
    <w:name w:val="edition"/>
    <w:qFormat/>
    <w:uiPriority w:val="0"/>
  </w:style>
  <w:style w:type="character" w:customStyle="1" w:styleId="75">
    <w:name w:val="publisherlocation"/>
    <w:qFormat/>
    <w:uiPriority w:val="0"/>
  </w:style>
  <w:style w:type="paragraph" w:customStyle="1" w:styleId="76">
    <w:name w:val="TOC Heading"/>
    <w:basedOn w:val="2"/>
    <w:next w:val="1"/>
    <w:qFormat/>
    <w:uiPriority w:val="39"/>
    <w:pPr>
      <w:keepLines/>
      <w:widowControl/>
      <w:spacing w:before="480" w:after="0" w:line="276" w:lineRule="auto"/>
      <w:jc w:val="left"/>
      <w:outlineLvl w:val="9"/>
    </w:pPr>
    <w:rPr>
      <w:rFonts w:ascii="Cambria" w:hAnsi="Cambria" w:eastAsia="宋体"/>
      <w:b w:val="0"/>
      <w:bCs/>
      <w:color w:val="365F91"/>
      <w:kern w:val="0"/>
      <w:sz w:val="28"/>
      <w:szCs w:val="28"/>
    </w:rPr>
  </w:style>
  <w:style w:type="character" w:customStyle="1" w:styleId="77">
    <w:name w:val="description"/>
    <w:qFormat/>
    <w:uiPriority w:val="0"/>
  </w:style>
  <w:style w:type="character" w:customStyle="1" w:styleId="78">
    <w:name w:val="批注文字 字符"/>
    <w:link w:val="15"/>
    <w:qFormat/>
    <w:uiPriority w:val="0"/>
    <w:rPr>
      <w:rFonts w:eastAsia="宋体"/>
      <w:kern w:val="2"/>
      <w:sz w:val="21"/>
      <w:szCs w:val="24"/>
      <w:lang w:val="zh-CN" w:eastAsia="zh-CN" w:bidi="ar-SA"/>
    </w:rPr>
  </w:style>
  <w:style w:type="character" w:customStyle="1" w:styleId="79">
    <w:name w:val="批注主题 字符"/>
    <w:link w:val="35"/>
    <w:qFormat/>
    <w:uiPriority w:val="0"/>
    <w:rPr>
      <w:rFonts w:eastAsia="宋体"/>
      <w:b/>
      <w:bCs/>
      <w:kern w:val="2"/>
      <w:sz w:val="21"/>
      <w:szCs w:val="24"/>
      <w:lang w:val="zh-CN" w:eastAsia="zh-CN" w:bidi="ar-SA"/>
    </w:rPr>
  </w:style>
  <w:style w:type="paragraph" w:styleId="80">
    <w:name w:val="List Paragraph"/>
    <w:basedOn w:val="1"/>
    <w:qFormat/>
    <w:uiPriority w:val="34"/>
    <w:pPr>
      <w:ind w:firstLine="420" w:firstLineChars="200"/>
    </w:pPr>
  </w:style>
  <w:style w:type="character" w:customStyle="1" w:styleId="81">
    <w:name w:val="标题 2 字符"/>
    <w:basedOn w:val="39"/>
    <w:link w:val="3"/>
    <w:qFormat/>
    <w:uiPriority w:val="0"/>
    <w:rPr>
      <w:rFonts w:eastAsia="黑体"/>
      <w:b/>
      <w:bCs/>
      <w:kern w:val="2"/>
      <w:sz w:val="28"/>
      <w:szCs w:val="32"/>
    </w:rPr>
  </w:style>
  <w:style w:type="character" w:customStyle="1" w:styleId="82">
    <w:name w:val="body31"/>
    <w:basedOn w:val="39"/>
    <w:qFormat/>
    <w:uiPriority w:val="0"/>
    <w:rPr>
      <w:rFonts w:hint="default" w:ascii="Verdana" w:hAnsi="Verdana"/>
      <w:color w:val="000000"/>
      <w:sz w:val="13"/>
      <w:szCs w:val="13"/>
    </w:rPr>
  </w:style>
  <w:style w:type="paragraph" w:customStyle="1" w:styleId="83">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84">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85">
    <w:name w:val="图表样式"/>
    <w:basedOn w:val="1"/>
    <w:link w:val="86"/>
    <w:autoRedefine/>
    <w:qFormat/>
    <w:uiPriority w:val="0"/>
    <w:pPr>
      <w:shd w:val="clear" w:color="auto" w:fill="FFFFFF"/>
      <w:snapToGrid w:val="0"/>
      <w:spacing w:before="120" w:beforeLines="50" w:after="120" w:afterLines="50" w:line="240" w:lineRule="auto"/>
      <w:jc w:val="center"/>
    </w:pPr>
    <w:rPr>
      <w:rFonts w:cs="宋体"/>
      <w:sz w:val="21"/>
      <w:szCs w:val="21"/>
    </w:rPr>
  </w:style>
  <w:style w:type="character" w:customStyle="1" w:styleId="86">
    <w:name w:val="图表样式 字符"/>
    <w:link w:val="85"/>
    <w:qFormat/>
    <w:uiPriority w:val="0"/>
    <w:rPr>
      <w:rFonts w:cs="宋体"/>
      <w:kern w:val="2"/>
      <w:sz w:val="21"/>
      <w:szCs w:val="21"/>
      <w:shd w:val="clear" w:color="auto" w:fill="FFFFFF"/>
    </w:rPr>
  </w:style>
  <w:style w:type="character" w:customStyle="1" w:styleId="87">
    <w:name w:val="标题 6 字符"/>
    <w:basedOn w:val="39"/>
    <w:link w:val="7"/>
    <w:semiHidden/>
    <w:qFormat/>
    <w:uiPriority w:val="0"/>
    <w:rPr>
      <w:rFonts w:asciiTheme="majorHAnsi" w:hAnsiTheme="majorHAnsi" w:eastAsiaTheme="majorEastAsia" w:cstheme="majorBidi"/>
      <w:b/>
      <w:bCs/>
      <w:kern w:val="2"/>
      <w:sz w:val="24"/>
      <w:szCs w:val="24"/>
    </w:rPr>
  </w:style>
  <w:style w:type="character" w:customStyle="1" w:styleId="88">
    <w:name w:val="标题 7 字符"/>
    <w:basedOn w:val="39"/>
    <w:link w:val="8"/>
    <w:semiHidden/>
    <w:qFormat/>
    <w:uiPriority w:val="0"/>
    <w:rPr>
      <w:b/>
      <w:bCs/>
      <w:kern w:val="2"/>
      <w:sz w:val="24"/>
      <w:szCs w:val="24"/>
    </w:rPr>
  </w:style>
  <w:style w:type="character" w:customStyle="1" w:styleId="89">
    <w:name w:val="标题 8 字符"/>
    <w:basedOn w:val="39"/>
    <w:link w:val="9"/>
    <w:semiHidden/>
    <w:qFormat/>
    <w:uiPriority w:val="0"/>
    <w:rPr>
      <w:rFonts w:asciiTheme="majorHAnsi" w:hAnsiTheme="majorHAnsi" w:eastAsiaTheme="majorEastAsia" w:cstheme="majorBidi"/>
      <w:kern w:val="2"/>
      <w:sz w:val="24"/>
      <w:szCs w:val="24"/>
    </w:rPr>
  </w:style>
  <w:style w:type="character" w:customStyle="1" w:styleId="90">
    <w:name w:val="标题 9 字符"/>
    <w:basedOn w:val="39"/>
    <w:link w:val="10"/>
    <w:semiHidden/>
    <w:qFormat/>
    <w:uiPriority w:val="0"/>
    <w:rPr>
      <w:rFonts w:asciiTheme="majorHAnsi" w:hAnsiTheme="majorHAnsi" w:eastAsiaTheme="majorEastAsia" w:cstheme="majorBidi"/>
      <w:kern w:val="2"/>
      <w:sz w:val="21"/>
      <w:szCs w:val="21"/>
    </w:rPr>
  </w:style>
  <w:style w:type="table" w:customStyle="1" w:styleId="91">
    <w:name w:val="三线表"/>
    <w:basedOn w:val="37"/>
    <w:qFormat/>
    <w:uiPriority w:val="99"/>
    <w:rPr>
      <w:rFonts w:asciiTheme="minorHAnsi" w:hAnsiTheme="minorHAnsi" w:eastAsiaTheme="minorEastAsia" w:cstheme="minorBidi"/>
      <w:kern w:val="2"/>
      <w:sz w:val="21"/>
      <w:szCs w:val="22"/>
    </w:rPr>
    <w:tblPr>
      <w:tblBorders>
        <w:top w:val="single" w:color="auto" w:sz="12" w:space="0"/>
        <w:bottom w:val="single" w:color="auto" w:sz="12" w:space="0"/>
      </w:tblBorders>
    </w:tbl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92">
    <w:name w:val="Bibliography"/>
    <w:basedOn w:val="1"/>
    <w:next w:val="1"/>
    <w:unhideWhenUsed/>
    <w:qFormat/>
    <w:uiPriority w:val="37"/>
    <w:pPr>
      <w:tabs>
        <w:tab w:val="left" w:pos="384"/>
      </w:tabs>
      <w:spacing w:line="240" w:lineRule="auto"/>
      <w:ind w:left="384" w:hanging="384" w:firstLineChars="200"/>
    </w:pPr>
    <w:rPr>
      <w:rFonts w:cstheme="minorBidi"/>
      <w:szCs w:val="22"/>
    </w:rPr>
  </w:style>
  <w:style w:type="table" w:customStyle="1" w:styleId="93">
    <w:name w:val="无格式表格 22"/>
    <w:basedOn w:val="37"/>
    <w:qFormat/>
    <w:uiPriority w:val="42"/>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customXml" Target="../customXml/item2.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customXml" Target="../customXml/item1.xml"/><Relationship Id="rId48" Type="http://schemas.openxmlformats.org/officeDocument/2006/relationships/image" Target="media/image27.jpe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jpeg"/><Relationship Id="rId40" Type="http://schemas.openxmlformats.org/officeDocument/2006/relationships/image" Target="media/image19.png"/><Relationship Id="rId4" Type="http://schemas.openxmlformats.org/officeDocument/2006/relationships/endnotes" Target="endnotes.xml"/><Relationship Id="rId39" Type="http://schemas.openxmlformats.org/officeDocument/2006/relationships/image" Target="media/image18.png"/><Relationship Id="rId38" Type="http://schemas.openxmlformats.org/officeDocument/2006/relationships/image" Target="media/image17.wmf"/><Relationship Id="rId37" Type="http://schemas.openxmlformats.org/officeDocument/2006/relationships/oleObject" Target="embeddings/oleObject4.bin"/><Relationship Id="rId36" Type="http://schemas.openxmlformats.org/officeDocument/2006/relationships/image" Target="media/image16.wmf"/><Relationship Id="rId35" Type="http://schemas.openxmlformats.org/officeDocument/2006/relationships/oleObject" Target="embeddings/oleObject3.bin"/><Relationship Id="rId34" Type="http://schemas.openxmlformats.org/officeDocument/2006/relationships/image" Target="media/image15.wmf"/><Relationship Id="rId33" Type="http://schemas.openxmlformats.org/officeDocument/2006/relationships/oleObject" Target="embeddings/oleObject2.bin"/><Relationship Id="rId32" Type="http://schemas.openxmlformats.org/officeDocument/2006/relationships/image" Target="media/image14.wmf"/><Relationship Id="rId31" Type="http://schemas.openxmlformats.org/officeDocument/2006/relationships/oleObject" Target="embeddings/oleObject1.bin"/><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jpeg"/><Relationship Id="rId23" Type="http://schemas.openxmlformats.org/officeDocument/2006/relationships/image" Target="media/image6.jpeg"/><Relationship Id="rId22" Type="http://schemas.openxmlformats.org/officeDocument/2006/relationships/image" Target="media/image5.jpeg"/><Relationship Id="rId21" Type="http://schemas.openxmlformats.org/officeDocument/2006/relationships/image" Target="media/image4.jpe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3BC13C-48E5-42BB-95C1-B7459CA54645}">
  <ds:schemaRefs/>
</ds:datastoreItem>
</file>

<file path=docProps/app.xml><?xml version="1.0" encoding="utf-8"?>
<Properties xmlns="http://schemas.openxmlformats.org/officeDocument/2006/extended-properties" xmlns:vt="http://schemas.openxmlformats.org/officeDocument/2006/docPropsVTypes">
  <Template>Normal</Template>
  <Company>Microsoft China</Company>
  <Pages>47</Pages>
  <Words>9709</Words>
  <Characters>10195</Characters>
  <Lines>899</Lines>
  <Paragraphs>253</Paragraphs>
  <TotalTime>1</TotalTime>
  <ScaleCrop>false</ScaleCrop>
  <LinksUpToDate>false</LinksUpToDate>
  <CharactersWithSpaces>10412</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2021-04-28T11:56:00Z</dcterms:created>
  <dc:creator>微软中国</dc:creator>
  <cp:lastModifiedBy>晨</cp:lastModifiedBy>
  <cp:lastPrinted>2024-06-25T21:54:00Z</cp:lastPrinted>
  <dcterms:modified xsi:type="dcterms:W3CDTF">2026-09-29T16:13:49Z</dcterms:modified>
  <dc:title>分类号</dc:title>
  <cp:revision>730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id="fwOWf7Ts"/&gt;&lt;style id="http://www.zotero.org/styles/university-of-electronic-science-and-technology-of-china" hasBibliography="1" bibliographyStyleHasBeenSet="1"/&gt;&lt;prefs&gt;&lt;pref name="fieldType" val</vt:lpwstr>
  </property>
  <property fmtid="{D5CDD505-2E9C-101B-9397-08002B2CF9AE}" pid="3" name="ZOTERO_PREF_2">
    <vt:lpwstr>ue="Field"/&gt;&lt;pref name="dontAskDelayCitationUpdates" value="true"/&gt;&lt;/prefs&gt;&lt;/data&gt;</vt:lpwstr>
  </property>
  <property fmtid="{D5CDD505-2E9C-101B-9397-08002B2CF9AE}" pid="4" name="KSOProductBuildVer">
    <vt:lpwstr>2052-12.1.28496.28496</vt:lpwstr>
  </property>
  <property fmtid="{D5CDD505-2E9C-101B-9397-08002B2CF9AE}" pid="5" name="ICV">
    <vt:lpwstr>AFCC709AFE3140F89E524A07AE7456DE_12</vt:lpwstr>
  </property>
  <property fmtid="{D5CDD505-2E9C-101B-9397-08002B2CF9AE}" pid="6" name="KSOTemplateDocerSaveRecord">
    <vt:lpwstr>eyJoZGlkIjoiYmRhN2M2MjJlZTBiM2JhYTFmNjIzNjEzNDExZjU0ZGQiLCJ1c2VySWQiOiIxMTQ3NjM2NjY2In0=</vt:lpwstr>
  </property>
</Properties>
</file>