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xmlns:w="http://schemas.openxmlformats.org/wordprocessingml/2006/main">
      <w:pPr>
        <w:pStyle w:val="2"/>
        <w:numPr>
          <w:numId w:val="0"/>
        </w:numPr>
      </w:pPr>
      <w:r>
        <w:t xml:space="preserve">第5章 基于演化证据约束与多智能体协同的智能建造关键技术发展研判</w:t>
      </w:r>
    </w:p>
    <w:p xmlns:w="http://schemas.openxmlformats.org/wordprocessingml/2006/main">
      <w:pPr>
        <w:spacing w:line="480" w:lineRule="auto"/>
        <w:ind w:firstLine="480" w:firstLineChars="200"/>
        <w:rPr>
          <w:rFonts w:ascii="宋体" w:hAnsi="宋体" w:eastAsia="宋体"/>
          <w:sz w:val="24"/>
          <w:szCs w:val="24"/>
        </w:rPr>
      </w:pPr>
      <w:r>
        <w:t xml:space="preserve">第三章从领域层面分析智能建造的技术成长性，第四章进一步识别关键IPC节点及九类技术主题，说明相关技术的结构演化与工程功能。在此基础上，技术预测需要回答两个相互联系的问题：已有活动变化和网络位置能够支持怎样的相对发展判断，以及这些判断在何种条件下可以转化为具体工程能力。前一问题需要可复核的量化分析，后一问题则需要对证据适用范围、技术依赖和竞争解释进行审查。仅依据专利数量排序难以保留知识组合的结构信息，仅依据语言模型生成展望又难以控制推断范围，因此本章将确定性证据融合与多智能体命题审查结合，形成从历史观察到条件性发展路径的分析框架。</w:t>
      </w:r>
    </w:p>
    <w:p xmlns:w="http://schemas.openxmlformats.org/wordprocessingml/2006/main">
      <w:pPr>
        <w:spacing w:line="480" w:lineRule="auto"/>
        <w:ind w:firstLine="480" w:firstLineChars="200"/>
        <w:rPr>
          <w:rFonts w:ascii="宋体" w:hAnsi="宋体" w:eastAsia="宋体"/>
          <w:sz w:val="24"/>
          <w:szCs w:val="24"/>
        </w:rPr>
      </w:pPr>
      <w:r>
        <w:t xml:space="preserve">本章以第四章识别的九类主题为固定对象，补充年度主题代理统计，结合IPC节点的相对位置与跨阶段变化，计算相对优先级及近期活动量估计；在方法实现层面，采用LangGraph组织原子命题生成、独立双审查、裁决和局部修订，并通过执行约束维持证据版本与判断边界。已有成果包括可复核的统计表、确定性计算程序、权重情景比较和2027—2040年技术路线图。多智能体流程的实现依据系统技术记录，其完整命题版本、双审查与裁决谱系未随本次成果导出，因而量化计算结果与路线图分析不作为五角色正式运行效果的证明。两类产物分别回答“数据如何形成判断依据”和“发展判断应如何接受审查”，共同服务于具有来源、条件及更新规则的技术预测。</w:t>
      </w:r>
    </w:p>
    <w:p xmlns:w="http://schemas.openxmlformats.org/wordprocessingml/2006/main">
      <w:pPr>
        <w:pStyle w:val="3"/>
        <w:numPr>
          <w:numId w:val="0"/>
        </w:numPr>
      </w:pPr>
      <w:r>
        <w:t xml:space="preserve">5.1 发展研判对象与演化证据输入</w:t>
      </w:r>
    </w:p>
    <w:p xmlns:w="http://schemas.openxmlformats.org/wordprocessingml/2006/main">
      <w:pPr>
        <w:pStyle w:val="4"/>
        <w:numPr>
          <w:numId w:val="0"/>
        </w:numPr>
      </w:pPr>
      <w:r>
        <w:t xml:space="preserve">5.1.1 九类关键技术主题与候选方向的对象界定</w:t>
      </w:r>
    </w:p>
    <w:p xmlns:w="http://schemas.openxmlformats.org/wordprocessingml/2006/main">
      <w:pPr>
        <w:spacing w:line="480" w:lineRule="auto"/>
        <w:ind w:firstLine="480" w:firstLineChars="200"/>
        <w:rPr>
          <w:rFonts w:ascii="宋体" w:hAnsi="宋体" w:eastAsia="宋体"/>
          <w:sz w:val="24"/>
          <w:szCs w:val="24"/>
        </w:rPr>
      </w:pPr>
      <w:r>
        <w:t xml:space="preserve">本章沿用第四章的九类技术主题，分别为多专业协同平台、参数化与生成式设计、机器人集群协同、施工全过程数字孪生、智能规范审查、建筑工程大模型技术、装配式建筑技术、建筑规模增材制造以及模块化与可重构设计。为与预测成果中的编号保持对应，下文使用T1—T9，分别等同于既有证据组织中的T01—T09。编号形式的简化不改变主题定义，也不将统计代理重新解释为主题模型产生的新分类。主题名称及代表技术仍依据第四章的926件专利文本分析结果，年度统计则使用另行整理的专利工作簿，两者通过工程含义建立联系。</w:t>
      </w:r>
    </w:p>
    <w:p xmlns:w="http://schemas.openxmlformats.org/wordprocessingml/2006/main">
      <w:pPr>
        <w:spacing w:line="480" w:lineRule="auto"/>
        <w:ind w:firstLine="480" w:firstLineChars="200"/>
        <w:rPr>
          <w:rFonts w:ascii="宋体" w:hAnsi="宋体" w:eastAsia="宋体"/>
          <w:sz w:val="24"/>
          <w:szCs w:val="24"/>
        </w:rPr>
      </w:pPr>
      <w:r>
        <w:t xml:space="preserve">固定主题集合使历史识别与未来预测具有连续的研究对象。多专业协同平台涉及跨专业信息组织，参数化设计与智能审查涉及方案及约束表达，数字孪生与机器人协同涉及状态获取和实体执行，装配式、增材制造及可重构设计涉及生产方式与构件组织，大模型技术则提供知识处理和任务解释能力。主题间的功能互补可用于提出协同问题，但不意味着每个主题均对应唯一IPC类别，亦不意味着同一专利只能归属于一个方向。研究对象的统一主要用于保持问题一致，具体统计仍应遵循各类材料的分类与去重规则。</w:t>
      </w:r>
    </w:p>
    <w:p xmlns:w="http://schemas.openxmlformats.org/wordprocessingml/2006/main">
      <w:pPr>
        <w:spacing w:line="480" w:lineRule="auto"/>
        <w:ind w:firstLine="480" w:firstLineChars="200"/>
        <w:rPr>
          <w:rFonts w:ascii="宋体" w:hAnsi="宋体" w:eastAsia="宋体"/>
          <w:sz w:val="24"/>
          <w:szCs w:val="24"/>
        </w:rPr>
      </w:pPr>
      <w:r>
        <w:t xml:space="preserve">六类潜在关键技术继续保留候选身份，分别涉及混凝土智能化搅拌与配送控制、建造过程数字化管理平台、智能塔吊与吊装机器人、生物质纤维增强可降解建材、建造物联网通用数据接口标准及地基智能监测与灾害预警。其对应IPC类别为B28C-007、G06Q-050、B66C-023、C08L-097、G16Y-010和E02D-033。候选方向用于补充九主题的使能条件与应用线索，不另行增加主题数量，也不由中心度位置直接确定未来突破年份。以材料配送为例，B28C-007能够为增材制造与现场浇筑的供应环节提供观察线索，材料输送稳定性和工程收益仍需要相应试验记录支持。</w:t>
      </w:r>
    </w:p>
    <w:p xmlns:w="http://schemas.openxmlformats.org/wordprocessingml/2006/main">
      <w:pPr>
        <w:spacing w:line="480" w:lineRule="auto"/>
        <w:ind w:firstLine="480" w:firstLineChars="200"/>
        <w:rPr>
          <w:rFonts w:ascii="宋体" w:hAnsi="宋体" w:eastAsia="宋体"/>
          <w:sz w:val="24"/>
          <w:szCs w:val="24"/>
        </w:rPr>
      </w:pPr>
      <w:r>
        <w:t xml:space="preserve">本章将技术预测理解为在明确资料范围内，对发展方向、相对活动信号和能力形成条件进行可更新判断。不同主题的证据密度并不相同，预测表达因此具有不同精细程度。较丰富的历史记录能够支持近期信号变化讨论，样本较少的主题则主要用于识别问题及监测方向。主题被纳入研究不等于获得同等强度的预测依据，保留对象范围与支持程度的差异，有助于避免在统一输出形式下产生虚假的确定性。</w:t>
      </w:r>
    </w:p>
    <w:p xmlns:w="http://schemas.openxmlformats.org/wordprocessingml/2006/main">
      <w:pPr>
        <w:pStyle w:val="4"/>
        <w:numPr>
          <w:numId w:val="0"/>
        </w:numPr>
      </w:pPr>
      <w:r>
        <w:t xml:space="preserve">5.1.2 演化证据组织、审核与版本冻结</w:t>
      </w:r>
    </w:p>
    <w:p xmlns:w="http://schemas.openxmlformats.org/wordprocessingml/2006/main">
      <w:pPr>
        <w:spacing w:line="480" w:lineRule="auto"/>
        <w:ind w:firstLine="480" w:firstLineChars="200"/>
        <w:rPr>
          <w:rFonts w:ascii="宋体" w:hAnsi="宋体" w:eastAsia="宋体"/>
          <w:sz w:val="24"/>
          <w:szCs w:val="24"/>
        </w:rPr>
      </w:pPr>
      <w:r>
        <w:t xml:space="preserve">第四章表4-6已经将主题内涵、节点演化和静态语义关系汇总为研究证据。本章在这一成果基础上，增加年度活动代理与确定性派生结果，形成能够支持后续命题审查的输入。主题事实（Q类）、IPC网络观察（N类）、静态语义关系（H类）和方法评价指标（M类）分别保留原有来源，不将轮廓系数、中心度及主题词权重转换为共同的工程成熟度尺度。原研究已经报告完成关键节点向阶段2、阶段3共926件专利的映射，当前输入未附逐条对应记录，因此其状态为已报告完成但明细未提供，不改写为映射工作尚未开展。</w:t>
      </w:r>
    </w:p>
    <w:p xmlns:w="http://schemas.openxmlformats.org/wordprocessingml/2006/main">
      <w:pPr>
        <w:spacing w:line="480" w:lineRule="auto"/>
        <w:ind w:firstLine="480" w:firstLineChars="200"/>
        <w:rPr>
          <w:rFonts w:ascii="宋体" w:hAnsi="宋体" w:eastAsia="宋体"/>
          <w:sz w:val="24"/>
          <w:szCs w:val="24"/>
        </w:rPr>
      </w:pPr>
      <w:r>
        <w:t xml:space="preserve">年度活动统计来自专利主题时间工作簿。该文件含5913条表头以外记录，与论文报告的5926件样本相差13条；程序在指定阶段区段内读取申请年份及可继承标签，取得5789条带标签记录，按题名与申请年份组合去重后为5605条。上述去重用于减少工作簿中重复文本的影响，并未依据申请号、同族关系或法律状态建立全球专利族集合。因此，年度结果统一称为主题代理活动记录数，其与论文总样本、926件主题模型样本具有不同统计范围。工作簿分段位置和标签向下继承规则参与了样本读取，分类边界若发生移动，应同步更新读取规则，而不能只替换工作簿后直接沿用结果。</w:t>
      </w:r>
    </w:p>
    <w:p xmlns:w="http://schemas.openxmlformats.org/wordprocessingml/2006/main">
      <w:pPr>
        <w:spacing w:line="480" w:lineRule="auto"/>
        <w:ind w:firstLine="480" w:firstLineChars="200"/>
        <w:rPr>
          <w:rFonts w:ascii="宋体" w:hAnsi="宋体" w:eastAsia="宋体"/>
          <w:sz w:val="24"/>
          <w:szCs w:val="24"/>
        </w:rPr>
      </w:pPr>
      <w:r>
        <w:t xml:space="preserve">表5-1 本章研究输入及统计口径</w:t>
      </w:r>
    </w:p>
    <w:tb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9"/>
        <w:gridCol w:w="2839"/>
        <w:gridCol w:w="2841"/>
      </w:tblGrid>
      <w:tr>
        <w:trPr>
          <w:tblHeader/>
          <w:cantSplit/>
        </w:trPr>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输入层次</w:t>
            </w:r>
          </w:p>
        </w:tc>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来源与数量</w:t>
            </w:r>
          </w:p>
        </w:tc>
        <w:tc>
          <w:tcPr>
            <w:tcW w:w="2841"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用途及适用范围</w:t>
            </w:r>
          </w:p>
        </w:tc>
      </w:tr>
      <w:tr>
        <w:trPr>
          <w:cantSplit/>
        </w:trPr>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领域专利样本</w:t>
            </w:r>
          </w:p>
        </w:tc>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论文报告5926件，截止2025年10月1日</w:t>
            </w:r>
          </w:p>
        </w:tc>
        <w:tc>
          <w:tcPr>
            <w:tcW w:w="2841"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提供全篇研究范围，不作为新增代理统计的直接分母</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主题识别样本</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第四章筛选映射的926件专利</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确定九类主题及语义关系，不等同于年度代理样本</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年度活动记录</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工作簿5913行；读取带标签记录5789条；题名与年份去重后5605条</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构造主题代理计数，主题可重叠，非专利族统计</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IPC阶段指标</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三阶段记录分别为75、518、979个节点</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提供节点结构与阶段变化；沿用第四章阶段含义</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近期派生结果</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2018—2024年趋势拟合，2025全年及2026年估计</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作为活动监测基线，不新增逐条专利或网络连接</w:t>
            </w:r>
          </w:p>
        </w:tc>
      </w:tr>
      <w:tr>
        <w:trPr>
          <w:cantSplit/>
        </w:trPr>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发展情景材料</w:t>
            </w:r>
          </w:p>
        </w:tc>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既有2040研究材料与本次技术路线图</w:t>
            </w:r>
          </w:p>
        </w:tc>
        <w:tc>
          <w:tcPr>
            <w:tcW w:w="2841"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组织阶段能力、功能依赖与验证条件</w:t>
            </w:r>
          </w:p>
        </w:tc>
      </w:tr>
    </w:tbl>
    <w:p xmlns:w="http://schemas.openxmlformats.org/wordprocessingml/2006/main">
      <w:pPr>
        <w:spacing w:line="480" w:lineRule="auto"/>
        <w:ind w:firstLine="480" w:firstLineChars="200"/>
        <w:rPr>
          <w:rFonts w:ascii="宋体" w:hAnsi="宋体" w:eastAsia="宋体"/>
          <w:sz w:val="24"/>
          <w:szCs w:val="24"/>
        </w:rPr>
      </w:pPr>
      <w:r>
        <w:t xml:space="preserve">主题代理的建立采用标签映射与文本词项匹配两种方式。T1聚合BIM、大数据、工程软件、区块链和智慧工地等既有标签；T2使用参数化设计、生成式设计、数字化设计与智能设计标签；T3包含机器人、架桥机、塔吊和智能施工；T4包含盾构机、工程仿真模拟、施工监测与数字孪生；T6使用大模型和自然语言处理，T7、T8分别对应装配式建筑和3D打印。标签集合体现工程功能的近似覆盖，既可能包含较宽泛的关联记录，也可能遗漏未使用相应标签的技术，故其计数不等同于BERTopic逐文档主题概率的汇总。</w:t>
      </w:r>
    </w:p>
    <w:p xmlns:w="http://schemas.openxmlformats.org/wordprocessingml/2006/main">
      <w:pPr>
        <w:spacing w:line="480" w:lineRule="auto"/>
        <w:ind w:firstLine="480" w:firstLineChars="200"/>
        <w:rPr>
          <w:rFonts w:ascii="宋体" w:hAnsi="宋体" w:eastAsia="宋体"/>
          <w:sz w:val="24"/>
          <w:szCs w:val="24"/>
        </w:rPr>
      </w:pPr>
      <w:r>
        <w:t xml:space="preserve">工作簿缺少智能规范审查和模块化与可重构设计的专门标签，T5与T9据题名及摘要中的词项组合提取。T5匹配规范与审查、审图、合规校核、施工图审核等表达，T9匹配模块化、可重构、模块组合、模块拼装及建筑构件可拆卸等表达。每个主题内部以题名和年份去重，跨主题则保留可能重叠的记录。因此，九主题年度数值不能相加为独立专利总量，关键词匹配的低覆盖也不能被理解为相关工程研究本身稀少。该统计是第五章补充的活动观察，不追溯替代第四章已有主题识别过程。</w:t>
      </w:r>
    </w:p>
    <w:p xmlns:w="http://schemas.openxmlformats.org/wordprocessingml/2006/main">
      <w:pPr>
        <w:spacing w:line="480" w:lineRule="auto"/>
        <w:ind w:firstLine="480" w:firstLineChars="200"/>
        <w:rPr>
          <w:rFonts w:ascii="宋体" w:hAnsi="宋体" w:eastAsia="宋体"/>
          <w:sz w:val="24"/>
          <w:szCs w:val="24"/>
        </w:rPr>
      </w:pPr>
      <w:r>
        <w:t xml:space="preserve">活动动量使用2018—2024年序列估计。令n_t为某主题在t年的代理计数，采用ln(1+n_t)作为响应，以中心化年份为解释变量进行加权线性回归，权重为w_t=0.72^(2024−t)。这种设置使近期变化获得较高权重，同时利用对数变换减少大规模主题对斜率估计的直接支配。回归斜率b限制在−0.15至0.25之间，并在九主题之间按极差归一化形成动量指标M。近期强度I则由2021—2024年计数之和取ln(1+总量)后归一化得到。两项指标分别表达活动变化与活动规模，保留了小基数快速变化和较大规模平稳变化之间的差别。</w:t>
      </w:r>
    </w:p>
    <w:p xmlns:w="http://schemas.openxmlformats.org/wordprocessingml/2006/main">
      <w:pPr>
        <w:spacing w:line="480" w:lineRule="auto"/>
        <w:ind w:firstLine="480" w:firstLineChars="200"/>
        <w:rPr>
          <w:rFonts w:ascii="宋体" w:hAnsi="宋体" w:eastAsia="宋体"/>
          <w:sz w:val="24"/>
          <w:szCs w:val="24"/>
        </w:rPr>
      </w:pPr>
      <w:r>
        <w:t xml:space="preserve">网络证据通过功能相关IPC集合与主题建立对应。对于阶段3节点，分别计算度中心度、中介中心度和接近中心度在该阶段中的排序百分位，记为p_D、p_B和p_C，结构分量定义为S=0.40p_D+0.35p_B+0.25p_C。共同节点的阶段变化采用Δ=D_3−D_2+0.70(B_3−B_2)，再将Δ转为百分位R；节点综合值为U=0.60S+0.40R。阶段2缺少对应节点时，程序将R设为0.55，这是计算中的默认假设，不能解释为观察到的中等跃迁。排序百分位依据已有指标表生成，仍受指标原始口径和并列值处理的影响。</w:t>
      </w:r>
    </w:p>
    <w:p xmlns:w="http://schemas.openxmlformats.org/wordprocessingml/2006/main">
      <w:pPr>
        <w:spacing w:line="480" w:lineRule="auto"/>
        <w:ind w:firstLine="480" w:firstLineChars="200"/>
        <w:rPr>
          <w:rFonts w:ascii="宋体" w:hAnsi="宋体" w:eastAsia="宋体"/>
          <w:sz w:val="24"/>
          <w:szCs w:val="24"/>
        </w:rPr>
      </w:pPr>
      <w:r>
        <w:t xml:space="preserve">主题网络分量由预先指定的功能相关IPC集合计算。T2和T6均关联G06F-030与G06N-003，T4增加测量、定位和地下监测等节点，T3关联机器人与吊装控制，T7侧重建筑结构与构件，T8侧重增材制造、材料成型和配送。在每个主题可用节点中取综合值最高的三项求均值，不足三项时使用全部可用节点，再经主题间极差归一化形成N。该对应是分析程序设定的工程功能映射，未由926件专利的逐条主题归属自动学习得到。采用最高三项能够突出主题中结构作用较强的类别，同时可能弱化其他关联节点，因而其解释范围限定为所选代表类别的相对位置。</w:t>
      </w:r>
    </w:p>
    <w:p xmlns:w="http://schemas.openxmlformats.org/wordprocessingml/2006/main">
      <w:pPr>
        <w:spacing w:line="480" w:lineRule="auto"/>
        <w:ind w:firstLine="480" w:firstLineChars="200"/>
        <w:rPr>
          <w:rFonts w:ascii="宋体" w:hAnsi="宋体" w:eastAsia="宋体"/>
          <w:sz w:val="24"/>
          <w:szCs w:val="24"/>
        </w:rPr>
      </w:pPr>
      <w:r>
        <w:t xml:space="preserve">证据融合还包含功能协同参数C。程序为T1—T9依次设定0.62、0.88、0.91、0.93、0.86、0.90、0.78、0.56和0.82，以表达对跨技术协同潜力的先验判断。这组数值不是层次聚类自动计算的融合程度，也没有独立专家评分记录，本文将其作为主观情景参数保留，并在结果评价中单独说明。基准综合指数为P=100(0.30M+0.20I+0.35N+0.15C)。指数将活动动量、近期规模、结构位置和协同假设组织到同一比较中，用于形成相对监测次序，不估计未来技术成功概率。</w:t>
      </w:r>
    </w:p>
    <w:p xmlns:w="http://schemas.openxmlformats.org/wordprocessingml/2006/main">
      <w:pPr>
        <w:spacing w:line="480" w:lineRule="auto"/>
        <w:ind w:firstLine="480" w:firstLineChars="200"/>
        <w:rPr>
          <w:rFonts w:ascii="宋体" w:hAnsi="宋体" w:eastAsia="宋体"/>
          <w:sz w:val="24"/>
          <w:szCs w:val="24"/>
        </w:rPr>
      </w:pPr>
      <w:r>
        <w:t xml:space="preserve">进入多智能体流程前，证据采用草稿、审核和冻结的版本管理。审核核对来源位置、年份、对象及适用范围，冻结后生成校验和并保留差异记录；后续补充资料创建新版本，不覆盖已冻结输入。映射材料按已提供且核验、已提供但未核验、已报告但未提供、当前不可获得四种状态记录，未知值与来源中的真实零值分开保存。校验和保证被引用版本没有无记录变更，却不证明输入内容正确，因而来源审核与版本锁定承担不同责任。本次报告中的E1、E2、E3仅为材料来源标签，未提供其与正式冻结记录的导入对应及审核记录，不能仅凭这些标签认定输入已经完成冻结。</w:t>
      </w:r>
    </w:p>
    <w:p xmlns:w="http://schemas.openxmlformats.org/wordprocessingml/2006/main">
      <w:pPr>
        <w:spacing w:line="480" w:lineRule="auto"/>
        <w:ind w:firstLine="480" w:firstLineChars="200"/>
        <w:rPr>
          <w:rFonts w:ascii="宋体" w:hAnsi="宋体" w:eastAsia="宋体"/>
          <w:sz w:val="24"/>
          <w:szCs w:val="24"/>
        </w:rPr>
      </w:pPr>
      <w:r>
        <w:t xml:space="preserve">[图5-1 既有研究证据、年度代理统计及派生结果的审核与冻结流程（待插入）]</w:t>
      </w:r>
    </w:p>
    <w:p xmlns:w="http://schemas.openxmlformats.org/wordprocessingml/2006/main">
      <w:pPr>
        <w:pStyle w:val="4"/>
        <w:numPr>
          <w:numId w:val="0"/>
        </w:numPr>
      </w:pPr>
      <w:r>
        <w:t xml:space="preserve">5.1.3 研判时域、命题类型与证据适用边界</w:t>
      </w:r>
    </w:p>
    <w:p xmlns:w="http://schemas.openxmlformats.org/wordprocessingml/2006/main">
      <w:pPr>
        <w:spacing w:line="480" w:lineRule="auto"/>
        <w:ind w:firstLine="480" w:firstLineChars="200"/>
        <w:rPr>
          <w:rFonts w:ascii="宋体" w:hAnsi="宋体" w:eastAsia="宋体"/>
          <w:sz w:val="24"/>
          <w:szCs w:val="24"/>
        </w:rPr>
      </w:pPr>
      <w:r>
        <w:t xml:space="preserve">本章区分历史观测、近期估计与中长期路线三个时间层次。2015—2024年构成既有年度代理计数窗口，其中2018—2024年用于拟合；2025年为截至2025年10月1日的部分年度记录，未参与趋势拟合；2025全年和2026年采用模型估计补充。中长期路线以2027—2030年、2031—2035年和2036—2040年组织能力目标，分别讨论接口与项目级闭环、系统协同与跨项目复制、受控自治与循环建造。后者是条件性时间窗口，不由短期趋势方程直接推出。</w:t>
      </w:r>
    </w:p>
    <w:p xmlns:w="http://schemas.openxmlformats.org/wordprocessingml/2006/main">
      <w:pPr>
        <w:spacing w:line="480" w:lineRule="auto"/>
        <w:ind w:firstLine="480" w:firstLineChars="200"/>
        <w:rPr>
          <w:rFonts w:ascii="宋体" w:hAnsi="宋体" w:eastAsia="宋体"/>
          <w:sz w:val="24"/>
          <w:szCs w:val="24"/>
        </w:rPr>
      </w:pPr>
      <w:r>
        <w:t xml:space="preserve">网络阶段沿用第四章的2010—2014年、2015—2019年和2020—2025年。本次交付图将阶段2、阶段3标注为2015—2020年和2021—2025年，但计算程序读取的是已有阶段编号及同一组指标，没有按这些新年份重新构建网络。因此，本文按阶段1、阶段2和阶段3解释既有节点轨迹，保持与第四章一致；年度代理统计中的2021—2024年仅是近期强度窗口，不据此改变IPC网络划分。图注年份差异作为来源标识问题保留核查，避免将标签变化表述为新的实证计算。</w:t>
      </w:r>
    </w:p>
    <w:p xmlns:w="http://schemas.openxmlformats.org/wordprocessingml/2006/main">
      <w:pPr>
        <w:spacing w:line="480" w:lineRule="auto"/>
        <w:ind w:firstLine="480" w:firstLineChars="200"/>
        <w:rPr>
          <w:rFonts w:ascii="宋体" w:hAnsi="宋体" w:eastAsia="宋体"/>
          <w:sz w:val="24"/>
          <w:szCs w:val="24"/>
        </w:rPr>
      </w:pPr>
      <w:r>
        <w:t xml:space="preserve">发展命题分为历史观察、条件外推、目标情景和证据不足。历史观察复述有出处的主题、数值和结构关系；条件外推说明在何种假设下可能形成后续能力；目标情景组织远期任务及依赖；证据不足则保留暂不能判断的问题。数据驱动的近期活动估计属于模型派生结果，引用时同时给出拟合窗口、参数和区间性质。某项技术被赋予较高优先级，只能说明其在既定比较规则下获得较高分值，不能使其远期路线自动成为历史证据的必然结果。</w:t>
      </w:r>
    </w:p>
    <w:p xmlns:w="http://schemas.openxmlformats.org/wordprocessingml/2006/main">
      <w:pPr>
        <w:spacing w:line="480" w:lineRule="auto"/>
        <w:ind w:firstLine="480" w:firstLineChars="200"/>
        <w:rPr>
          <w:rFonts w:ascii="宋体" w:hAnsi="宋体" w:eastAsia="宋体"/>
          <w:sz w:val="24"/>
          <w:szCs w:val="24"/>
        </w:rPr>
      </w:pPr>
      <w:r>
        <w:t xml:space="preserve">材料生成时间与专利观察时间亦应分别处理。当前成果在既有专利资料基础上整理，2026年估计未包含新检索的逐条专利及其IPC共现关系，不能据此构建2026年网络或宣称已取得2026年实际增长。面向未来年份的能力陈述则必须保留前置条件与验证要求，使读者能够区分既有数据、模型补充及工程规划。由这一时间分层建立的输入边界，既允许利用新增分析，又保持了第三、四章历史结果的原有含义。</w:t>
      </w:r>
    </w:p>
    <w:p xmlns:w="http://schemas.openxmlformats.org/wordprocessingml/2006/main">
      <w:pPr>
        <w:pStyle w:val="3"/>
        <w:numPr>
          <w:numId w:val="0"/>
        </w:numPr>
      </w:pPr>
      <w:r>
        <w:t xml:space="preserve">5.2 以原子命题为核心的多智能体协同机制</w:t>
      </w:r>
    </w:p>
    <w:p xmlns:w="http://schemas.openxmlformats.org/wordprocessingml/2006/main">
      <w:pPr>
        <w:pStyle w:val="4"/>
        <w:numPr>
          <w:numId w:val="0"/>
        </w:numPr>
      </w:pPr>
      <w:r>
        <w:t xml:space="preserve">5.2.1 五类研究职责与局部修订器的权限划分</w:t>
      </w:r>
    </w:p>
    <w:p xmlns:w="http://schemas.openxmlformats.org/wordprocessingml/2006/main">
      <w:pPr>
        <w:spacing w:line="480" w:lineRule="auto"/>
        <w:ind w:firstLine="480" w:firstLineChars="200"/>
        <w:rPr>
          <w:rFonts w:ascii="宋体" w:hAnsi="宋体" w:eastAsia="宋体"/>
          <w:sz w:val="24"/>
          <w:szCs w:val="24"/>
        </w:rPr>
      </w:pPr>
      <w:r>
        <w:t xml:space="preserve">证据融合能够压缩多维信息，但无法单独判断技术路径的完整性。相同指数可能来自不同的动量、规模或网络组合，较高网络分量也不能说明工程条件已经满足。多智能体机制因此围绕解释、提出命题、查找反证、检查实现条件和处理争议分配研究职责，使量化线索进入可审查的推理过程。各角色共享同一版本的原始材料，分析结论以中间产物传递，避免前序摘要替代原始依据。</w:t>
      </w:r>
    </w:p>
    <w:p xmlns:w="http://schemas.openxmlformats.org/wordprocessingml/2006/main">
      <w:pPr>
        <w:spacing w:line="480" w:lineRule="auto"/>
        <w:ind w:firstLine="480" w:firstLineChars="200"/>
        <w:rPr>
          <w:rFonts w:ascii="宋体" w:hAnsi="宋体" w:eastAsia="宋体"/>
          <w:sz w:val="24"/>
          <w:szCs w:val="24"/>
        </w:rPr>
      </w:pPr>
      <w:r>
        <w:t xml:space="preserve">演化分析智能体读取主题定义、历史指标和派生统计，形成带来源的观察摘要，保留相反变化及缺失值。发展命题生成智能体据此提出具有对象、场景和时期的发展判断，说明从观察通向能力目标的推理桥梁。两者分别负责描述与推演，均无权改写输入记录。若主题网络分量来自功能映射，生成命题时需保留这一关系性质，不能将代表节点的百分位改称主题的真实中心度。</w:t>
      </w:r>
    </w:p>
    <w:p xmlns:w="http://schemas.openxmlformats.org/wordprocessingml/2006/main">
      <w:pPr>
        <w:spacing w:line="480" w:lineRule="auto"/>
        <w:ind w:firstLine="480" w:firstLineChars="200"/>
        <w:rPr>
          <w:rFonts w:ascii="宋体" w:hAnsi="宋体" w:eastAsia="宋体"/>
          <w:sz w:val="24"/>
          <w:szCs w:val="24"/>
        </w:rPr>
      </w:pPr>
      <w:r>
        <w:t xml:space="preserve">反向审查智能体检查竞争解释、时间泄漏、因果越界和范围漂移，工程审查智能体检查任务、接口、环境、安全和验证要求。两类审查针对同一命题版本独立执行，彼此不读取审查草稿，使不同审查视角能够保留各自的问题。独立执行属于信息组织约束，不保证基础模型在知识和推理上的统计独立性。工程审查意见同样属于模型产物，需接受来源和条件检查，不能替代实际工程专家的署名评价。</w:t>
      </w:r>
    </w:p>
    <w:p xmlns:w="http://schemas.openxmlformats.org/wordprocessingml/2006/main">
      <w:pPr>
        <w:spacing w:line="480" w:lineRule="auto"/>
        <w:ind w:firstLine="480" w:firstLineChars="200"/>
        <w:rPr>
          <w:rFonts w:ascii="宋体" w:hAnsi="宋体" w:eastAsia="宋体"/>
          <w:sz w:val="24"/>
          <w:szCs w:val="24"/>
        </w:rPr>
      </w:pPr>
      <w:r>
        <w:t xml:space="preserve">表5-2 多智能体职责与执行权限</w:t>
      </w:r>
    </w:p>
    <w:tb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9"/>
        <w:gridCol w:w="2839"/>
        <w:gridCol w:w="2841"/>
      </w:tblGrid>
      <w:tr>
        <w:trPr>
          <w:tblHeader/>
          <w:cantSplit/>
        </w:trPr>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组件</w:t>
            </w:r>
          </w:p>
        </w:tc>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主要输入与输出</w:t>
            </w:r>
          </w:p>
        </w:tc>
        <w:tc>
          <w:tcPr>
            <w:tcW w:w="2841"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权限边界</w:t>
            </w:r>
          </w:p>
        </w:tc>
      </w:tr>
      <w:tr>
        <w:trPr>
          <w:cantSplit/>
        </w:trPr>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演化分析智能体</w:t>
            </w:r>
          </w:p>
        </w:tc>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原始证据与统计结果→带来源的观察摘要</w:t>
            </w:r>
          </w:p>
        </w:tc>
        <w:tc>
          <w:tcPr>
            <w:tcW w:w="2841"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不修改证据，不补算未知指标</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发展命题生成智能体</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证据、摘要与时域→原子发展命题</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可提出假设，不新增历史事实</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反向审查智能体</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同版本命题与证据→反证及竞争解释</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标记问题，不覆盖命题</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工程审查智能体</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同版本命题与场景→实现条件及验证要求</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不将模型意见作为专家实证</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裁决智能体</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校验结果与双审意见→接受、修订、降级或暂缓</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按证据处理争议，不采用多数表决</w:t>
            </w:r>
          </w:p>
        </w:tc>
      </w:tr>
      <w:tr>
        <w:trPr>
          <w:cantSplit/>
        </w:trPr>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局部命题修订器</w:t>
            </w:r>
          </w:p>
        </w:tc>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被裁决的问题→受影响命题的新版本</w:t>
            </w:r>
          </w:p>
        </w:tc>
        <w:tc>
          <w:tcPr>
            <w:tcW w:w="2841"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仅修改目标字段，不修改证据及旧版本</w:t>
            </w:r>
          </w:p>
        </w:tc>
      </w:tr>
    </w:tbl>
    <w:p xmlns:w="http://schemas.openxmlformats.org/wordprocessingml/2006/main">
      <w:pPr>
        <w:spacing w:line="480" w:lineRule="auto"/>
        <w:ind w:firstLine="480" w:firstLineChars="200"/>
        <w:rPr>
          <w:rFonts w:ascii="宋体" w:hAnsi="宋体" w:eastAsia="宋体"/>
          <w:sz w:val="24"/>
          <w:szCs w:val="24"/>
        </w:rPr>
      </w:pPr>
      <w:r>
        <w:t xml:space="preserve">裁决智能体根据问题与证据的关系形成处理决定。文字遗漏可以通过修订补足，关键依据缺失则需要降级或暂缓，证据内部矛盾无法消解时应保留争议。局部命题修订器是裁决驱动的执行辅助器，并不作为第六类独立专家角色；确定性校验器负责可程序化检查，也不计入智能体数量。这样的分工使研究判断、文本修订与规则执行各有边界，避免用角色数量替代方法作用的解释。</w:t>
      </w:r>
    </w:p>
    <w:p xmlns:w="http://schemas.openxmlformats.org/wordprocessingml/2006/main">
      <w:pPr>
        <w:pStyle w:val="4"/>
        <w:numPr>
          <w:numId w:val="0"/>
        </w:numPr>
      </w:pPr>
      <w:r>
        <w:t xml:space="preserve">5.2.2 发展命题构建与证据推理链</w:t>
      </w:r>
    </w:p>
    <w:p xmlns:w="http://schemas.openxmlformats.org/wordprocessingml/2006/main">
      <w:pPr>
        <w:spacing w:line="480" w:lineRule="auto"/>
        <w:ind w:firstLine="480" w:firstLineChars="200"/>
        <w:rPr>
          <w:rFonts w:ascii="宋体" w:hAnsi="宋体" w:eastAsia="宋体"/>
          <w:sz w:val="24"/>
          <w:szCs w:val="24"/>
        </w:rPr>
      </w:pPr>
      <w:r>
        <w:t xml:space="preserve">本研究以能够独立判断真伪或适用条件的原子命题作为审查单元。每条命题保存对象、版本、类型、目标时期、场景、陈述、证据编号、数值断言及推理依据，并记录前置假设、验证要求、竞争解释和未解决缺口。一个句子若同时包含历史增长、原因解释和远期实现年份，应拆分为多条命题，使已获支持的观察不掩盖未经验证的推断。原子化的目的不是将论文写成碎片，而是为连贯论述建立可追溯的判断基础。</w:t>
      </w:r>
    </w:p>
    <w:p xmlns:w="http://schemas.openxmlformats.org/wordprocessingml/2006/main">
      <w:pPr>
        <w:spacing w:line="480" w:lineRule="auto"/>
        <w:ind w:firstLine="480" w:firstLineChars="200"/>
        <w:rPr>
          <w:rFonts w:ascii="宋体" w:hAnsi="宋体" w:eastAsia="宋体"/>
          <w:sz w:val="24"/>
          <w:szCs w:val="24"/>
        </w:rPr>
      </w:pPr>
      <w:r>
        <w:t xml:space="preserve">以机器人集群协同为例，B25J-011三个阶段的度中心度分别为0.0405、0.0832和0.1462，支持相关分类节点直接连接范围扩展的观察；主题代理计数则由2021年的350条增至2022年的456条，随后降至2023年的192条，2024年为199条。两类资料共同表明结构位置与近期数量变化并不完全同步。发展命题可以据此将关注点放在多设备接口及任务协同，但“协同效率已经提高”仍需要工程对照。由已有联系推向能力目标时，应把定位、通信和安全处置作为条件写入，而不以网络连接增加代替现场性能证明。</w:t>
      </w:r>
    </w:p>
    <w:p xmlns:w="http://schemas.openxmlformats.org/wordprocessingml/2006/main">
      <w:pPr>
        <w:spacing w:line="480" w:lineRule="auto"/>
        <w:ind w:firstLine="480" w:firstLineChars="200"/>
        <w:rPr>
          <w:rFonts w:ascii="宋体" w:hAnsi="宋体" w:eastAsia="宋体"/>
          <w:sz w:val="24"/>
          <w:szCs w:val="24"/>
        </w:rPr>
      </w:pPr>
      <w:r>
        <w:t xml:space="preserve">增材制造提供了另一类推理链。B33Y-070的度中心度由0.1257降至0.0951，中介中心度由0.0349升至0.0532，说明相对连接广度与桥接作用呈不同变化。T8代理计数在2022年为120条，2024年为53条，进一步提示数量扩张不足以概括其结构角色。围绕材料配送、打印成型和构件安装提出组合路线具有功能依据，但产业化整合是否已经发生仍需生产记录和应用资料。命题应将混合制造保留为待验证方向，同时说明层间性能、连接可靠性和质量追踪等实现要求。</w:t>
      </w:r>
    </w:p>
    <w:p xmlns:w="http://schemas.openxmlformats.org/wordprocessingml/2006/main">
      <w:pPr>
        <w:spacing w:line="480" w:lineRule="auto"/>
        <w:ind w:firstLine="480" w:firstLineChars="200"/>
        <w:rPr>
          <w:rFonts w:ascii="宋体" w:hAnsi="宋体" w:eastAsia="宋体"/>
          <w:sz w:val="24"/>
          <w:szCs w:val="24"/>
        </w:rPr>
      </w:pPr>
      <w:r>
        <w:t xml:space="preserve">静态语义关系在推理链中承担问题生成作用。第四章中T2、T5和T9形成的较近语义联系，可用于讨论设计生成、审查与模块重组之间的信息衔接；T4与T7的联系可用于讨论施工状态和装配计划。语义关系没有提供变化速度和协同收益，因而跨主题箭头需标明其来源于静态关系或工程功能假设。对未来能力的判断越具体，所需证据也越具体；当输入仅能支持功能关联时，输出应停留于验证问题及条件性路径。</w:t>
      </w:r>
    </w:p>
    <w:p xmlns:w="http://schemas.openxmlformats.org/wordprocessingml/2006/main">
      <w:pPr>
        <w:pStyle w:val="4"/>
        <w:numPr>
          <w:numId w:val="0"/>
        </w:numPr>
      </w:pPr>
      <w:r>
        <w:t xml:space="preserve">5.2.3 独立双审查与证据裁决机制</w:t>
      </w:r>
    </w:p>
    <w:p xmlns:w="http://schemas.openxmlformats.org/wordprocessingml/2006/main">
      <w:pPr>
        <w:spacing w:line="480" w:lineRule="auto"/>
        <w:ind w:firstLine="480" w:firstLineChars="200"/>
        <w:rPr>
          <w:rFonts w:ascii="宋体" w:hAnsi="宋体" w:eastAsia="宋体"/>
          <w:sz w:val="24"/>
          <w:szCs w:val="24"/>
        </w:rPr>
      </w:pPr>
      <w:r>
        <w:t xml:space="preserve">反向审查针对推理中可能存在的替代解释展开。活动计数变化可能受到标签覆盖、公开滞后及检索范围影响，中心度变化可能受到样本扩展和其他节点关系调整影响，综合分值又包含人工权重与协同参数。审查因而检查命题是否把多个解释压缩为唯一原因，是否将模型补充值当作新观测，是否将相对排名扩大为投资回报或技术成熟程度。缺少反例记录只能说明当前输入未覆盖相关信息，不构成替代解释已被排除的依据。</w:t>
      </w:r>
    </w:p>
    <w:p xmlns:w="http://schemas.openxmlformats.org/wordprocessingml/2006/main">
      <w:pPr>
        <w:spacing w:line="480" w:lineRule="auto"/>
        <w:ind w:firstLine="480" w:firstLineChars="200"/>
        <w:rPr>
          <w:rFonts w:ascii="宋体" w:hAnsi="宋体" w:eastAsia="宋体"/>
          <w:sz w:val="24"/>
          <w:szCs w:val="24"/>
        </w:rPr>
      </w:pPr>
      <w:r>
        <w:t xml:space="preserve">工程审查将能力目标还原为可执行任务。数字孪生辅助调度需具备对象对应、可接受的状态误差、更新时延及执行接口；大模型辅助审查需要规范版本、条文适用条件、错误定位及责任边界；模块重构则涉及连接、受力、机电接口和多次拆装后的性能。审查通过这些条件判断发展命题是否遗漏实现环节，而不根据叙述完整或技术名称先进作出肯定结论。验证要求应与具体任务关联，不能由一组通用安全词项替代工程分析。</w:t>
      </w:r>
    </w:p>
    <w:p xmlns:w="http://schemas.openxmlformats.org/wordprocessingml/2006/main">
      <w:pPr>
        <w:spacing w:line="480" w:lineRule="auto"/>
        <w:ind w:firstLine="480" w:firstLineChars="200"/>
        <w:rPr>
          <w:rFonts w:ascii="宋体" w:hAnsi="宋体" w:eastAsia="宋体"/>
          <w:sz w:val="24"/>
          <w:szCs w:val="24"/>
        </w:rPr>
      </w:pPr>
      <w:r>
        <w:t xml:space="preserve">两类审查完成后，裁决将问题与证据逐项对应。若数值转述正确但能力推断过强，可保留历史观察并降级未来命题；若必要条件遗漏且能够通过限定场景解决，则发出局部修订要求；若证据存在无法消除的冲突，则暂缓相应判断。接受表示在给定输入与支持等级下允许进入路线图，不表示未来事件已被证实。审查发现保留稳定编号及处理状态，关闭问题必须指向解决它的新命题版本，避免以文字变化代替实质修正。</w:t>
      </w:r>
    </w:p>
    <w:p xmlns:w="http://schemas.openxmlformats.org/wordprocessingml/2006/main">
      <w:pPr>
        <w:spacing w:line="480" w:lineRule="auto"/>
        <w:ind w:firstLine="480" w:firstLineChars="200"/>
        <w:rPr>
          <w:rFonts w:ascii="宋体" w:hAnsi="宋体" w:eastAsia="宋体"/>
          <w:sz w:val="24"/>
          <w:szCs w:val="24"/>
        </w:rPr>
      </w:pPr>
      <w:r>
        <w:t xml:space="preserve">[图5-2 原子发展命题的确定性校验、独立双审查及证据裁决关系（待插入）]</w:t>
      </w:r>
    </w:p>
    <w:p xmlns:w="http://schemas.openxmlformats.org/wordprocessingml/2006/main">
      <w:pPr>
        <w:pStyle w:val="3"/>
        <w:numPr>
          <w:numId w:val="0"/>
        </w:numPr>
      </w:pPr>
      <w:r>
        <w:t xml:space="preserve">5.3 基于LangGraph与执行约束的研判流程实现</w:t>
      </w:r>
    </w:p>
    <w:p xmlns:w="http://schemas.openxmlformats.org/wordprocessingml/2006/main">
      <w:pPr>
        <w:pStyle w:val="4"/>
        <w:numPr>
          <w:numId w:val="0"/>
        </w:numPr>
      </w:pPr>
      <w:r>
        <w:t xml:space="preserve">5.3.1 状态编排、主题并行与命题级处理</w:t>
      </w:r>
    </w:p>
    <w:p xmlns:w="http://schemas.openxmlformats.org/wordprocessingml/2006/main">
      <w:pPr>
        <w:spacing w:line="480" w:lineRule="auto"/>
        <w:ind w:firstLine="480" w:firstLineChars="200"/>
        <w:rPr>
          <w:rFonts w:ascii="宋体" w:hAnsi="宋体" w:eastAsia="宋体"/>
          <w:sz w:val="24"/>
          <w:szCs w:val="24"/>
        </w:rPr>
      </w:pPr>
      <w:r>
        <w:t xml:space="preserve">本研究采用LangGraph组织任务状态和条件分支，将冻结证据、演化分析、命题生成、校验、双审查、裁决与路线图连接为可恢复流程。围绕流程设置的输入边界、权限、校验、版本及终止规则构成执行约束体系，即harness。其作用是控制判断的形成过程，使每次修改可以定位到具体问题和版本；技术发展趋势的数值计算仍由确定性程序完成，不由执行框架本身产生。</w:t>
      </w:r>
    </w:p>
    <w:p xmlns:w="http://schemas.openxmlformats.org/wordprocessingml/2006/main">
      <w:pPr>
        <w:spacing w:line="480" w:lineRule="auto"/>
        <w:ind w:firstLine="480" w:firstLineChars="200"/>
        <w:rPr>
          <w:rFonts w:ascii="宋体" w:hAnsi="宋体" w:eastAsia="宋体"/>
          <w:sz w:val="24"/>
          <w:szCs w:val="24"/>
        </w:rPr>
      </w:pPr>
      <w:r>
        <w:t xml:space="preserve">共享状态包含只读证据和可更新分析产物。只读部分保存对象定义、证据包版本、阶段、日期和原始数值；分析部分保存观察摘要、命题版本、审查发现、裁决、支持等级及路线图。各主题可并行完成演化分析和初始命题生成，随后转入逐命题处理，使一个主题中的证据缺口不必阻断其他命题。并行方式改变任务安排，并不自动减少总调用量或提高判断正确性，其效率需要运行记录评价。</w:t>
      </w:r>
    </w:p>
    <w:p xmlns:w="http://schemas.openxmlformats.org/wordprocessingml/2006/main">
      <w:pPr>
        <w:spacing w:line="480" w:lineRule="auto"/>
        <w:ind w:firstLine="480" w:firstLineChars="200"/>
        <w:rPr>
          <w:rFonts w:ascii="宋体" w:hAnsi="宋体" w:eastAsia="宋体"/>
          <w:sz w:val="24"/>
          <w:szCs w:val="24"/>
        </w:rPr>
      </w:pPr>
      <w:r>
        <w:t xml:space="preserve">在信息传递上，原始证据与分析摘要共同进入命题生成，确定性检查先于独立双审查，裁决读取同一命题版本对应的全部检查结果。跨主题综合则读取完整命题、路线图、前置条件及保留异议，而非只读取简化摘要。这样的传递关系能够保留结论形成时的重要限定，使从局部主题到全局路线的综合不因再次压缩而放大支持强度。</w:t>
      </w:r>
    </w:p>
    <w:p xmlns:w="http://schemas.openxmlformats.org/wordprocessingml/2006/main">
      <w:pPr>
        <w:pStyle w:val="4"/>
        <w:numPr>
          <w:numId w:val="0"/>
        </w:numPr>
      </w:pPr>
      <w:r>
        <w:t xml:space="preserve">5.3.2 确定性校验、局部修订与复审闭环</w:t>
      </w:r>
    </w:p>
    <w:p xmlns:w="http://schemas.openxmlformats.org/wordprocessingml/2006/main">
      <w:pPr>
        <w:spacing w:line="480" w:lineRule="auto"/>
        <w:ind w:firstLine="480" w:firstLineChars="200"/>
        <w:rPr>
          <w:rFonts w:ascii="宋体" w:hAnsi="宋体" w:eastAsia="宋体"/>
          <w:sz w:val="24"/>
          <w:szCs w:val="24"/>
        </w:rPr>
      </w:pPr>
      <w:r>
        <w:t xml:space="preserve">确定性校验将可直接核对的问题与模型语义判断分开处理。引用校验检查证据编号、对象、阶段、日期及来源位置是否属于冻结版本；数值校验核对单位、方向和数值是否对应原记录；推断边界校验识别节点到主题、中心度到工程性能、静态语义到动态加速、专利活动到成熟度等越界转换。通过编号检查只说明引用对象存在，命题是否获得完整语义支持仍需进一步审查。</w:t>
      </w:r>
    </w:p>
    <w:p xmlns:w="http://schemas.openxmlformats.org/wordprocessingml/2006/main">
      <w:pPr>
        <w:spacing w:line="480" w:lineRule="auto"/>
        <w:ind w:firstLine="480" w:firstLineChars="200"/>
        <w:rPr>
          <w:rFonts w:ascii="宋体" w:hAnsi="宋体" w:eastAsia="宋体"/>
          <w:sz w:val="24"/>
          <w:szCs w:val="24"/>
        </w:rPr>
      </w:pPr>
      <w:r>
        <w:t xml:space="preserve">局部修订由裁决结果驱动，仅对受影响命题创建新版本，并保留父版本、问题编号和修改原因。修订后重新执行确定性校验及独立双审查，避免修复某一问题时引入新的数值或条件错误。每条命题采用运行清单规定的修订上限，达到上限仍未解决时保留修订耗尽状态，其他命题继续处理。上限是资源与流程控制条件，不意味着超过该次数的问题必然不可解决。</w:t>
      </w:r>
    </w:p>
    <w:p xmlns:w="http://schemas.openxmlformats.org/wordprocessingml/2006/main">
      <w:pPr>
        <w:spacing w:line="480" w:lineRule="auto"/>
        <w:ind w:firstLine="480" w:firstLineChars="200"/>
        <w:rPr>
          <w:rFonts w:ascii="宋体" w:hAnsi="宋体" w:eastAsia="宋体"/>
          <w:sz w:val="24"/>
          <w:szCs w:val="24"/>
        </w:rPr>
      </w:pPr>
      <w:r>
        <w:t xml:space="preserve">这种闭环将审查意见转化为能够追踪的处理关系。对增材制造“各项中心度同步上升”的错误陈述，数值校验可以定位度中心度方向不符；修订将其改为“连接广度下降而桥接作用增强”，还需由双审查判断后续产业解释是否保留适当边界。若修订只是增加限定词而仍声称规模化应用已得到证明，原问题应继续保持打开状态。复审由此针对命题含义，而不是机械确认文本发生变化。</w:t>
      </w:r>
    </w:p>
    <w:p xmlns:w="http://schemas.openxmlformats.org/wordprocessingml/2006/main">
      <w:pPr>
        <w:pStyle w:val="4"/>
        <w:numPr>
          <w:numId w:val="0"/>
        </w:numPr>
      </w:pPr>
      <w:r>
        <w:t xml:space="preserve">5.3.3 人工审核、版本追踪与异常恢复</w:t>
      </w:r>
    </w:p>
    <w:p xmlns:w="http://schemas.openxmlformats.org/wordprocessingml/2006/main">
      <w:pPr>
        <w:spacing w:line="480" w:lineRule="auto"/>
        <w:ind w:firstLine="480" w:firstLineChars="200"/>
        <w:rPr>
          <w:rFonts w:ascii="宋体" w:hAnsi="宋体" w:eastAsia="宋体"/>
          <w:sz w:val="24"/>
          <w:szCs w:val="24"/>
        </w:rPr>
      </w:pPr>
      <w:r>
        <w:t xml:space="preserve">流程设置证据、命题和发布三个人工审核点。证据审核确认输入来源、映射状态及缺失说明；命题审核检查引用、双审查与裁决是否充分对应；发布审核核对路线图、跨主题联系及结果覆盖。人工编辑同样创建新的权威命题版本，原始机器产物与修改原因保留在谱系中。人工参与用于明确研究责任，不将未署名的模型工程审查等同于外部专家确认。</w:t>
      </w:r>
    </w:p>
    <w:p xmlns:w="http://schemas.openxmlformats.org/wordprocessingml/2006/main">
      <w:pPr>
        <w:spacing w:line="480" w:lineRule="auto"/>
        <w:ind w:firstLine="480" w:firstLineChars="200"/>
        <w:rPr>
          <w:rFonts w:ascii="宋体" w:hAnsi="宋体" w:eastAsia="宋体"/>
          <w:sz w:val="24"/>
          <w:szCs w:val="24"/>
        </w:rPr>
      </w:pPr>
      <w:r>
        <w:t xml:space="preserve">图检查点、节点事件和完整状态支持中断恢复及异常隔离。运行中出现某条命题处理失败时，可以保存已完成部分和失败原因，而不是将部分结果标记为全部完成；幂等重试用于避免相同节点重复写入冲突记录。证据更新则创建新输入版本，与原任务区分，便于判断结论变化究竟来自新增资料、模型配置还是命题修订。对来源相同的多份报告，应在证据层标识转述关系，不能因文件数量增加而重复计算支持程度。</w:t>
      </w:r>
    </w:p>
    <w:p xmlns:w="http://schemas.openxmlformats.org/wordprocessingml/2006/main">
      <w:pPr>
        <w:spacing w:line="480" w:lineRule="auto"/>
        <w:ind w:firstLine="480" w:firstLineChars="200"/>
        <w:rPr>
          <w:rFonts w:ascii="宋体" w:hAnsi="宋体" w:eastAsia="宋体"/>
          <w:sz w:val="24"/>
          <w:szCs w:val="24"/>
        </w:rPr>
      </w:pPr>
      <w:r>
        <w:t xml:space="preserve">[图5-3 基于LangGraph的主题并行、局部复审、人工审核与异常恢复流程（待插入）]</w:t>
      </w:r>
    </w:p>
    <w:p xmlns:w="http://schemas.openxmlformats.org/wordprocessingml/2006/main">
      <w:pPr>
        <w:pStyle w:val="4"/>
        <w:numPr>
          <w:numId w:val="0"/>
        </w:numPr>
      </w:pPr>
      <w:r>
        <w:t xml:space="preserve">5.3.4 命题终态、证据支持等级与路线图生成</w:t>
      </w:r>
    </w:p>
    <w:p xmlns:w="http://schemas.openxmlformats.org/wordprocessingml/2006/main">
      <w:pPr>
        <w:spacing w:line="480" w:lineRule="auto"/>
        <w:ind w:firstLine="480" w:firstLineChars="200"/>
        <w:rPr>
          <w:rFonts w:ascii="宋体" w:hAnsi="宋体" w:eastAsia="宋体"/>
          <w:sz w:val="24"/>
          <w:szCs w:val="24"/>
        </w:rPr>
      </w:pPr>
      <w:r>
        <w:t xml:space="preserve">命题处理区分接受、降级接受、暂缓、证据不足及修订耗尽等结果，执行失败与取消则在任务层保留。结果报告需要同时呈现可以进入路线图的命题与未解决部分，避免只保留成功输出。证据支持等级表示命题与现有材料之间的关系，与模型主观信心、综合指数和未来事件概率均不相同。T4获得较高融合分值，并不意味着其所有远期命题均具有较强支持；T5虽然活动计数较少，也可能具有能够明确陈述的工程需求，二者需要分别评价。</w:t>
      </w:r>
    </w:p>
    <w:p xmlns:w="http://schemas.openxmlformats.org/wordprocessingml/2006/main">
      <w:pPr>
        <w:spacing w:line="480" w:lineRule="auto"/>
        <w:ind w:firstLine="480" w:firstLineChars="200"/>
        <w:rPr>
          <w:rFonts w:ascii="宋体" w:hAnsi="宋体" w:eastAsia="宋体"/>
          <w:sz w:val="24"/>
          <w:szCs w:val="24"/>
        </w:rPr>
      </w:pPr>
      <w:r>
        <w:t xml:space="preserve">路线图仅从接受或降级接受的命题版本形成里程碑，保留时期、能力、前置条件、验证要求、来源及异议。技术成熟度等级只有在具备明确量表和对应证据时才填写，否则使用能力描述。跨主题关系区分网络观察、静态语义关系、经审核的模型派生结果和功能假设，箭头说明技术支撑关系而非因果识别结果。这一组织方式使路线图能够回到具体命题，亦能够在条件未满足时调整时间或缩小适用场景。</w:t>
      </w:r>
    </w:p>
    <w:p xmlns:w="http://schemas.openxmlformats.org/wordprocessingml/2006/main">
      <w:pPr>
        <w:spacing w:line="480" w:lineRule="auto"/>
        <w:ind w:firstLine="480" w:firstLineChars="200"/>
        <w:rPr>
          <w:rFonts w:ascii="宋体" w:hAnsi="宋体" w:eastAsia="宋体"/>
          <w:sz w:val="24"/>
          <w:szCs w:val="24"/>
        </w:rPr>
      </w:pPr>
      <w:r>
        <w:t xml:space="preserve">近期活动量估计属于确定性证据预处理，与命题生成分别执行，其结果作为派生材料进入研判流程。以2024年计数与1的较大值作为基数n_0，按截断后的趋势斜率b计算h年后的中心估计，记Hₕ＝1＋0.88＋…＋0.88的（h−1）次方，则n̂₂₀₂₄₊ₕ＝n₀·exp（bHₕ）。逐年衰减系数0.88限制长期增长累积，估计结果四舍五入为整数。区间宽度采用δₕ＝1.282·max（RMSE，0.20）·√（1＋h/4），上下界为n̂·exp（±δₕ），其中RMSE为加权回归残差均方根。程序中的80%标记属于探索性区间设定，尚未经过留出样本覆盖率校准，本文不将其称为具有覆盖保证的预测置信区间。</w:t>
      </w:r>
    </w:p>
    <w:p xmlns:w="http://schemas.openxmlformats.org/wordprocessingml/2006/main">
      <w:pPr>
        <w:spacing w:line="480" w:lineRule="auto"/>
        <w:ind w:firstLine="480" w:firstLineChars="200"/>
        <w:rPr>
          <w:rFonts w:ascii="宋体" w:hAnsi="宋体" w:eastAsia="宋体"/>
          <w:sz w:val="24"/>
          <w:szCs w:val="24"/>
        </w:rPr>
      </w:pPr>
      <w:r>
        <w:t xml:space="preserve">本次成果包包含年度计数、节点分量、主题分值、近期估计和路线图，可据程序追踪确定性计算过程；未同时提供正式冻结证据任务的全量命题、双审查、裁决及人工审核导出。因此，5.4据实际已有计算产物呈现结果，并将路线图作为这些结果与既有发展材料上的条件性分析，不报告未经记录支持的命题接受率、局部修订效果或五角色性能。方法实现与结果归属在此分开，使已有数值成果得到充分利用，同时保留多智能体实证评价所需的证据边界。</w:t>
      </w:r>
    </w:p>
    <w:p xmlns:w="http://schemas.openxmlformats.org/wordprocessingml/2006/main">
      <w:pPr>
        <w:pStyle w:val="3"/>
        <w:numPr>
          <w:numId w:val="0"/>
        </w:numPr>
      </w:pPr>
      <w:r>
        <w:t xml:space="preserve">5.4 智能建造关键技术预测结果与条件性发展路径</w:t>
      </w:r>
    </w:p>
    <w:p xmlns:w="http://schemas.openxmlformats.org/wordprocessingml/2006/main">
      <w:pPr>
        <w:pStyle w:val="4"/>
        <w:numPr>
          <w:numId w:val="0"/>
        </w:numPr>
      </w:pPr>
      <w:r>
        <w:t xml:space="preserve">5.4.1 多源证据融合优先级与近期活动量预测</w:t>
      </w:r>
    </w:p>
    <w:p xmlns:w="http://schemas.openxmlformats.org/wordprocessingml/2006/main">
      <w:pPr>
        <w:spacing w:line="480" w:lineRule="auto"/>
        <w:ind w:firstLine="480" w:firstLineChars="200"/>
        <w:rPr>
          <w:rFonts w:ascii="宋体" w:hAnsi="宋体" w:eastAsia="宋体"/>
          <w:sz w:val="24"/>
          <w:szCs w:val="24"/>
        </w:rPr>
      </w:pPr>
      <w:r>
        <w:t xml:space="preserve">基准权重下，施工全过程数字孪生以94.80分位于九主题首位，多专业协同平台、建筑工程大模型和参数化与生成式设计分别为89.81、85.16和84.36分。机器人集群协同与智能规范审查分别为72.70和72.45分，模块化与可重构设计、装配式建筑及建筑规模增材制造分别为56.10、42.50和24.92分。该次序是既定代理、功能映射和参数共同作用的结果，表达各方向在当前比较中的相对位置，未将工程收益或市场需求直接纳入计算。</w:t>
      </w:r>
    </w:p>
    <w:p xmlns:w="http://schemas.openxmlformats.org/wordprocessingml/2006/main">
      <w:pPr>
        <w:spacing w:line="480" w:lineRule="auto"/>
        <w:ind w:firstLine="480" w:firstLineChars="200"/>
        <w:rPr>
          <w:rFonts w:ascii="宋体" w:hAnsi="宋体" w:eastAsia="宋体"/>
          <w:sz w:val="24"/>
          <w:szCs w:val="24"/>
        </w:rPr>
      </w:pPr>
      <w:r>
        <w:t xml:space="preserve">表5-3 九类主题的融合指数与权重情景名次</w:t>
      </w:r>
    </w:p>
    <w:tb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9"/>
        <w:gridCol w:w="1419"/>
        <w:gridCol w:w="1419"/>
        <w:gridCol w:w="1419"/>
        <w:gridCol w:w="1419"/>
        <w:gridCol w:w="1424"/>
      </w:tblGrid>
      <w:tr>
        <w:trPr>
          <w:tblHeader/>
          <w:cantSplit/>
        </w:trPr>
        <w:tc>
          <w:tcPr>
            <w:tcW w:w="141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主题</w:t>
            </w:r>
          </w:p>
        </w:tc>
        <w:tc>
          <w:tcPr>
            <w:tcW w:w="141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2021—2024年记录数</w:t>
            </w:r>
          </w:p>
        </w:tc>
        <w:tc>
          <w:tcPr>
            <w:tcW w:w="141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基准指数</w:t>
            </w:r>
          </w:p>
        </w:tc>
        <w:tc>
          <w:tcPr>
            <w:tcW w:w="141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活动侧重指数</w:t>
            </w:r>
          </w:p>
        </w:tc>
        <w:tc>
          <w:tcPr>
            <w:tcW w:w="141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结构侧重指数</w:t>
            </w:r>
          </w:p>
        </w:tc>
        <w:tc>
          <w:tcPr>
            <w:tcW w:w="1424"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三情景名次范围</w:t>
            </w:r>
          </w:p>
        </w:tc>
      </w:tr>
      <w:tr>
        <w:trPr>
          <w:cantSplit/>
        </w:trPr>
        <w:tc>
          <w:tcPr>
            <w:tcW w:w="141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T4 施工全过程数字孪生</w:t>
            </w:r>
          </w:p>
        </w:tc>
        <w:tc>
          <w:tcPr>
            <w:tcW w:w="141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432</w:t>
            </w:r>
          </w:p>
        </w:tc>
        <w:tc>
          <w:tcPr>
            <w:tcW w:w="141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94.80</w:t>
            </w:r>
          </w:p>
        </w:tc>
        <w:tc>
          <w:tcPr>
            <w:tcW w:w="141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92.76</w:t>
            </w:r>
          </w:p>
        </w:tc>
        <w:tc>
          <w:tcPr>
            <w:tcW w:w="141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95.41</w:t>
            </w:r>
          </w:p>
        </w:tc>
        <w:tc>
          <w:tcPr>
            <w:tcW w:w="1424"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1</w:t>
            </w:r>
          </w:p>
        </w:tc>
      </w:tr>
      <w:tr>
        <w:trPr>
          <w:cantSplit/>
        </w:trPr>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T1 多专业协同平台</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1080</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89.81</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92.60</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87.36</w:t>
            </w:r>
          </w:p>
        </w:tc>
        <w:tc>
          <w:tcPr>
            <w:tcW w:w="1424"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2—4</w:t>
            </w:r>
          </w:p>
        </w:tc>
      </w:tr>
      <w:tr>
        <w:trPr>
          <w:cantSplit/>
        </w:trPr>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T6 建筑工程大模型</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30</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85.16</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76.32</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88.66</w:t>
            </w:r>
          </w:p>
        </w:tc>
        <w:tc>
          <w:tcPr>
            <w:tcW w:w="1424"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2—3</w:t>
            </w:r>
          </w:p>
        </w:tc>
      </w:tr>
      <w:tr>
        <w:trPr>
          <w:cantSplit/>
        </w:trPr>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T2 参数化与生成式设计</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26</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84.36</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75.27</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87.91</w:t>
            </w:r>
          </w:p>
        </w:tc>
        <w:tc>
          <w:tcPr>
            <w:tcW w:w="1424"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3—4</w:t>
            </w:r>
          </w:p>
        </w:tc>
      </w:tr>
      <w:tr>
        <w:trPr>
          <w:cantSplit/>
        </w:trPr>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T3 机器人集群协同</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1197</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72.70</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69.83</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78.93</w:t>
            </w:r>
          </w:p>
        </w:tc>
        <w:tc>
          <w:tcPr>
            <w:tcW w:w="1424"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5—6</w:t>
            </w:r>
          </w:p>
        </w:tc>
      </w:tr>
      <w:tr>
        <w:trPr>
          <w:cantSplit/>
        </w:trPr>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T5 智能规范审查</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4</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72.45</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57.76</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79.87</w:t>
            </w:r>
          </w:p>
        </w:tc>
        <w:tc>
          <w:tcPr>
            <w:tcW w:w="1424"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5—6</w:t>
            </w:r>
          </w:p>
        </w:tc>
      </w:tr>
      <w:tr>
        <w:trPr>
          <w:cantSplit/>
        </w:trPr>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T9 模块化与可重构设计</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38</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56.10</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47.34</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63.52</w:t>
            </w:r>
          </w:p>
        </w:tc>
        <w:tc>
          <w:tcPr>
            <w:tcW w:w="1424"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7</w:t>
            </w:r>
          </w:p>
        </w:tc>
      </w:tr>
      <w:tr>
        <w:trPr>
          <w:cantSplit/>
        </w:trPr>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T7 装配式建筑</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800</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42.50</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45.61</w:t>
            </w:r>
          </w:p>
        </w:tc>
        <w:tc>
          <w:tcPr>
            <w:tcW w:w="141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45.40</w:t>
            </w:r>
          </w:p>
        </w:tc>
        <w:tc>
          <w:tcPr>
            <w:tcW w:w="1424"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8</w:t>
            </w:r>
          </w:p>
        </w:tc>
      </w:tr>
      <w:tr>
        <w:trPr>
          <w:cantSplit/>
        </w:trPr>
        <w:tc>
          <w:tcPr>
            <w:tcW w:w="141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T8 建筑规模增材制造</w:t>
            </w:r>
          </w:p>
        </w:tc>
        <w:tc>
          <w:tcPr>
            <w:tcW w:w="141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332</w:t>
            </w:r>
          </w:p>
        </w:tc>
        <w:tc>
          <w:tcPr>
            <w:tcW w:w="141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24.92</w:t>
            </w:r>
          </w:p>
        </w:tc>
        <w:tc>
          <w:tcPr>
            <w:tcW w:w="141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33.17</w:t>
            </w:r>
          </w:p>
        </w:tc>
        <w:tc>
          <w:tcPr>
            <w:tcW w:w="141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22.65</w:t>
            </w:r>
          </w:p>
        </w:tc>
        <w:tc>
          <w:tcPr>
            <w:tcW w:w="1424"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9</w:t>
            </w:r>
          </w:p>
        </w:tc>
      </w:tr>
    </w:tbl>
    <w:p xmlns:w="http://schemas.openxmlformats.org/wordprocessingml/2006/main">
      <w:pPr>
        <w:spacing w:line="480" w:lineRule="auto"/>
        <w:ind w:firstLine="480" w:firstLineChars="200"/>
        <w:rPr>
          <w:rFonts w:ascii="宋体" w:hAnsi="宋体" w:eastAsia="宋体"/>
          <w:sz w:val="24"/>
          <w:szCs w:val="24"/>
        </w:rPr>
      </w:pPr>
      <w:r>
        <w:t xml:space="preserve">表中数据来自本次预测成果的主题评分表。活动侧重和结构侧重仅改变四项分量权重，具体设置见5.5.1；指数不是投资收益、市场份额或技术成功概率。</w:t>
      </w:r>
    </w:p>
    <w:p xmlns:w="http://schemas.openxmlformats.org/wordprocessingml/2006/main">
      <w:pPr>
        <w:spacing w:line="480" w:lineRule="auto"/>
        <w:ind w:firstLine="480" w:firstLineChars="200"/>
        <w:rPr>
          <w:rFonts w:ascii="宋体" w:hAnsi="宋体" w:eastAsia="宋体"/>
          <w:sz w:val="24"/>
          <w:szCs w:val="24"/>
        </w:rPr>
      </w:pPr>
      <w:r>
        <w:t xml:space="preserve">数字孪生的领先由活动信号和代表节点结构共同支撑。其年度代理计数从2020年的24条增至2021年的98条，2024年为130条；与其功能相关的G06F-030、G06N-003和G01B-011在后期网络中的连接范围扩大。其中G06F-030的度中心度由0.0967增至0.1943，中介中心度由0.0533增至0.0745，G01B-011的度中心度由0.0077增至0.0746。这些变化支持模型表达、智能处理与状态获取之间的关联受到更多关注，但尚未直接测量感知—预测—控制闭环的现场表现。数字孪生因而适合作为优先开展项目级闭环验证的方向，其排序含义应落实到验证任务而非直接转化为普遍部署判断。</w:t>
      </w:r>
    </w:p>
    <w:p xmlns:w="http://schemas.openxmlformats.org/wordprocessingml/2006/main">
      <w:pPr>
        <w:spacing w:line="480" w:lineRule="auto"/>
        <w:ind w:firstLine="480" w:firstLineChars="200"/>
        <w:rPr>
          <w:rFonts w:ascii="宋体" w:hAnsi="宋体" w:eastAsia="宋体"/>
          <w:sz w:val="24"/>
          <w:szCs w:val="24"/>
        </w:rPr>
      </w:pPr>
      <w:r>
        <w:t xml:space="preserve">协同平台具有较大的活动基础，2021—2024年共1080条，年度数值由244条增至301条，中间仍存在2023年的回落。其基准分值位列第二，在结构侧重情景中降至第四，说明规模和动量对其相对位置具有作用。平台的工程意义在于为设计、审查、孪生及大模型提供共同对象与变更信息，因而验证重点应是信息是否能够跨角色准确传递，而非仅以数据接入量说明协同效果。可信工程数据空间和数字线程可以作为后续能力方向，其实现仍依赖接口、版本及权责安排。</w:t>
      </w:r>
    </w:p>
    <w:p xmlns:w="http://schemas.openxmlformats.org/wordprocessingml/2006/main">
      <w:pPr>
        <w:spacing w:line="480" w:lineRule="auto"/>
        <w:ind w:firstLine="480" w:firstLineChars="200"/>
        <w:rPr>
          <w:rFonts w:ascii="宋体" w:hAnsi="宋体" w:eastAsia="宋体"/>
          <w:sz w:val="24"/>
          <w:szCs w:val="24"/>
        </w:rPr>
      </w:pPr>
      <w:r>
        <w:t xml:space="preserve">T6与T2分别只有30条和26条近期代理记录，却位于基准排名第三、第四，反映其较高动量及共享计算节点的影响。T6在2024年由此前较低基数增至24条，T2为11条，小样本变化使相对斜率较高。T2、T4和T6的年化信号动量均约28.4%，源于回归斜率达到0.25的截断上限，而不是三类技术具有相同真实增长速度。T2与T6又使用相同的G06F-030、G06N-003功能映射，网络分量相同不能作为两个方向独立获得相互验证的证据。对这组对象，更适宜结合具体任务识别能力约束，并通过持续更新观察增长能否保持。</w:t>
      </w:r>
    </w:p>
    <w:p xmlns:w="http://schemas.openxmlformats.org/wordprocessingml/2006/main">
      <w:pPr>
        <w:spacing w:line="480" w:lineRule="auto"/>
        <w:ind w:firstLine="480" w:firstLineChars="200"/>
        <w:rPr>
          <w:rFonts w:ascii="宋体" w:hAnsi="宋体" w:eastAsia="宋体"/>
          <w:sz w:val="24"/>
          <w:szCs w:val="24"/>
        </w:rPr>
      </w:pPr>
      <w:r>
        <w:t xml:space="preserve">机器人集群协同在近期具有1197条记录，为九主题中最高，但其加权年化动量约为7.53%，低于若干小基数方向。数量规模、增长动量与网络位置的综合使其处于第五至第六位。该结果不削弱机器人在实体作业中的作用，而是提示后续研究应区分已有设备应用范围和新增协同能力。智能规范审查与其基准分值接近，却仅有4条近期关键词代理记录，说明相近指数可能来自完全不同的证据结构。对T5而言，相关计算节点和预设协同参数贡献较大，排名需与低覆盖事实共同解释，不能据接近的分值认定二者具有相当的实证基础。</w:t>
      </w:r>
    </w:p>
    <w:p xmlns:w="http://schemas.openxmlformats.org/wordprocessingml/2006/main">
      <w:pPr>
        <w:spacing w:line="480" w:lineRule="auto"/>
        <w:ind w:firstLine="480" w:firstLineChars="200"/>
        <w:rPr>
          <w:rFonts w:ascii="宋体" w:hAnsi="宋体" w:eastAsia="宋体"/>
          <w:sz w:val="24"/>
          <w:szCs w:val="24"/>
        </w:rPr>
      </w:pPr>
      <w:r>
        <w:t xml:space="preserve">T7与T8分别有800条和332条近期记录，但年化动量接近零，因而在当前规则下排名靠后。装配式建筑由2021年的267条降至2024年的145条，增材制造由91条降至53条，显示代理活动在该窗口内回落。其原因可能涉及检索覆盖、研发热点变化或技术应用调整，现有数据不足以确认成熟、衰退或产业化转型。将装配式建筑、增材制造与机器人、模块化相联系，属于基于工程功能提出的组合路径，需要进一步考察构件性能、成本、接口和应用记录。</w:t>
      </w:r>
    </w:p>
    <w:p xmlns:w="http://schemas.openxmlformats.org/wordprocessingml/2006/main">
      <w:pPr>
        <w:spacing w:line="480" w:lineRule="auto"/>
        <w:ind w:firstLine="480" w:firstLineChars="200"/>
        <w:rPr>
          <w:rFonts w:ascii="宋体" w:hAnsi="宋体" w:eastAsia="宋体"/>
          <w:sz w:val="24"/>
          <w:szCs w:val="24"/>
        </w:rPr>
      </w:pPr>
      <w:r>
        <w:t xml:space="preserve">表5-4 主要主题的近期活动量中心估计与探索性区间</w:t>
      </w:r>
    </w:p>
    <w:tb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3"/>
        <w:gridCol w:w="1703"/>
        <w:gridCol w:w="1703"/>
        <w:gridCol w:w="1703"/>
        <w:gridCol w:w="1707"/>
      </w:tblGrid>
      <w:tr>
        <w:trPr>
          <w:tblHeader/>
          <w:cantSplit/>
        </w:trPr>
        <w:tc>
          <w:tcPr>
            <w:tcW w:w="1703"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主题</w:t>
            </w:r>
          </w:p>
        </w:tc>
        <w:tc>
          <w:tcPr>
            <w:tcW w:w="1703"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2024年观测</w:t>
            </w:r>
          </w:p>
        </w:tc>
        <w:tc>
          <w:tcPr>
            <w:tcW w:w="1703"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2025年部分观测</w:t>
            </w:r>
          </w:p>
        </w:tc>
        <w:tc>
          <w:tcPr>
            <w:tcW w:w="1703"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2025年全年估计</w:t>
            </w:r>
          </w:p>
        </w:tc>
        <w:tc>
          <w:tcPr>
            <w:tcW w:w="1707"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2026年估计</w:t>
            </w:r>
          </w:p>
        </w:tc>
      </w:tr>
      <w:tr>
        <w:trPr>
          <w:cantSplit/>
        </w:trPr>
        <w:tc>
          <w:tcPr>
            <w:tcW w:w="1703"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T1 多专业协同平台</w:t>
            </w:r>
          </w:p>
        </w:tc>
        <w:tc>
          <w:tcPr>
            <w:tcW w:w="1703"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301</w:t>
            </w:r>
          </w:p>
        </w:tc>
        <w:tc>
          <w:tcPr>
            <w:tcW w:w="1703"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85</w:t>
            </w:r>
          </w:p>
        </w:tc>
        <w:tc>
          <w:tcPr>
            <w:tcW w:w="1703"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383（279—526）</w:t>
            </w:r>
          </w:p>
        </w:tc>
        <w:tc>
          <w:tcPr>
            <w:tcW w:w="1707"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473（334—670）</w:t>
            </w:r>
          </w:p>
        </w:tc>
      </w:tr>
      <w:tr>
        <w:trPr>
          <w:cantSplit/>
        </w:trPr>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T2 参数化与生成式设计</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11</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3</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14（8—26）</w:t>
            </w:r>
          </w:p>
        </w:tc>
        <w:tc>
          <w:tcPr>
            <w:tcW w:w="1707"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18（9—34）</w:t>
            </w:r>
          </w:p>
        </w:tc>
      </w:tr>
      <w:tr>
        <w:trPr>
          <w:cantSplit/>
        </w:trPr>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T3 机器人集群协同</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199</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66</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214（114—401）</w:t>
            </w:r>
          </w:p>
        </w:tc>
        <w:tc>
          <w:tcPr>
            <w:tcW w:w="1707"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228（115—454）</w:t>
            </w:r>
          </w:p>
        </w:tc>
      </w:tr>
      <w:tr>
        <w:trPr>
          <w:cantSplit/>
        </w:trPr>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T4 施工全过程数字孪生</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130</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56</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167（104—267）</w:t>
            </w:r>
          </w:p>
        </w:tc>
        <w:tc>
          <w:tcPr>
            <w:tcW w:w="1707"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208（124—349）</w:t>
            </w:r>
          </w:p>
        </w:tc>
      </w:tr>
      <w:tr>
        <w:trPr>
          <w:cantSplit/>
        </w:trPr>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T6 建筑工程大模型</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24</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10</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31（13—72）</w:t>
            </w:r>
          </w:p>
        </w:tc>
        <w:tc>
          <w:tcPr>
            <w:tcW w:w="1707"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38（15—97）</w:t>
            </w:r>
          </w:p>
        </w:tc>
      </w:tr>
      <w:tr>
        <w:trPr>
          <w:cantSplit/>
        </w:trPr>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T7 装配式建筑</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145</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35</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145（99—211）</w:t>
            </w:r>
          </w:p>
        </w:tc>
        <w:tc>
          <w:tcPr>
            <w:tcW w:w="1707"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145（96—219）</w:t>
            </w:r>
          </w:p>
        </w:tc>
      </w:tr>
      <w:tr>
        <w:trPr>
          <w:cantSplit/>
        </w:trPr>
        <w:tc>
          <w:tcPr>
            <w:tcW w:w="1703"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T8 建筑规模增材制造</w:t>
            </w:r>
          </w:p>
        </w:tc>
        <w:tc>
          <w:tcPr>
            <w:tcW w:w="1703"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53</w:t>
            </w:r>
          </w:p>
        </w:tc>
        <w:tc>
          <w:tcPr>
            <w:tcW w:w="1703"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0</w:t>
            </w:r>
          </w:p>
        </w:tc>
        <w:tc>
          <w:tcPr>
            <w:tcW w:w="1703"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53（33—85）</w:t>
            </w:r>
          </w:p>
        </w:tc>
        <w:tc>
          <w:tcPr>
            <w:tcW w:w="1707"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54（32—90）</w:t>
            </w:r>
          </w:p>
        </w:tc>
      </w:tr>
    </w:tbl>
    <w:p xmlns:w="http://schemas.openxmlformats.org/wordprocessingml/2006/main">
      <w:pPr>
        <w:spacing w:line="480" w:lineRule="auto"/>
        <w:ind w:firstLine="480" w:firstLineChars="200"/>
        <w:rPr>
          <w:rFonts w:ascii="宋体" w:hAnsi="宋体" w:eastAsia="宋体"/>
          <w:sz w:val="24"/>
          <w:szCs w:val="24"/>
        </w:rPr>
      </w:pPr>
      <w:r>
        <w:t xml:space="preserve">表中单位为主题代理活动记录数，括号为程序按80%标记生成的未校准探索性区间；2025年部分观测截止2025年10月1日，不能与全年估计相加。T5、T9因关键词代理及低覆盖，不在主表中突出精确数量外推，其机器结果保留于研究附件。</w:t>
      </w:r>
    </w:p>
    <w:p xmlns:w="http://schemas.openxmlformats.org/wordprocessingml/2006/main">
      <w:pPr>
        <w:spacing w:line="480" w:lineRule="auto"/>
        <w:ind w:firstLine="480" w:firstLineChars="200"/>
        <w:rPr>
          <w:rFonts w:ascii="宋体" w:hAnsi="宋体" w:eastAsia="宋体"/>
          <w:sz w:val="24"/>
          <w:szCs w:val="24"/>
        </w:rPr>
      </w:pPr>
      <w:r>
        <w:t xml:space="preserve">近期估计延续了历史信号的差异。T1与T4的2026年中心值分别为473条和208条，T3为228条，说明在所设衰减规则下，平台及数字孪生的近期动量比机器人方向更强。T6的中心值为38条，区间为15—97条，范围相对较宽；T2为18条，区间为9—34条，亦体现小基数外推的不稳定。这里的区间反映模型残差及步长的设定，并未覆盖标签误差、主题映射变化和宏观条件冲击等全部不确定性。数值适合构成后续监测的比较基线，不宜作为年度专利实际产出的精确承诺。</w:t>
      </w:r>
    </w:p>
    <w:p xmlns:w="http://schemas.openxmlformats.org/wordprocessingml/2006/main">
      <w:pPr>
        <w:spacing w:line="480" w:lineRule="auto"/>
        <w:ind w:firstLine="480" w:firstLineChars="200"/>
        <w:rPr>
          <w:rFonts w:ascii="宋体" w:hAnsi="宋体" w:eastAsia="宋体"/>
          <w:sz w:val="24"/>
          <w:szCs w:val="24"/>
        </w:rPr>
      </w:pPr>
      <w:r>
        <w:t xml:space="preserve">2025年部分观测为这种解释提供了必要限制。T8截至检索日记录为零，全年估计仍为53条，原因是估计以2024年及历史趋势计算，没有把当年部分记录作为修正输入。两者并不属于同一次抽样下可以直接互换的数值，也不能将估计当作遗漏专利的逐条补全。后续获得完整记录后，应比较预测误差、公开滞后和检索覆盖，再决定是否修正参数。将部分观测单列有助于保持这一差异，避免折线图的连续形状掩盖观测与生成值之间的界线。</w:t>
      </w:r>
    </w:p>
    <w:p xmlns:w="http://schemas.openxmlformats.org/wordprocessingml/2006/main">
      <w:pPr>
        <w:spacing w:line="480" w:lineRule="auto"/>
        <w:ind w:firstLine="480" w:firstLineChars="200"/>
        <w:rPr>
          <w:rFonts w:ascii="宋体" w:hAnsi="宋体" w:eastAsia="宋体"/>
          <w:sz w:val="24"/>
          <w:szCs w:val="24"/>
        </w:rPr>
      </w:pPr>
      <w:r>
        <w:t xml:space="preserve">[图5-4 智能建造关键技术预测的多源证据融合结果（待插入）]</w:t>
      </w:r>
    </w:p>
    <w:p xmlns:w="http://schemas.openxmlformats.org/wordprocessingml/2006/main">
      <w:pPr>
        <w:spacing w:line="480" w:lineRule="auto"/>
        <w:ind w:firstLine="480" w:firstLineChars="200"/>
        <w:rPr>
          <w:rFonts w:ascii="宋体" w:hAnsi="宋体" w:eastAsia="宋体"/>
          <w:sz w:val="24"/>
          <w:szCs w:val="24"/>
        </w:rPr>
      </w:pPr>
      <w:r>
        <w:t xml:space="preserve">图注：A为年度主题代理计数的ln(记录数+1)，2015—2024年为既有计数，2025全年及2026年为模型估计，2026年竖线为未校准的80%探索性区间；B使用第四章阶段1、2、3的既有IPC指标，交付图将阶段2、3标记为2015—2020年和2021—2025年，与第四章窗口不同；计算沿用原阶段表，年份标签变化不代表重新构建网络；C横轴为结构水平与阶段变化混合的归一化网络分量，纵轴为截断后动量的归一化值，未同时展示强度和协同参数，气泡面积与2021—2026年累计活动量成正比，其中含两年模型估计。主题可重叠，累计值不等于独立专利总量。</w:t>
      </w:r>
    </w:p>
    <w:p xmlns:w="http://schemas.openxmlformats.org/wordprocessingml/2006/main">
      <w:pPr>
        <w:pStyle w:val="4"/>
        <w:numPr>
          <w:numId w:val="0"/>
        </w:numPr>
      </w:pPr>
      <w:r>
        <w:t xml:space="preserve">5.4.2 技术协同关系与分阶段发展路径</w:t>
      </w:r>
    </w:p>
    <w:p xmlns:w="http://schemas.openxmlformats.org/wordprocessingml/2006/main">
      <w:pPr>
        <w:spacing w:line="480" w:lineRule="auto"/>
        <w:ind w:firstLine="480" w:firstLineChars="200"/>
        <w:rPr>
          <w:rFonts w:ascii="宋体" w:hAnsi="宋体" w:eastAsia="宋体"/>
          <w:sz w:val="24"/>
          <w:szCs w:val="24"/>
        </w:rPr>
      </w:pPr>
      <w:r>
        <w:t xml:space="preserve">融合指数形成了观察重点，工程路径则需要进一步说明技术如何共同完成任务。图5-5将九主题的发展组织为奠基、扩展和转型三个时期，采用目标能力及前置条件建立联系。平台向大模型、审查及数字孪生提供数据组织，大模型向设计与机器人提供知识及任务解释，数字孪生向机器人提供状态反馈，参数化设计向可重构和增材制造提供几何及约束，模块化接口再支持装配式实施。这些联系来源于主题内容、网络背景和工程功能推理，属于路线规划假设，尚未形成经因果验证的技术依赖图。</w:t>
      </w:r>
    </w:p>
    <w:p xmlns:w="http://schemas.openxmlformats.org/wordprocessingml/2006/main">
      <w:pPr>
        <w:spacing w:line="480" w:lineRule="auto"/>
        <w:ind w:firstLine="480" w:firstLineChars="200"/>
        <w:rPr>
          <w:rFonts w:ascii="宋体" w:hAnsi="宋体" w:eastAsia="宋体"/>
          <w:sz w:val="24"/>
          <w:szCs w:val="24"/>
        </w:rPr>
      </w:pPr>
      <w:r>
        <w:t xml:space="preserve">2027—2030年的奠基路径以接口统一和项目级闭环为中心。协同平台通过开放BIM和公共数据环境组织跨角色工作流，使模型对象、变更及责任能够对应；大模型围绕领域知识组织和受约束助手提供解释服务；智能审查采用规则与模型相结合的方式处理条文适用及对象校核。在这一基础上，参数化设计将多目标生成与可建造约束连接，模块化方向形成标准接口和可重构原型。数字孪生从状态展示进入特定项目的反馈任务，机器人在高危和重复工序开展多机试点，装配式与增材制造分别完善构件追踪及材料—工艺—结构验证。</w:t>
      </w:r>
    </w:p>
    <w:p xmlns:w="http://schemas.openxmlformats.org/wordprocessingml/2006/main">
      <w:pPr>
        <w:spacing w:line="480" w:lineRule="auto"/>
        <w:ind w:firstLine="480" w:firstLineChars="200"/>
        <w:rPr>
          <w:rFonts w:ascii="宋体" w:hAnsi="宋体" w:eastAsia="宋体"/>
          <w:sz w:val="24"/>
          <w:szCs w:val="24"/>
        </w:rPr>
      </w:pPr>
      <w:r>
        <w:t xml:space="preserve">路线图中工程大模型的领域RAG与知识图谱表示被预测技术本身可能采用的知识组织方向，不改变本章以固定证据、确定性计算和多智能体审查开展技术预测的方法。工程助手能否进入实际任务，取决于来源可追溯、规则校验和异常处置是否与任务接口衔接。检索命中或回答流畅本身不足以证明执行可靠，需考察错误能否被识别、建议是否在授权范围内以及人工能否接管。该条件也使大模型与智能审查的结合具有明确边界，而非假定语言能力能够直接替代专业责任。</w:t>
      </w:r>
    </w:p>
    <w:p xmlns:w="http://schemas.openxmlformats.org/wordprocessingml/2006/main">
      <w:pPr>
        <w:spacing w:line="480" w:lineRule="auto"/>
        <w:ind w:firstLine="480" w:firstLineChars="200"/>
        <w:rPr>
          <w:rFonts w:ascii="宋体" w:hAnsi="宋体" w:eastAsia="宋体"/>
          <w:sz w:val="24"/>
          <w:szCs w:val="24"/>
        </w:rPr>
      </w:pPr>
      <w:r>
        <w:t xml:space="preserve">2031—2035年的扩展路径要求前期能力能够跨任务和跨项目复用。协同平台向可信工程数据空间与数字线程发展，大模型支持多模态任务生成、工具调用及可追溯执行，审查进入多模态人机共审。设计端将面向制造与装配的设计模块库与审查反馈连接，模块化方向推进自动构型及快速装拆；施工端由数字孪生组织质量、安全、进度的预测性控制，机器人进行异构调度与基于状态的任务重规划。相应扩展依赖统一对象和可比较验证，单一示范项目的成功不能直接证明不同项目条件下的可迁移性。</w:t>
      </w:r>
    </w:p>
    <w:p xmlns:w="http://schemas.openxmlformats.org/wordprocessingml/2006/main">
      <w:pPr>
        <w:spacing w:line="480" w:lineRule="auto"/>
        <w:ind w:firstLine="480" w:firstLineChars="200"/>
        <w:rPr>
          <w:rFonts w:ascii="宋体" w:hAnsi="宋体" w:eastAsia="宋体"/>
          <w:sz w:val="24"/>
          <w:szCs w:val="24"/>
        </w:rPr>
      </w:pPr>
      <w:r>
        <w:t xml:space="preserve">2036—2040年的转型路径强调受控自治和循环建造。协同平台支持跨组织知识联系与数据治理，大模型进入经验证的智能体编排，智能审查贯通设计、施工和运维的持续合规。设计将全寿命与循环利用约束纳入目标，模块体系支持功能变化和重复拆装，数字孪生扩展至项目群及资产状态的连续表达。机器人与人工作业在明确安全边界内协同，装配式与增材制造探索规模化定制、构件复用及混合低碳制造。完全无人化不作为默认前提，远期能力仍受成本、环境、组织和责任机制约束。</w:t>
      </w:r>
    </w:p>
    <w:p xmlns:w="http://schemas.openxmlformats.org/wordprocessingml/2006/main">
      <w:pPr>
        <w:spacing w:line="480" w:lineRule="auto"/>
        <w:ind w:firstLine="480" w:firstLineChars="200"/>
        <w:rPr>
          <w:rFonts w:ascii="宋体" w:hAnsi="宋体" w:eastAsia="宋体"/>
          <w:sz w:val="24"/>
          <w:szCs w:val="24"/>
        </w:rPr>
      </w:pPr>
      <w:r>
        <w:t xml:space="preserve">表5-5 九类主题的阶段能力与主要前置条件</w:t>
      </w:r>
    </w:p>
    <w:tb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3"/>
        <w:gridCol w:w="1703"/>
        <w:gridCol w:w="1703"/>
        <w:gridCol w:w="1703"/>
        <w:gridCol w:w="1707"/>
      </w:tblGrid>
      <w:tr>
        <w:trPr>
          <w:tblHeader/>
          <w:cantSplit/>
        </w:trPr>
        <w:tc>
          <w:tcPr>
            <w:tcW w:w="1703"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主题</w:t>
            </w:r>
          </w:p>
        </w:tc>
        <w:tc>
          <w:tcPr>
            <w:tcW w:w="1703"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2027—2030年</w:t>
            </w:r>
          </w:p>
        </w:tc>
        <w:tc>
          <w:tcPr>
            <w:tcW w:w="1703"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2031—2035年</w:t>
            </w:r>
          </w:p>
        </w:tc>
        <w:tc>
          <w:tcPr>
            <w:tcW w:w="1703"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2036—2040年</w:t>
            </w:r>
          </w:p>
        </w:tc>
        <w:tc>
          <w:tcPr>
            <w:tcW w:w="1707"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主要前置条件</w:t>
            </w:r>
          </w:p>
        </w:tc>
      </w:tr>
      <w:tr>
        <w:trPr>
          <w:cantSplit/>
        </w:trPr>
        <w:tc>
          <w:tcPr>
            <w:tcW w:w="1703"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T1 协同平台</w:t>
            </w:r>
          </w:p>
        </w:tc>
        <w:tc>
          <w:tcPr>
            <w:tcW w:w="1703"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跨角色工作流</w:t>
            </w:r>
          </w:p>
        </w:tc>
        <w:tc>
          <w:tcPr>
            <w:tcW w:w="1703"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可信数据空间与数字线程</w:t>
            </w:r>
          </w:p>
        </w:tc>
        <w:tc>
          <w:tcPr>
            <w:tcW w:w="1703"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跨组织知识网络</w:t>
            </w:r>
          </w:p>
        </w:tc>
        <w:tc>
          <w:tcPr>
            <w:tcW w:w="1707"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对象统一、开放接口、数据权属</w:t>
            </w:r>
          </w:p>
        </w:tc>
      </w:tr>
      <w:tr>
        <w:trPr>
          <w:cantSplit/>
        </w:trPr>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T2 生成式设计</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约束驱动的多目标生成</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制造装配模块库与审查反馈</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全寿命与循环约束设计</w:t>
            </w:r>
          </w:p>
        </w:tc>
        <w:tc>
          <w:tcPr>
            <w:tcW w:w="1707"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性能模型、条文表达、方案验证</w:t>
            </w:r>
          </w:p>
        </w:tc>
      </w:tr>
      <w:tr>
        <w:trPr>
          <w:cantSplit/>
        </w:trPr>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T3 机器人集群</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多机试点与接口互操作</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异构调度与孪生驱动重规划</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人机混编受控自治</w:t>
            </w:r>
          </w:p>
        </w:tc>
        <w:tc>
          <w:tcPr>
            <w:tcW w:w="1707"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定位、通信、故障降级与安全</w:t>
            </w:r>
          </w:p>
        </w:tc>
      </w:tr>
      <w:tr>
        <w:trPr>
          <w:cantSplit/>
        </w:trPr>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T4 数字孪生</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状态同步与项目级闭环</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质量安全进度预测性控制</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项目群—资产连续孪生</w:t>
            </w:r>
          </w:p>
        </w:tc>
        <w:tc>
          <w:tcPr>
            <w:tcW w:w="1707"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状态误差、时延与控制接口验证</w:t>
            </w:r>
          </w:p>
        </w:tc>
      </w:tr>
      <w:tr>
        <w:trPr>
          <w:cantSplit/>
        </w:trPr>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T5 智能审查</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条款机器可读与双路径审查</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多模态人机共审</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全周期持续合规</w:t>
            </w:r>
          </w:p>
        </w:tc>
        <w:tc>
          <w:tcPr>
            <w:tcW w:w="1707"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规则版本、适用范围与专业复核</w:t>
            </w:r>
          </w:p>
        </w:tc>
      </w:tr>
      <w:tr>
        <w:trPr>
          <w:cantSplit/>
        </w:trPr>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T6 工程大模型</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领域知识组织与受约束助手</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多模态任务与工具调用</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经验证的智能体编排</w:t>
            </w:r>
          </w:p>
        </w:tc>
        <w:tc>
          <w:tcPr>
            <w:tcW w:w="1707"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证据可靠、执行权限与模型验证</w:t>
            </w:r>
          </w:p>
        </w:tc>
      </w:tr>
      <w:tr>
        <w:trPr>
          <w:cantSplit/>
        </w:trPr>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T7 装配式建筑</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柔性制造与构件追踪</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机器人装配与供应链协同</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拆解复用与循环建造</w:t>
            </w:r>
          </w:p>
        </w:tc>
        <w:tc>
          <w:tcPr>
            <w:tcW w:w="1707"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接口、质量与全链计划一致</w:t>
            </w:r>
          </w:p>
        </w:tc>
      </w:tr>
      <w:tr>
        <w:trPr>
          <w:cantSplit/>
        </w:trPr>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T8 增材制造</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材料—工艺—结构验证</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搅拌—配送—打印质量闭环</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增材与装配混合制造</w:t>
            </w:r>
          </w:p>
        </w:tc>
        <w:tc>
          <w:tcPr>
            <w:tcW w:w="1707"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材料标准、层间性能与连接验证</w:t>
            </w:r>
          </w:p>
        </w:tc>
      </w:tr>
      <w:tr>
        <w:trPr>
          <w:cantSplit/>
        </w:trPr>
        <w:tc>
          <w:tcPr>
            <w:tcW w:w="1703"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T9 可重构设计</w:t>
            </w:r>
          </w:p>
        </w:tc>
        <w:tc>
          <w:tcPr>
            <w:tcW w:w="1703"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标准接口与原型</w:t>
            </w:r>
          </w:p>
        </w:tc>
        <w:tc>
          <w:tcPr>
            <w:tcW w:w="1703"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自动构型与快速装拆</w:t>
            </w:r>
          </w:p>
        </w:tc>
        <w:tc>
          <w:tcPr>
            <w:tcW w:w="1703"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全寿命重构与适应性空间</w:t>
            </w:r>
          </w:p>
        </w:tc>
        <w:tc>
          <w:tcPr>
            <w:tcW w:w="1707"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接口兼容、拆装损伤与功能维持</w:t>
            </w:r>
          </w:p>
        </w:tc>
      </w:tr>
    </w:tbl>
    <w:p xmlns:w="http://schemas.openxmlformats.org/wordprocessingml/2006/main">
      <w:pPr>
        <w:spacing w:line="480" w:lineRule="auto"/>
        <w:ind w:firstLine="480" w:firstLineChars="200"/>
        <w:rPr>
          <w:rFonts w:ascii="宋体" w:hAnsi="宋体" w:eastAsia="宋体"/>
          <w:sz w:val="24"/>
          <w:szCs w:val="24"/>
        </w:rPr>
      </w:pPr>
      <w:r>
        <w:t xml:space="preserve">表中时间为目标窗口，能力及联系依据本次路线图和既有发展材料归纳，不表示实际完成年份或成熟度测量结果。</w:t>
      </w:r>
    </w:p>
    <w:p xmlns:w="http://schemas.openxmlformats.org/wordprocessingml/2006/main">
      <w:pPr>
        <w:spacing w:line="480" w:lineRule="auto"/>
        <w:ind w:firstLine="480" w:firstLineChars="200"/>
        <w:rPr>
          <w:rFonts w:ascii="宋体" w:hAnsi="宋体" w:eastAsia="宋体"/>
          <w:sz w:val="24"/>
          <w:szCs w:val="24"/>
        </w:rPr>
      </w:pPr>
      <w:r>
        <w:t xml:space="preserve">[图5-5 智能建造九类关键技术发展路线图（2027—2040年，待插入）]</w:t>
      </w:r>
    </w:p>
    <w:p xmlns:w="http://schemas.openxmlformats.org/wordprocessingml/2006/main">
      <w:pPr>
        <w:spacing w:line="480" w:lineRule="auto"/>
        <w:ind w:firstLine="480" w:firstLineChars="200"/>
        <w:rPr>
          <w:rFonts w:ascii="宋体" w:hAnsi="宋体" w:eastAsia="宋体"/>
          <w:sz w:val="24"/>
          <w:szCs w:val="24"/>
        </w:rPr>
      </w:pPr>
      <w:r>
        <w:t xml:space="preserve">图注：三个阶段分别表示接口与项目级验证、系统协同与跨项目复制、受控自治与循环建造的条件性目标。底部箭头表示数据、能力或接口支撑假设，未作为因果关系检验结果；工程大模型路线中的RAG为应用方向，不属于本章预测方法的检索环节。</w:t>
      </w:r>
    </w:p>
    <w:p xmlns:w="http://schemas.openxmlformats.org/wordprocessingml/2006/main">
      <w:pPr>
        <w:spacing w:line="480" w:lineRule="auto"/>
        <w:ind w:firstLine="480" w:firstLineChars="200"/>
        <w:rPr>
          <w:rFonts w:ascii="宋体" w:hAnsi="宋体" w:eastAsia="宋体"/>
          <w:sz w:val="24"/>
          <w:szCs w:val="24"/>
        </w:rPr>
      </w:pPr>
      <w:r>
        <w:t xml:space="preserve">九类主题提供研判对象，但工程实施还涉及跨主题的支撑技术。所提供的2040研究材料进一步列示十九项技术内容，涵盖设计、施工、资源环境及运维任务。表5-6列示这些内容，并按本章九类主题建立功能对应。十九项内容是发展清单的细化与扩展，并非BERTopic额外识别出的十九个主题；表中关系也属于工程功能映射，不作为重新聚类或样本覆盖率的计算结果。</w:t>
      </w:r>
    </w:p>
    <w:p xmlns:w="http://schemas.openxmlformats.org/wordprocessingml/2006/main">
      <w:pPr>
        <w:spacing w:line="480" w:lineRule="auto"/>
        <w:ind w:firstLine="480" w:firstLineChars="200"/>
        <w:rPr>
          <w:rFonts w:ascii="宋体" w:hAnsi="宋体" w:eastAsia="宋体"/>
          <w:sz w:val="24"/>
          <w:szCs w:val="24"/>
        </w:rPr>
      </w:pPr>
      <w:r>
        <w:t xml:space="preserve">表5-6 既有发展清单中的十九项技术及其功能对应</w:t>
      </w:r>
    </w:p>
    <w:tb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9"/>
        <w:gridCol w:w="2839"/>
        <w:gridCol w:w="2841"/>
      </w:tblGrid>
      <w:tr>
        <w:trPr>
          <w:tblHeader/>
          <w:cantSplit/>
        </w:trPr>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技术内容</w:t>
            </w:r>
          </w:p>
        </w:tc>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对应主题或功能</w:t>
            </w:r>
          </w:p>
        </w:tc>
        <w:tc>
          <w:tcPr>
            <w:tcW w:w="2841"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发展关注点</w:t>
            </w:r>
          </w:p>
        </w:tc>
      </w:tr>
      <w:tr>
        <w:trPr>
          <w:cantSplit/>
        </w:trPr>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多专业协同平台技术</w:t>
            </w:r>
          </w:p>
        </w:tc>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多专业协同平台</w:t>
            </w:r>
          </w:p>
        </w:tc>
        <w:tc>
          <w:tcPr>
            <w:tcW w:w="2841"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统一工程对象与跨专业变更</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参数化与生成式设计技术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参数化与生成式设计</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方案生成与工程约束联动</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多场耦合工程分析技术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参数化与生成式设计的支撑</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热、结构、水文与声学条件协调</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模块化与可重构性设计技术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模块化与可重构设计</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接口适配、拆装与重复使用</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智能规范审查技术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智能规范审查</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条文适用、问题定位与复核</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规划设计辅助大模型</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建筑工程大模型技术</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规划条件理解与方案辅助</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设计数据确权技术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多专业协同平台的支撑</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来源、权属与版本记录</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实时数据驱动的设计优化技术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设计与数字孪生的衔接</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现场反馈与模型参数更新</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虚实融合引导施工技术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数字孪生与现场作业的衔接</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虚拟任务与实际对象对应</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施工全过程数字孪生技术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施工全过程数字孪生</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状态更新与过程分析</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多机/机器人群协同施工技术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机器人集群协同</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任务、路径与安全协同</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施工安全智能监控与预警技术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数字孪生与机器人协同的支撑</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风险识别、告警与处置反馈</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施工质量智能检测与评估技术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数字孪生与构件生产的支撑</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视觉、超声及激光检测结合</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建筑规模增材制造与3D打印技术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建筑规模增材制造</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材料、成型与构件性能协调</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废弃物智能分类与资源回收技术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施工生产与资源管理的扩展</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分类识别、去向追踪与复用</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施工碳排放智能监测与控制技术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施工过程管理的扩展</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能耗活动数据、核算与调度</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施工大模型智能助手系统</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建筑工程大模型技术</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技术答疑、图纸理解与进度辅助</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工程数据可信存证与溯源技术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跨主题数据基础</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关键记录的完整性与可追踪性</w:t>
            </w:r>
          </w:p>
        </w:tc>
      </w:tr>
      <w:tr>
        <w:trPr>
          <w:cantSplit/>
        </w:trPr>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运行全域感知技术</w:t>
            </w:r>
          </w:p>
        </w:tc>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数字孪生向运维的扩展</w:t>
            </w:r>
          </w:p>
        </w:tc>
        <w:tc>
          <w:tcPr>
            <w:tcW w:w="2841"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结构、环境与设备状态联动</w:t>
            </w:r>
          </w:p>
        </w:tc>
      </w:tr>
    </w:tbl>
    <w:p xmlns:w="http://schemas.openxmlformats.org/wordprocessingml/2006/main">
      <w:pPr>
        <w:spacing w:line="480" w:lineRule="auto"/>
        <w:ind w:firstLine="480" w:firstLineChars="200"/>
        <w:rPr>
          <w:rFonts w:ascii="宋体" w:hAnsi="宋体" w:eastAsia="宋体"/>
          <w:sz w:val="24"/>
          <w:szCs w:val="24"/>
        </w:rPr>
      </w:pPr>
      <w:r>
        <w:t xml:space="preserve">材料说明：技术名称依据《第四章 面向2040的智能建造关键技术》表4-17及《智能建造2040-报告》对应清单整理，两份材料的重复内容按共同来源处理；功能对应与发展关注点为本章归纳。</w:t>
      </w:r>
    </w:p>
    <w:p xmlns:w="http://schemas.openxmlformats.org/wordprocessingml/2006/main">
      <w:pPr>
        <w:spacing w:line="480" w:lineRule="auto"/>
        <w:ind w:firstLine="480" w:firstLineChars="200"/>
        <w:rPr>
          <w:rFonts w:ascii="宋体" w:hAnsi="宋体" w:eastAsia="宋体"/>
          <w:sz w:val="24"/>
          <w:szCs w:val="24"/>
        </w:rPr>
      </w:pPr>
      <w:r>
        <w:t xml:space="preserve">清单中的确权、存证与溯源为跨主体协同提供记录基础，但技术记录与权属判断具有不同含义。来源标记、版本控制、数字签章或可信存证能够服务于资料追踪，具体权属和使用责任仍需由项目制度明确。资源回收与碳排放管理则将施工状态数据连接到资源环境目标，其中碳排放判断需依据活动数据、核算边界和相应参数，不能将部署传感设备直接等同于获得完整碳排放结果。运行全域感知进一步把施工阶段的对象与运维状态相联系，使全生命周期路径具有可持续更新的数据基础。</w:t>
      </w:r>
    </w:p>
    <w:p xmlns:w="http://schemas.openxmlformats.org/wordprocessingml/2006/main">
      <w:pPr>
        <w:pStyle w:val="4"/>
        <w:numPr>
          <w:numId w:val="0"/>
        </w:numPr>
      </w:pPr>
      <w:r>
        <w:t xml:space="preserve">5.4.3 典型应用场景、验证条件与未解决问题</w:t>
      </w:r>
    </w:p>
    <w:p xmlns:w="http://schemas.openxmlformats.org/wordprocessingml/2006/main">
      <w:pPr>
        <w:spacing w:line="480" w:lineRule="auto"/>
        <w:ind w:firstLine="480" w:firstLineChars="200"/>
        <w:rPr>
          <w:rFonts w:ascii="宋体" w:hAnsi="宋体" w:eastAsia="宋体"/>
          <w:sz w:val="24"/>
          <w:szCs w:val="24"/>
        </w:rPr>
      </w:pPr>
      <w:r>
        <w:t xml:space="preserve">在常规建造中，可将复杂公共建筑作为设计、审查与协同平台的联动场景，将构件工厂及现场安装作为生产、物流与装配计划衔接场景，将盾构施工作为状态感知、设备调节和风险处置相互联系的场景。场景的选择用于确定技术组合需要完成的任务，并不以典型技术名称替代具体工程验收记录。对每项任务，均应说明输入状态、参与设备、操作责任和异常条件，使研判路径能够转化为后续验证问题。</w:t>
      </w:r>
    </w:p>
    <w:p xmlns:w="http://schemas.openxmlformats.org/wordprocessingml/2006/main">
      <w:pPr>
        <w:spacing w:line="480" w:lineRule="auto"/>
        <w:ind w:firstLine="480" w:firstLineChars="200"/>
        <w:rPr>
          <w:rFonts w:ascii="宋体" w:hAnsi="宋体" w:eastAsia="宋体"/>
          <w:sz w:val="24"/>
          <w:szCs w:val="24"/>
        </w:rPr>
      </w:pPr>
      <w:r>
        <w:t xml:space="preserve">“三深一极”即深海、深地、深空与极地，是所提供研究材料讨论的扩展场景。其作用在于检视既有技术路径在更强环境约束下需要补充哪些能力，而非改变本研究以智能建造专利主题为中心的对象范围。常规工程中的应用经验不能直接迁移为极端环境的能力结论，相关技术应结合材料、能源、通信与维护条件重新验证。</w:t>
      </w:r>
    </w:p>
    <w:p xmlns:w="http://schemas.openxmlformats.org/wordprocessingml/2006/main">
      <w:pPr>
        <w:spacing w:line="480" w:lineRule="auto"/>
        <w:ind w:firstLine="480" w:firstLineChars="200"/>
        <w:rPr>
          <w:rFonts w:ascii="宋体" w:hAnsi="宋体" w:eastAsia="宋体"/>
          <w:sz w:val="24"/>
          <w:szCs w:val="24"/>
        </w:rPr>
      </w:pPr>
      <w:r>
        <w:t xml:space="preserve">深海场景对感知、定位、通信及结构可靠性提出组合要求。声学感知、惯性导航与水声通信可以作为讨论水下状态获取的技术方向，遥控潜水器与自主水下机器人则涉及铺设、检测及维护任务的分工。耐压密封、耐腐蚀材料和防护涂层构成作业能力之外的支撑条件；水下增材制造与原位修复可作为进一步研究的情景，其适用性需通过水下成型、连接性能与长期服役证据确认。该场景说明，机器人协同与增材制造的扩展必须同时处理环境适应问题。</w:t>
      </w:r>
    </w:p>
    <w:p xmlns:w="http://schemas.openxmlformats.org/wordprocessingml/2006/main">
      <w:pPr>
        <w:spacing w:line="480" w:lineRule="auto"/>
        <w:ind w:firstLine="480" w:firstLineChars="200"/>
        <w:rPr>
          <w:rFonts w:ascii="宋体" w:hAnsi="宋体" w:eastAsia="宋体"/>
          <w:sz w:val="24"/>
          <w:szCs w:val="24"/>
        </w:rPr>
      </w:pPr>
      <w:r>
        <w:t xml:space="preserve">深地场景需要将地质不确定性与装备、结构状态联系。智能盾构与全断面隧道掘进装备的发展，可围绕地质预测、姿态感知和作业参数调整展开；分布式光纤及多参数监测则为应力、温度与有害气体等状态提供信息。若观测数据能够可靠进入控制与预警过程，远程操控和多设备调度可能支持受限空间中的施工组织。结构健康监测、耐久性防护和局部修复还需与长期环境条件对应，不能仅依据短期作业结果判断完整系统的适用性。</w:t>
      </w:r>
    </w:p>
    <w:p xmlns:w="http://schemas.openxmlformats.org/wordprocessingml/2006/main">
      <w:pPr>
        <w:spacing w:line="480" w:lineRule="auto"/>
        <w:ind w:firstLine="480" w:firstLineChars="200"/>
        <w:rPr>
          <w:rFonts w:ascii="宋体" w:hAnsi="宋体" w:eastAsia="宋体"/>
          <w:sz w:val="24"/>
          <w:szCs w:val="24"/>
        </w:rPr>
      </w:pPr>
      <w:r>
        <w:t xml:space="preserve">深空场景进一步突出资源运输、远程控制与环境防护约束。模块化单元的自动展开、精密连接及机器人装配，可以作为减少现场复杂操作的方向；以当地材料开展制材或增材制造，则涉及材料特性、能源供应和成型性能的共同验证。面向不同天体的重力、辐射与温度条件，应分别设计热控、防护和容错要求，避免将深空视为统一工况。在这一场景下，模块化、机器人和增材制造构成功能互补的候选组合，但尚不能由常规建筑专利证据推定其远期实现时间。</w:t>
      </w:r>
    </w:p>
    <w:p xmlns:w="http://schemas.openxmlformats.org/wordprocessingml/2006/main">
      <w:pPr>
        <w:spacing w:line="480" w:lineRule="auto"/>
        <w:ind w:firstLine="480" w:firstLineChars="200"/>
        <w:rPr>
          <w:rFonts w:ascii="宋体" w:hAnsi="宋体" w:eastAsia="宋体"/>
          <w:sz w:val="24"/>
          <w:szCs w:val="24"/>
        </w:rPr>
      </w:pPr>
      <w:r>
        <w:t xml:space="preserve">极地场景则将低温、风雪和运输保障与快速建造需求相联系。模块化预制、保温结构及快速连接可以服务有限施工窗口，能源系统需要结合可获得资源与储能条件进行协调，低功耗远程监测则支持交通受限条件下的状态判断。施工装备的路径规划与协同调度还应考虑环境变化和通信限制。上述需求使模块化设计、装配式建造和运行感知形成联系，工程验证应覆盖材料低温性能、连接可靠性、能源保障与维护可达性，而非以单一建造速度衡量适用程度。[待补充：极端场景代表工程的原始技术报告、环境参数、试验条件及长期运行资料；现阶段未将报告中的具体工程数值作为已核实依据。]</w:t>
      </w:r>
    </w:p>
    <w:p xmlns:w="http://schemas.openxmlformats.org/wordprocessingml/2006/main">
      <w:pPr>
        <w:spacing w:line="480" w:lineRule="auto"/>
        <w:ind w:firstLine="480" w:firstLineChars="200"/>
        <w:rPr>
          <w:rFonts w:ascii="宋体" w:hAnsi="宋体" w:eastAsia="宋体"/>
          <w:sz w:val="24"/>
          <w:szCs w:val="24"/>
        </w:rPr>
      </w:pPr>
      <w:r>
        <w:t xml:space="preserve">常规工程与极端场景的比较表明，路线图的验证应围绕任务完成条件展开。数字孪生需要观察模型状态能否进入实际调节，而非只检查可视化界面；机器人协同需要比较相同工序中的任务完成、停机、冲突和人工接管情况；智能审查需要分别考察规则覆盖、误报、漏报及人工复核负担。若平台只能汇集文件而不能支持变更追踪，大模型输出无法定位来源，或数字孪生长期未形成控制反馈，相应路线应缩小能力表述并延后进入下一阶段。年度专利活动可以提供跟踪线索，工程能力的升降则仍需这些场景记录支持。</w:t>
      </w:r>
    </w:p>
    <w:p xmlns:w="http://schemas.openxmlformats.org/wordprocessingml/2006/main">
      <w:pPr>
        <w:spacing w:line="480" w:lineRule="auto"/>
        <w:ind w:firstLine="480" w:firstLineChars="200"/>
        <w:rPr>
          <w:rFonts w:ascii="宋体" w:hAnsi="宋体" w:eastAsia="宋体"/>
          <w:sz w:val="24"/>
          <w:szCs w:val="24"/>
        </w:rPr>
      </w:pPr>
      <w:r>
        <w:t xml:space="preserve">候选方向也应通过与九主题相联系的任务进行观察。B28C-007可连接材料供应与打印成型，B66C-023可连接垂直运输与安装协同，G06Q-050与G16Y-010分别涉及过程管理和信息接口，E02D-033涉及地下状态监测，C08L-097则涉及材料性能与资源环境要求。E02D-033的度中心度由阶段2的0.0019增至阶段3的0.0337，中介中心度达到0.0076，支持其结构联系扩展的判断；G16Y-010在后期表中出现则提示新增观察方向，不足以证明标准必要专利价值。候选项能否进入正式路线，应根据持续活动、跨类联系及应用验证共同判断，而非由一次节点位置变化自动决定。</w:t>
      </w:r>
    </w:p>
    <w:p xmlns:w="http://schemas.openxmlformats.org/wordprocessingml/2006/main">
      <w:pPr>
        <w:pStyle w:val="3"/>
        <w:numPr>
          <w:numId w:val="0"/>
        </w:numPr>
      </w:pPr>
      <w:r>
        <w:t xml:space="preserve">5.5 结果核验与研判方法评价</w:t>
      </w:r>
    </w:p>
    <w:p xmlns:w="http://schemas.openxmlformats.org/wordprocessingml/2006/main">
      <w:pPr>
        <w:pStyle w:val="4"/>
        <w:numPr>
          <w:numId w:val="0"/>
        </w:numPr>
      </w:pPr>
      <w:r>
        <w:t xml:space="preserve">5.5.1 数据一致性与权重情景敏感性</w:t>
      </w:r>
    </w:p>
    <w:p xmlns:w="http://schemas.openxmlformats.org/wordprocessingml/2006/main">
      <w:pPr>
        <w:spacing w:line="480" w:lineRule="auto"/>
        <w:ind w:firstLine="480" w:firstLineChars="200"/>
        <w:rPr>
          <w:rFonts w:ascii="宋体" w:hAnsi="宋体" w:eastAsia="宋体"/>
          <w:sz w:val="24"/>
          <w:szCs w:val="24"/>
        </w:rPr>
      </w:pPr>
      <w:r>
        <w:t xml:space="preserve">结果核验从原始输入、派生计算和结论含义三个层次展开。成果包提供的文件校验清单用于检查材料是否发生变化，年度来源表用于核对观测与模型估计的区别，程序则说明计数、指标归一化及外推的计算关系。对原始工作簿按照相同读取和去重规则重新统计，可得到5789条带标签记录和5605个题名与年份组合，九主题年度计数与交付表一致；依据保存的节点分值和年度序列重新计算，主题分值及近期估计亦与结果表对应。上述核验支持计算产物在给定输入与规则下的一致性，不直接验证标签准确性或未来预测有效性。</w:t>
      </w:r>
    </w:p>
    <w:p xmlns:w="http://schemas.openxmlformats.org/wordprocessingml/2006/main">
      <w:pPr>
        <w:spacing w:line="480" w:lineRule="auto"/>
        <w:ind w:firstLine="480" w:firstLineChars="200"/>
        <w:rPr>
          <w:rFonts w:ascii="宋体" w:hAnsi="宋体" w:eastAsia="宋体"/>
          <w:sz w:val="24"/>
          <w:szCs w:val="24"/>
        </w:rPr>
      </w:pPr>
      <w:r>
        <w:t xml:space="preserve">样本差异保留在数据口径中处理。论文总样本与工作簿之间相差13条，工作簿全部行与有效带标签记录又受到阶段区段、标题、年份及标签条件的筛选影响。这些数量分别对应不同处理环节，不能在缺少逐条差异原因时合并为同一分母。第四章的926件主题识别样本已经完成相应映射报告，年度代理统计的引入不意味着重新对该样本实施逐文档动态主题分析。阶段表中的75、518和979条节点指标与第四章保持一致，交付图的年份重标未伴随新网络计算，因而图注统一是跨章一致性的必要环节。</w:t>
      </w:r>
    </w:p>
    <w:p xmlns:w="http://schemas.openxmlformats.org/wordprocessingml/2006/main">
      <w:pPr>
        <w:spacing w:line="480" w:lineRule="auto"/>
        <w:ind w:firstLine="480" w:firstLineChars="200"/>
        <w:rPr>
          <w:rFonts w:ascii="宋体" w:hAnsi="宋体" w:eastAsia="宋体"/>
          <w:sz w:val="24"/>
          <w:szCs w:val="24"/>
        </w:rPr>
      </w:pPr>
      <w:r>
        <w:t xml:space="preserve">权重情景用于考察相对次序在有限偏好变化下的表现。基准情景使用动量、强度、网络与协同参数权重0.30、0.20、0.35和0.15；活动侧重情景分别为0.38、0.34、0.18和0.10，结构侧重情景为0.18、0.14、0.48和0.20。交付程序将活动侧重命名为市场情景，但其输入没有独立市场规模或需求数据，本文据实际指标含义使用活动侧重表述。比较仅改变四项权重，主题代理规则、IPC映射、协同参数及斜率截断均保持不变。</w:t>
      </w:r>
    </w:p>
    <w:p xmlns:w="http://schemas.openxmlformats.org/wordprocessingml/2006/main">
      <w:pPr>
        <w:spacing w:line="480" w:lineRule="auto"/>
        <w:ind w:firstLine="480" w:firstLineChars="200"/>
        <w:rPr>
          <w:rFonts w:ascii="宋体" w:hAnsi="宋体" w:eastAsia="宋体"/>
          <w:sz w:val="24"/>
          <w:szCs w:val="24"/>
        </w:rPr>
      </w:pPr>
      <w:r>
        <w:t xml:space="preserve">三情景中T4均列第一，T1在第二至第四位之间变化，T6在第二至第三位之间，T2在第三至第四位之间，T3与T5在第五至第六位互换，T9、T7和T8分别保持第七、第八和第九位。这说明在已检验的权重组合下，数字孪生保持领先，平台、大模型与生成式设计构成次序可变的较高分组。但活动侧重情景下T4为92.76分、T1为92.60分，差值仅0.16，较小的其他设定变化仍可能影响名次。因而结果只能支持限定情景下的次序一致，不能据此声称排序不依赖权重。</w:t>
      </w:r>
    </w:p>
    <w:p xmlns:w="http://schemas.openxmlformats.org/wordprocessingml/2006/main">
      <w:pPr>
        <w:spacing w:line="480" w:lineRule="auto"/>
        <w:ind w:firstLine="480" w:firstLineChars="200"/>
        <w:rPr>
          <w:rFonts w:ascii="宋体" w:hAnsi="宋体" w:eastAsia="宋体"/>
          <w:sz w:val="24"/>
          <w:szCs w:val="24"/>
        </w:rPr>
      </w:pPr>
      <w:r>
        <w:t xml:space="preserve">当前敏感性分析尚未覆盖模型全部假设。协同参数来自预先设定的常数，功能IPC映射及最高三节点聚合规则亦未在三情景中改变；动量截断将不同的较高斜率压至同一上限，并列百分位采用排序名次而非平均秩，其处理对结果的影响尚未单独核验。T2、T4和T6未经截断的斜率分别约为0.31286、0.30093和0.54528，截断后均为0.25，说明部分并列由规则产生。将这些条件与名次范围同时呈现，比将三个情景概括为完整稳健性证明更符合实际检验范围。</w:t>
      </w:r>
    </w:p>
    <w:p xmlns:w="http://schemas.openxmlformats.org/wordprocessingml/2006/main">
      <w:pPr>
        <w:spacing w:line="480" w:lineRule="auto"/>
        <w:ind w:firstLine="480" w:firstLineChars="200"/>
        <w:rPr>
          <w:rFonts w:ascii="宋体" w:hAnsi="宋体" w:eastAsia="宋体"/>
          <w:sz w:val="24"/>
          <w:szCs w:val="24"/>
        </w:rPr>
      </w:pPr>
      <w:r>
        <w:t xml:space="preserve">图5-4的散点矩阵也需按计算对象解释。横轴来自代表节点结构水平和阶段变化混合形成的归一化网络分量，并非纯粹的跃迁幅度；纵轴为截断后动量的归一化值。图中没有同时展示活动强度和协同参数，因此不能只由点的位置读取综合名次。气泡面积则使用2021—2024年记录与2025、2026年估计之和，表达含模型补充的累计活动，而非历史观测规模。图形用于比较多个证据侧面，表5-3及明确的计算定义才是综合指数的直接依据。</w:t>
      </w:r>
    </w:p>
    <w:p xmlns:w="http://schemas.openxmlformats.org/wordprocessingml/2006/main">
      <w:pPr>
        <w:pStyle w:val="4"/>
        <w:numPr>
          <w:numId w:val="0"/>
        </w:numPr>
      </w:pPr>
      <w:r>
        <w:t xml:space="preserve">5.5.2 多智能体方法的对照评价框架</w:t>
      </w:r>
    </w:p>
    <w:p xmlns:w="http://schemas.openxmlformats.org/wordprocessingml/2006/main">
      <w:pPr>
        <w:spacing w:line="480" w:lineRule="auto"/>
        <w:ind w:firstLine="480" w:firstLineChars="200"/>
        <w:rPr>
          <w:rFonts w:ascii="宋体" w:hAnsi="宋体" w:eastAsia="宋体"/>
          <w:sz w:val="24"/>
          <w:szCs w:val="24"/>
        </w:rPr>
      </w:pPr>
      <w:r>
        <w:t xml:space="preserve">确定性计算核验与多智能体方法评价具有不同研究对象。前者检查既定程序是否按规则生成数值，后者检查角色分工、证据约束和复审能否改善命题质量。当前成果能够支持前者，并提供后者的实现框架，尚未包含统一输入、配置和预算下的完整配对运行及独立标注结果。因此，本节明确可执行的比较关系与指标含义，不由已有评分表推定五角色协同优于单智能体。</w:t>
      </w:r>
    </w:p>
    <w:p xmlns:w="http://schemas.openxmlformats.org/wordprocessingml/2006/main">
      <w:pPr>
        <w:spacing w:line="480" w:lineRule="auto"/>
        <w:ind w:firstLine="480" w:firstLineChars="200"/>
        <w:rPr>
          <w:rFonts w:ascii="宋体" w:hAnsi="宋体" w:eastAsia="宋体"/>
          <w:sz w:val="24"/>
          <w:szCs w:val="24"/>
        </w:rPr>
      </w:pPr>
      <w:r>
        <w:t xml:space="preserve">评价框架以同一冻结证据、同一九主题任务及同一输出结构建立对照。单智能体基线完成观察概括、命题提出和条件说明，五角色流程采用独立双审查与裁决，预算可比的单智能体分阶段反思条件则用于区分职责分离与额外推理资源的作用。基础模型版本、提示版本、材料范围及修订上限需要共同记录，避免输入差异或模型更新成为未控制的解释因素。调用次数和输入输出量同时报告，使并行带来的耗时变化与总资源消耗保持区分。</w:t>
      </w:r>
    </w:p>
    <w:p xmlns:w="http://schemas.openxmlformats.org/wordprocessingml/2006/main">
      <w:pPr>
        <w:spacing w:line="480" w:lineRule="auto"/>
        <w:ind w:firstLine="480" w:firstLineChars="200"/>
        <w:rPr>
          <w:rFonts w:ascii="宋体" w:hAnsi="宋体" w:eastAsia="宋体"/>
          <w:sz w:val="24"/>
          <w:szCs w:val="24"/>
        </w:rPr>
      </w:pPr>
      <w:r>
        <w:t xml:space="preserve">指标围绕命题及其依据设置。引用有效率检查来源编号是否存在及是否属于冻结版本，数值忠实率检查数值、单位、时期和方向，语义支持率判断证据是否支持完整主张。无据外推数量用于识别未保留条件的事实性或因果性判断，条件完整率关注与具体任务相关的实现前提，问题解决率比较审查前后的同一问题是否得到实质处理。输出覆盖同时呈现接受、降级、暂缓、证据不足和执行失败，避免只评价可用命题而忽略困难对象。</w:t>
      </w:r>
    </w:p>
    <w:p xmlns:w="http://schemas.openxmlformats.org/wordprocessingml/2006/main">
      <w:pPr>
        <w:spacing w:line="480" w:lineRule="auto"/>
        <w:ind w:firstLine="480" w:firstLineChars="200"/>
        <w:rPr>
          <w:rFonts w:ascii="宋体" w:hAnsi="宋体" w:eastAsia="宋体"/>
          <w:sz w:val="24"/>
          <w:szCs w:val="24"/>
        </w:rPr>
      </w:pPr>
      <w:r>
        <w:t xml:space="preserve">表5-7 结果核验与方法评价的证据状态</w:t>
      </w:r>
    </w:p>
    <w:tb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9"/>
        <w:gridCol w:w="2839"/>
        <w:gridCol w:w="2841"/>
      </w:tblGrid>
      <w:tr>
        <w:trPr>
          <w:tblHeader/>
          <w:cantSplit/>
        </w:trPr>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评价对象</w:t>
            </w:r>
          </w:p>
        </w:tc>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当前材料及检查内容</w:t>
            </w:r>
          </w:p>
        </w:tc>
        <w:tc>
          <w:tcPr>
            <w:tcW w:w="2841"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可支持结论与限制</w:t>
            </w:r>
          </w:p>
        </w:tc>
      </w:tr>
      <w:tr>
        <w:trPr>
          <w:cantSplit/>
        </w:trPr>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年度计数与计算一致性</w:t>
            </w:r>
          </w:p>
        </w:tc>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原始工作簿、程序、计数及评分表可对应</w:t>
            </w:r>
          </w:p>
        </w:tc>
        <w:tc>
          <w:tcPr>
            <w:tcW w:w="2841"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支持给定规则下的数值一致性，不替代分类准确性验证</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权重情景敏感性</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三组权重的九主题分值与名次</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支持有限情景比较，未覆盖映射、截断与协同参数变化</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近期数量预测有效性</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2025全年和2026模型估计及探索性区间</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尚无同口径完整后续观测与覆盖率校准，不能报告预测准确率</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多智能体流程实现</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实现记录说明校验、双审、裁决、版本与恢复机制</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支持方法机制描述，完整任务谱系未随成果导出</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单智能体与五角色对照</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已构建配对评价接口及指标框架</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当前未有完整对照产物与独立标注，不报告优势</w:t>
            </w:r>
          </w:p>
        </w:tc>
      </w:tr>
      <w:tr>
        <w:trPr>
          <w:cantSplit/>
        </w:trPr>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命题稳定性与成本</w:t>
            </w:r>
          </w:p>
        </w:tc>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已定义重复运行、扰动、调用及失败记录</w:t>
            </w:r>
          </w:p>
        </w:tc>
        <w:tc>
          <w:tcPr>
            <w:tcW w:w="2841"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需相同配置下的实际输出和资源日志</w:t>
            </w:r>
          </w:p>
        </w:tc>
      </w:tr>
    </w:tbl>
    <w:p xmlns:w="http://schemas.openxmlformats.org/wordprocessingml/2006/main">
      <w:pPr>
        <w:spacing w:line="480" w:lineRule="auto"/>
        <w:ind w:firstLine="480" w:firstLineChars="200"/>
        <w:rPr>
          <w:rFonts w:ascii="宋体" w:hAnsi="宋体" w:eastAsia="宋体"/>
          <w:sz w:val="24"/>
          <w:szCs w:val="24"/>
        </w:rPr>
      </w:pPr>
      <w:r>
        <w:t xml:space="preserve">单因素消融用于解释具体机制的作用。保持其他设置一致，分别移除反向审查、工程审查、确定性校验或局部复审，可比较竞争解释遗漏、工程条件缺失、数值错误和问题残留的变化。多个环节同时移除时只能作为组合条件解释，不能把变化归因于单个角色。评价人员应在隐藏流程身份的条件下依据共同规则标注，并记录分歧与裁定依据；工程审查模型的意见不同时作为唯一真值，以免方法输出和评价标准形成循环。</w:t>
      </w:r>
    </w:p>
    <w:p xmlns:w="http://schemas.openxmlformats.org/wordprocessingml/2006/main">
      <w:pPr>
        <w:spacing w:line="480" w:lineRule="auto"/>
        <w:ind w:firstLine="480" w:firstLineChars="200"/>
        <w:rPr>
          <w:rFonts w:ascii="宋体" w:hAnsi="宋体" w:eastAsia="宋体"/>
          <w:sz w:val="24"/>
          <w:szCs w:val="24"/>
        </w:rPr>
      </w:pPr>
      <w:r>
        <w:t xml:space="preserve">评价状态需与资料实际覆盖对应。未运行、当前无法估计、独立标注不足及规定评价完成分别记录，空分母保持未估计，不以零值表示真实失败率。多次运行的稳定性应比较命题含义、证据选择、前置条件和支持等级，而非只比较文本相似度。当前尚不能据文件完备或软件机制存在计算上述指标。[待补充：正式冻结证据包与运行清单、完整命题版本和双审裁决记录、人工审核导出，以及统一预算下的配对输出、独立标注和资源日志。]</w:t>
      </w:r>
    </w:p>
    <w:p xmlns:w="http://schemas.openxmlformats.org/wordprocessingml/2006/main">
      <w:pPr>
        <w:pStyle w:val="4"/>
        <w:numPr>
          <w:numId w:val="0"/>
        </w:numPr>
      </w:pPr>
      <w:r>
        <w:t xml:space="preserve">5.5.3 预测不确定性与方法适用边界</w:t>
      </w:r>
    </w:p>
    <w:p xmlns:w="http://schemas.openxmlformats.org/wordprocessingml/2006/main">
      <w:pPr>
        <w:spacing w:line="480" w:lineRule="auto"/>
        <w:ind w:firstLine="480" w:firstLineChars="200"/>
        <w:rPr>
          <w:rFonts w:ascii="宋体" w:hAnsi="宋体" w:eastAsia="宋体"/>
          <w:sz w:val="24"/>
          <w:szCs w:val="24"/>
        </w:rPr>
      </w:pPr>
      <w:r>
        <w:t xml:space="preserve">数据不确定性主要来自样本覆盖、标签代理和专利公开滞后。T1、T3等主题聚合多个宽泛标签，活动量包含与研究对象功能相关但未必严格属于主题模型集合的记录；T5、T9依据关键词识别，容易受到词项表达差异影响。标题与年份去重能够减少部分重复，尚不能识别全部同族与法律关联。上述差异决定了数量结果适合在固定规则下开展相对监测，不适合解释为各主题在全球专利体系中的精确份额。</w:t>
      </w:r>
    </w:p>
    <w:p xmlns:w="http://schemas.openxmlformats.org/wordprocessingml/2006/main">
      <w:pPr>
        <w:spacing w:line="480" w:lineRule="auto"/>
        <w:ind w:firstLine="480" w:firstLineChars="200"/>
        <w:rPr>
          <w:rFonts w:ascii="宋体" w:hAnsi="宋体" w:eastAsia="宋体"/>
          <w:sz w:val="24"/>
          <w:szCs w:val="24"/>
        </w:rPr>
      </w:pPr>
      <w:r>
        <w:t xml:space="preserve">模型不确定性来自权重、映射、截断和默认参数。网络分量以现有节点指标为基础，其共同误差会沿功能映射传递至多个主题；T2与T6共享代表节点，分值的相似也可能反映输入结构而非两类技术的独立一致。阶段2缺失节点的默认跃迁值0.55没有历史观测含义，协同参数与覆盖等级亦为预设。交付表中的覆盖“高、中、低”只能作为程序提供的覆盖提示，未由独立样本检验或概率校准得到，不能替代多智能体命题的证据支持等级。</w:t>
      </w:r>
    </w:p>
    <w:p xmlns:w="http://schemas.openxmlformats.org/wordprocessingml/2006/main">
      <w:pPr>
        <w:spacing w:line="480" w:lineRule="auto"/>
        <w:ind w:firstLine="480" w:firstLineChars="200"/>
        <w:rPr>
          <w:rFonts w:ascii="宋体" w:hAnsi="宋体" w:eastAsia="宋体"/>
          <w:sz w:val="24"/>
          <w:szCs w:val="24"/>
        </w:rPr>
      </w:pPr>
      <w:r>
        <w:t xml:space="preserve">近期外推进一步依赖历史趋势可以有限延续的假设。回归采用2018—2024年的七个年度，未引入投入、政策、成本和项目需求等外生变量，2025年的部分计数也未用于更新中心值。增长衰减能够避免简单指数长期扩张，却不能识别结构性转折。探索性区间按残差与步长生成，不能自动覆盖代理误分类及未来制度变化。即使程序提供了更远年份的计算值，本章仍将数量讨论限制在2025、2026年，2027—2040年使用能力和前置条件组织路线，不以长期数量外推证明阶段目标。</w:t>
      </w:r>
    </w:p>
    <w:p xmlns:w="http://schemas.openxmlformats.org/wordprocessingml/2006/main">
      <w:pPr>
        <w:spacing w:line="480" w:lineRule="auto"/>
        <w:ind w:firstLine="480" w:firstLineChars="200"/>
        <w:rPr>
          <w:rFonts w:ascii="宋体" w:hAnsi="宋体" w:eastAsia="宋体"/>
          <w:sz w:val="24"/>
          <w:szCs w:val="24"/>
        </w:rPr>
      </w:pPr>
      <w:r>
        <w:t xml:space="preserve">面向未来的有效性检验还需要避免时间信息混用。若开展历史回测，应按预测时点可获得的资料重建输入，并将后期主题命名、模型知识与研究报告可能带来的信息泄漏单独说明。当前路线是在已有成果基础上整理的条件性发展判断，不能反向作为在更早时点成功预测技术演化的证据。对远期目标，应预先定义可观察事件及验证条件，再随着后续资料积累评价是否满足，而非根据事后进展任意重释原有语句。</w:t>
      </w:r>
    </w:p>
    <w:p xmlns:w="http://schemas.openxmlformats.org/wordprocessingml/2006/main">
      <w:pPr>
        <w:spacing w:line="480" w:lineRule="auto"/>
        <w:ind w:firstLine="480" w:firstLineChars="200"/>
        <w:rPr>
          <w:rFonts w:ascii="宋体" w:hAnsi="宋体" w:eastAsia="宋体"/>
          <w:sz w:val="24"/>
          <w:szCs w:val="24"/>
        </w:rPr>
      </w:pPr>
      <w:r>
        <w:t xml:space="preserve">多智能体能够把推断过程拆解为可追踪的环节，但各角色可能共享模型偏差，审查一致也可能来自共同的信息缺失。固定输入限制无记录扩展的同时，也使新近工程变化需要通过版本更新进入研究。方法的适用价值在于组织来源、解释冲突与保留条件，预测有效性仍需要持续观测和独立评价。对“三深一极”等样本外场景，九主题提供功能组合的起点，环境适应与实现时间则不能由常规建造专利直接推定。[待补充：工作簿与总样本差异的逐条说明、网络阶段图注对应依据、协同参数的独立设定依据及后续同口径年度观测。]</w:t>
      </w:r>
    </w:p>
    <w:p xmlns:w="http://schemas.openxmlformats.org/wordprocessingml/2006/main">
      <w:pPr>
        <w:pStyle w:val="3"/>
        <w:numPr>
          <w:numId w:val="0"/>
        </w:numPr>
      </w:pPr>
      <w:r>
        <w:t xml:space="preserve">5.6 智能建造关键技术研发与应用建议</w:t>
      </w:r>
    </w:p>
    <w:p xmlns:w="http://schemas.openxmlformats.org/wordprocessingml/2006/main">
      <w:pPr>
        <w:spacing w:line="480" w:lineRule="auto"/>
        <w:ind w:firstLine="480" w:firstLineChars="200"/>
        <w:rPr>
          <w:rFonts w:ascii="宋体" w:hAnsi="宋体" w:eastAsia="宋体"/>
          <w:sz w:val="24"/>
          <w:szCs w:val="24"/>
        </w:rPr>
      </w:pPr>
      <w:r>
        <w:t xml:space="preserve">融合结果与路线分析共同指向以工程任务组织研发的必要性。数字孪生在三个权重情景中保持首位，适合优先设置具有可测状态、明确控制接口和人工接管条件的项目级验证任务；协同平台则为这些任务提供对象、版本和变更记录。两者的研发可以共同考察数据进入决策后的效果，使状态感知、模型解释和现场行动形成可检查的对应。排序本身不足以决定资源投入比例，具体布局仍需结合场景需求、成本、风险与可获得证据。</w:t>
      </w:r>
    </w:p>
    <w:p xmlns:w="http://schemas.openxmlformats.org/wordprocessingml/2006/main">
      <w:pPr>
        <w:spacing w:line="480" w:lineRule="auto"/>
        <w:ind w:firstLine="480" w:firstLineChars="200"/>
        <w:rPr>
          <w:rFonts w:ascii="宋体" w:hAnsi="宋体" w:eastAsia="宋体"/>
          <w:sz w:val="24"/>
          <w:szCs w:val="24"/>
        </w:rPr>
      </w:pPr>
      <w:r>
        <w:t xml:space="preserve">大模型、生成式设计与智能审查宜围绕同一工程对象形成受约束的辅助链。规划条件、结构性能和规范条文进入方案生成后，应保留依据、适用范围和未满足约束，审查反馈再返回设计修订。T6与T2的较高分值伴随较小代理样本，T5还存在低覆盖，因而示范应用更应积累错误类型、条件满足和人工复核记录。将方案采纳、返工和适用场景纳入评价，有助于区分语言表现、计算可行性与工程可用性。</w:t>
      </w:r>
    </w:p>
    <w:p xmlns:w="http://schemas.openxmlformats.org/wordprocessingml/2006/main">
      <w:pPr>
        <w:spacing w:line="480" w:lineRule="auto"/>
        <w:ind w:firstLine="480" w:firstLineChars="200"/>
        <w:rPr>
          <w:rFonts w:ascii="宋体" w:hAnsi="宋体" w:eastAsia="宋体"/>
          <w:sz w:val="24"/>
          <w:szCs w:val="24"/>
        </w:rPr>
      </w:pPr>
      <w:r>
        <w:t xml:space="preserve">机器人协同应以任务接口和异常处置为共同研发对象。高危、重复及空间边界较清晰的工序可以作为验证起点，在定位、通信和人员隔离条件得到确认后，再扩展至异构设备调度与动态重规划。智能塔吊、材料配送和地下监测候选方向可以围绕运输、安装及风险处置接入验证，但保留其候选身份。与数字孪生的结合应明确反馈频率、控制权限和失效后的降级方式，避免用设备接入数量代替协同能力。</w:t>
      </w:r>
    </w:p>
    <w:p xmlns:w="http://schemas.openxmlformats.org/wordprocessingml/2006/main">
      <w:pPr>
        <w:spacing w:line="480" w:lineRule="auto"/>
        <w:ind w:firstLine="480" w:firstLineChars="200"/>
        <w:rPr>
          <w:rFonts w:ascii="宋体" w:hAnsi="宋体" w:eastAsia="宋体"/>
          <w:sz w:val="24"/>
          <w:szCs w:val="24"/>
        </w:rPr>
      </w:pPr>
      <w:r>
        <w:t xml:space="preserve">装配式、增材制造和可重构设计宜围绕构件完整过程形成联合验证。材料、成型、连接、运输、安装及拆装条件共同决定技术组合的适用性，单个环节的效率改善可能将等待、库存或质量压力转移至其他环节。增材与装配混合制造可结合定制构件探索，循环建造则需记录重复使用后的性能、维护及资源消耗。较低的活动指数不应导致成熟应用任务被简单忽略，也不能反过来被解释为成熟性证明；不同方向应依据承担的工程功能采用相应指标。</w:t>
      </w:r>
    </w:p>
    <w:p xmlns:w="http://schemas.openxmlformats.org/wordprocessingml/2006/main">
      <w:pPr>
        <w:spacing w:line="480" w:lineRule="auto"/>
        <w:ind w:firstLine="480" w:firstLineChars="200"/>
        <w:rPr>
          <w:rFonts w:ascii="宋体" w:hAnsi="宋体" w:eastAsia="宋体"/>
          <w:sz w:val="24"/>
          <w:szCs w:val="24"/>
        </w:rPr>
      </w:pPr>
      <w:r>
        <w:t xml:space="preserve">数据与基础能力建设应贯穿这些验证任务。三维图形引擎、仿真求解和工程数据管理支持模型表达，传感器、通信接口及控制部件支持现场状态获取和执行。自主研发与开放接口可以共同推进，使不同主体的产品在相同对象和工况下比较。数据确权、可信存证与版本追踪有助于保存来源和变更，但具体权属、使用责任与共享范围仍需项目机制明确。区域转化平台及产学研合作可围绕共同任务积累资料，使工程问题、算法调整和试验结果形成连续反馈。</w:t>
      </w:r>
    </w:p>
    <w:p xmlns:w="http://schemas.openxmlformats.org/wordprocessingml/2006/main">
      <w:pPr>
        <w:spacing w:line="480" w:lineRule="auto"/>
        <w:ind w:firstLine="480" w:firstLineChars="200"/>
        <w:rPr>
          <w:rFonts w:ascii="宋体" w:hAnsi="宋体" w:eastAsia="宋体"/>
          <w:sz w:val="24"/>
          <w:szCs w:val="24"/>
        </w:rPr>
      </w:pPr>
      <w:r>
        <w:t xml:space="preserve">技术监测宜采用年度更新与场景复核相结合的方式。年度数据沿相同代理规则补充，公开滞后和检索调整单独记录；当资料范围或方法参数改变时，保留新旧版本的可比较关系。数字孪生长期停留于展示、审查漏报不能受控、机器人异常退出频繁或混合工法质量成本未达要求时，应收缩路线目标并记录原因。研究团队需要具备工程、数据和系统验证的交叉能力，使模型输出能够接受专业判断，也使现场经验能够转化为明确的验证条件。</w:t>
      </w:r>
    </w:p>
    <w:p xmlns:w="http://schemas.openxmlformats.org/wordprocessingml/2006/main">
      <w:pPr>
        <w:pStyle w:val="3"/>
        <w:numPr>
          <w:numId w:val="0"/>
        </w:numPr>
      </w:pPr>
      <w:r>
        <w:t xml:space="preserve">5.7 本章小结</w:t>
      </w:r>
    </w:p>
    <w:p xmlns:w="http://schemas.openxmlformats.org/wordprocessingml/2006/main">
      <w:pPr>
        <w:spacing w:line="480" w:lineRule="auto"/>
        <w:ind w:firstLine="480" w:firstLineChars="200"/>
        <w:rPr>
          <w:rFonts w:ascii="宋体" w:hAnsi="宋体" w:eastAsia="宋体"/>
          <w:sz w:val="24"/>
          <w:szCs w:val="24"/>
        </w:rPr>
      </w:pPr>
      <w:r>
        <w:t xml:space="preserve">本章在第四章九类技术主题与IPC动态演化结果基础上，补充年度主题代理统计，建立活动动量、近期强度、网络结构及功能协同参数相结合的确定性比较方法。样本、代理和时间口径分别记录，2025年部分观测与全年估计分开，2026年作为模型补充值而非新增专利事实。结果显示，数字孪生在三个限定权重情景中均列首位，协同平台、建筑工程大模型及参数化与生成式设计构成较高分组，机器人与智能审查的接近分值则对应不同证据基础。相对排序为技术监测提供线索，其解释仍受代理覆盖、功能映射和参数设定约束。</w:t>
      </w:r>
    </w:p>
    <w:p xmlns:w="http://schemas.openxmlformats.org/wordprocessingml/2006/main">
      <w:pPr>
        <w:spacing w:line="480" w:lineRule="auto"/>
        <w:ind w:firstLine="480" w:firstLineChars="200"/>
        <w:rPr>
          <w:rFonts w:ascii="宋体" w:hAnsi="宋体" w:eastAsia="宋体"/>
          <w:sz w:val="24"/>
          <w:szCs w:val="24"/>
        </w:rPr>
      </w:pPr>
      <w:r>
        <w:t xml:space="preserve">围绕从证据到发展判断的推理过程，本章阐明已实现的五类智能体职责，并采用LangGraph和执行约束组织原子命题、确定性校验、独立双审查、裁决、局部复审及人工审核。版本管理和异常隔离使研究判断具备可追踪路径，但本次确定性计算产物未附完整五角色运行谱系，因此不由数值一致性推定多智能体性能。相应评价框架区分软件机制、证据使用质量、近期预测有效性和资源成本，保留独立标注及对照实验的需求。</w:t>
      </w:r>
    </w:p>
    <w:p xmlns:w="http://schemas.openxmlformats.org/wordprocessingml/2006/main">
      <w:pPr>
        <w:spacing w:line="480" w:lineRule="auto"/>
        <w:ind w:firstLine="480" w:firstLineChars="200"/>
        <w:rPr>
          <w:rFonts w:ascii="宋体" w:hAnsi="宋体" w:eastAsia="宋体"/>
          <w:sz w:val="24"/>
          <w:szCs w:val="24"/>
        </w:rPr>
      </w:pPr>
      <w:r>
        <w:t xml:space="preserve">依据实际计算结果与既有发展材料，本章形成2027—2030年、2031—2035年和2036—2040年的条件性路线，分别围绕项目级闭环、跨项目协同和受控自治及循环建造组织九主题能力目标。十九项支撑技术与六类候选方向通过功能对应进入分析，常规工程和“三深一极”场景进一步明确实现条件。研发建议由此落实到可验证任务、共同数据基础及滚动更新机制，使技术预测能够随观测和工程证据修正，也为下一章归纳研究贡献与适用局限提供依据。</w:t>
      </w:r>
    </w:p>
    <w:sectPr xmlns:w="http://schemas.openxmlformats.org/wordprocessingml/2006/main">
      <w:pgSz w:w="11907" w:h="16840"/>
      <w:pgMar w:top="907" w:right="1531" w:bottom="1418" w:left="1531" w:header="851" w:footer="964" w:gutter="0"/>
      <w:pgNumType w:start="1"/>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Cambria">
    <w:altName w:val="苹方-简"/>
    <w:panose1 w:val="02040503050406030204"/>
    <w:charset w:val="00"/>
    <w:family w:val="roman"/>
    <w:pitch w:val="default"/>
    <w:sig w:usb0="00000000" w:usb1="00000000" w:usb2="02000000" w:usb3="00000000" w:csb0="2000019F" w:csb1="00000000"/>
  </w:font>
  <w:font w:name="嬋体">
    <w:altName w:val="宋体-简"/>
    <w:panose1 w:val="00000000000000000000"/>
    <w:charset w:val="86"/>
    <w:family w:val="auto"/>
    <w:pitch w:val="default"/>
    <w:sig w:usb0="00000000" w:usb1="00000000" w:usb2="00000010" w:usb3="00000000" w:csb0="00040001" w:csb1="00000000"/>
  </w:font>
  <w:font w:name="Verdana">
    <w:panose1 w:val="020B0604030504040204"/>
    <w:charset w:val="00"/>
    <w:family w:val="swiss"/>
    <w:pitch w:val="default"/>
    <w:sig w:usb0="A10006FF" w:usb1="4000205B" w:usb2="00000010" w:usb3="00000000" w:csb0="2000019F" w:csb1="0000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华文中宋">
    <w:altName w:val="汉仪书宋二KW"/>
    <w:panose1 w:val="02010600040101010101"/>
    <w:charset w:val="86"/>
    <w:family w:val="auto"/>
    <w:pitch w:val="default"/>
    <w:sig w:usb0="00000000" w:usb1="00000000" w:usb2="00000000" w:usb3="00000000" w:csb0="0004009F" w:csb1="DFD70000"/>
  </w:font>
  <w:font w:name="Cambria Math">
    <w:altName w:val="Kingsoft Math"/>
    <w:panose1 w:val="02040503050406030204"/>
    <w:charset w:val="00"/>
    <w:family w:val="auto"/>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汉仪楷体KW">
    <w:panose1 w:val="00020600040101010101"/>
    <w:charset w:val="86"/>
    <w:family w:val="auto"/>
    <w:pitch w:val="default"/>
    <w:sig w:usb0="A00002BF" w:usb1="18EF7CFA" w:usb2="00000016" w:usb3="00000000" w:csb0="00040000" w:csb1="00000000"/>
  </w:font>
  <w:font w:name="MS Gothic">
    <w:altName w:val="Hiragino Sans"/>
    <w:panose1 w:val="020B0609070205080204"/>
    <w:charset w:val="80"/>
    <w:family w:val="modern"/>
    <w:pitch w:val="default"/>
    <w:sig w:usb0="00000000" w:usb1="00000000" w:usb2="08000012" w:usb3="00000000" w:csb0="4002009F" w:csb1="DFD70000"/>
  </w:font>
  <w:font w:name="Hiragino Sans">
    <w:panose1 w:val="020B0700000000000000"/>
    <w:charset w:val="80"/>
    <w:family w:val="auto"/>
    <w:pitch w:val="default"/>
    <w:sig w:usb0="800002CF" w:usb1="6AC7FCFC"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3D567">
    <w:pPr>
      <w:pStyle w:val="2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5EFDD">
    <w:pPr>
      <w:pStyle w:val="2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C6F3F">
    <w:pPr>
      <w:pStyle w:val="2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C0E6A">
    <w:pPr>
      <w:pStyle w:val="24"/>
      <w:framePr w:wrap="around" w:vAnchor="text" w:hAnchor="margin" w:xAlign="center" w:y="1"/>
      <w:spacing w:line="240" w:lineRule="auto"/>
      <w:ind w:firstLine="0" w:firstLineChars="0"/>
      <w:rPr>
        <w:rStyle w:val="40"/>
      </w:rPr>
    </w:pPr>
    <w:r>
      <w:rPr>
        <w:rStyle w:val="40"/>
      </w:rPr>
      <w:fldChar w:fldCharType="begin"/>
    </w:r>
    <w:r>
      <w:rPr>
        <w:rStyle w:val="40"/>
      </w:rPr>
      <w:instrText xml:space="preserve">PAGE  </w:instrText>
    </w:r>
    <w:r>
      <w:rPr>
        <w:rStyle w:val="40"/>
      </w:rPr>
      <w:fldChar w:fldCharType="separate"/>
    </w:r>
    <w:r>
      <w:rPr>
        <w:rStyle w:val="40"/>
      </w:rPr>
      <w:t>16</w:t>
    </w:r>
    <w:r>
      <w:rPr>
        <w:rStyle w:val="40"/>
      </w:rPr>
      <w:fldChar w:fldCharType="end"/>
    </w:r>
  </w:p>
  <w:p w14:paraId="5CED51D1">
    <w:pPr>
      <w:pStyle w:val="24"/>
      <w:spacing w:line="240" w:lineRule="auto"/>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D1CF0">
    <w:pPr>
      <w:pStyle w:val="24"/>
      <w:framePr w:wrap="around" w:vAnchor="text" w:hAnchor="margin" w:xAlign="center" w:y="1"/>
      <w:ind w:firstLine="360"/>
      <w:rPr>
        <w:rStyle w:val="40"/>
      </w:rPr>
    </w:pPr>
    <w:r>
      <w:rPr>
        <w:rStyle w:val="40"/>
      </w:rPr>
      <w:fldChar w:fldCharType="begin"/>
    </w:r>
    <w:r>
      <w:rPr>
        <w:rStyle w:val="40"/>
      </w:rPr>
      <w:instrText xml:space="preserve">PAGE  </w:instrText>
    </w:r>
    <w:r>
      <w:rPr>
        <w:rStyle w:val="40"/>
      </w:rPr>
      <w:fldChar w:fldCharType="end"/>
    </w:r>
  </w:p>
  <w:p w14:paraId="2859F3B0">
    <w:pPr>
      <w:pStyle w:val="24"/>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FB26">
    <w:pPr>
      <w:pStyle w:val="2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1F0F3">
    <w:pPr>
      <w:pStyle w:val="25"/>
      <w:pBdr>
        <w:bottom w:val="none" w:color="auto" w:sz="0" w:space="0"/>
      </w:pBdr>
      <w:ind w:firstLine="361"/>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2EE2E">
    <w:pPr>
      <w:pStyle w:val="2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95784">
    <w:pPr>
      <w:pStyle w:val="2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6406B">
    <w:pPr>
      <w:pStyle w:val="25"/>
      <w:pBdr>
        <w:bottom w:val="single" w:color="auto" w:sz="6" w:space="4"/>
      </w:pBdr>
      <w:ind w:firstLine="0" w:firstLineChars="0"/>
      <w:rPr>
        <w:b/>
        <w:bCs/>
        <w:sz w:val="28"/>
        <w:szCs w:val="28"/>
      </w:rPr>
    </w:pPr>
    <w:r>
      <w:rPr>
        <w:rFonts w:hint="eastAsia"/>
        <w:b/>
        <w:bCs/>
        <w:sz w:val="28"/>
        <w:szCs w:val="28"/>
      </w:rPr>
      <w:t>华中科技大学研究生院</w:t>
    </w:r>
  </w:p>
  <w:p w14:paraId="18278754">
    <w:pPr>
      <w:pStyle w:val="25"/>
      <w:pBdr>
        <w:bottom w:val="none" w:color="auto" w:sz="0" w:space="0"/>
      </w:pBdr>
      <w:ind w:firstLine="361"/>
      <w:rPr>
        <w:b/>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722CB">
    <w:pPr>
      <w:pStyle w:val="2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97DAF">
    <w:pPr>
      <w:pStyle w:val="2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7664C2"/>
    <w:multiLevelType w:val="singleLevel"/>
    <w:tmpl w:val="C87664C2"/>
    <w:lvl w:ilvl="0" w:tentative="0">
      <w:start w:val="2"/>
      <w:numFmt w:val="decimal"/>
      <w:suff w:val="nothing"/>
      <w:lvlText w:val="（%1）"/>
      <w:lvlJc w:val="left"/>
    </w:lvl>
  </w:abstractNum>
  <w:abstractNum w:abstractNumId="1">
    <w:nsid w:val="13B239B6"/>
    <w:multiLevelType w:val="multilevel"/>
    <w:tmpl w:val="13B239B6"/>
    <w:lvl w:ilvl="0" w:tentative="0">
      <w:start w:val="1"/>
      <w:numFmt w:val="japaneseCounting"/>
      <w:lvlText w:val="第%1章"/>
      <w:lvlJc w:val="left"/>
      <w:pPr>
        <w:ind w:left="840" w:hanging="8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614287B"/>
    <w:multiLevelType w:val="multilevel"/>
    <w:tmpl w:val="4614287B"/>
    <w:lvl w:ilvl="0" w:tentative="0">
      <w:start w:val="1"/>
      <w:numFmt w:val="japaneseCounting"/>
      <w:lvlText w:val="%1、"/>
      <w:lvlJc w:val="left"/>
      <w:pPr>
        <w:ind w:left="1490" w:hanging="720"/>
      </w:pPr>
      <w:rPr>
        <w:rFonts w:hint="default"/>
      </w:rPr>
    </w:lvl>
    <w:lvl w:ilvl="1" w:tentative="0">
      <w:start w:val="1"/>
      <w:numFmt w:val="lowerLetter"/>
      <w:lvlText w:val="%2)"/>
      <w:lvlJc w:val="left"/>
      <w:pPr>
        <w:ind w:left="1610" w:hanging="420"/>
      </w:pPr>
    </w:lvl>
    <w:lvl w:ilvl="2" w:tentative="0">
      <w:start w:val="1"/>
      <w:numFmt w:val="lowerRoman"/>
      <w:lvlText w:val="%3."/>
      <w:lvlJc w:val="right"/>
      <w:pPr>
        <w:ind w:left="2030" w:hanging="420"/>
      </w:pPr>
    </w:lvl>
    <w:lvl w:ilvl="3" w:tentative="0">
      <w:start w:val="1"/>
      <w:numFmt w:val="decimal"/>
      <w:lvlText w:val="%4."/>
      <w:lvlJc w:val="left"/>
      <w:pPr>
        <w:ind w:left="2450" w:hanging="420"/>
      </w:pPr>
    </w:lvl>
    <w:lvl w:ilvl="4" w:tentative="0">
      <w:start w:val="1"/>
      <w:numFmt w:val="lowerLetter"/>
      <w:lvlText w:val="%5)"/>
      <w:lvlJc w:val="left"/>
      <w:pPr>
        <w:ind w:left="2870" w:hanging="420"/>
      </w:pPr>
    </w:lvl>
    <w:lvl w:ilvl="5" w:tentative="0">
      <w:start w:val="1"/>
      <w:numFmt w:val="lowerRoman"/>
      <w:lvlText w:val="%6."/>
      <w:lvlJc w:val="right"/>
      <w:pPr>
        <w:ind w:left="3290" w:hanging="420"/>
      </w:pPr>
    </w:lvl>
    <w:lvl w:ilvl="6" w:tentative="0">
      <w:start w:val="1"/>
      <w:numFmt w:val="decimal"/>
      <w:lvlText w:val="%7."/>
      <w:lvlJc w:val="left"/>
      <w:pPr>
        <w:ind w:left="3710" w:hanging="420"/>
      </w:pPr>
    </w:lvl>
    <w:lvl w:ilvl="7" w:tentative="0">
      <w:start w:val="1"/>
      <w:numFmt w:val="lowerLetter"/>
      <w:lvlText w:val="%8)"/>
      <w:lvlJc w:val="left"/>
      <w:pPr>
        <w:ind w:left="4130" w:hanging="420"/>
      </w:pPr>
    </w:lvl>
    <w:lvl w:ilvl="8" w:tentative="0">
      <w:start w:val="1"/>
      <w:numFmt w:val="lowerRoman"/>
      <w:lvlText w:val="%9."/>
      <w:lvlJc w:val="right"/>
      <w:pPr>
        <w:ind w:left="4550" w:hanging="420"/>
      </w:pPr>
    </w:lvl>
  </w:abstractNum>
  <w:abstractNum w:abstractNumId="3">
    <w:nsid w:val="573B28E1"/>
    <w:multiLevelType w:val="multilevel"/>
    <w:tmpl w:val="573B28E1"/>
    <w:lvl w:ilvl="0" w:tentative="0">
      <w:start w:val="1"/>
      <w:numFmt w:val="decimal"/>
      <w:lvlText w:val="%1"/>
      <w:lvlJc w:val="left"/>
      <w:pPr>
        <w:ind w:left="420" w:hanging="420"/>
      </w:pPr>
      <w:rPr>
        <w:rFonts w:hint="default"/>
      </w:rPr>
    </w:lvl>
    <w:lvl w:ilvl="1" w:tentative="0">
      <w:start w:val="1"/>
      <w:numFmt w:val="decimal"/>
      <w:lvlText w:val="%1.%2"/>
      <w:lvlJc w:val="left"/>
      <w:pPr>
        <w:ind w:left="840" w:hanging="42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1980" w:hanging="72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180" w:hanging="108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380" w:hanging="1440"/>
      </w:pPr>
      <w:rPr>
        <w:rFonts w:hint="default"/>
      </w:rPr>
    </w:lvl>
    <w:lvl w:ilvl="8" w:tentative="0">
      <w:start w:val="1"/>
      <w:numFmt w:val="decimal"/>
      <w:lvlText w:val="%1.%2.%3.%4.%5.%6.%7.%8.%9"/>
      <w:lvlJc w:val="left"/>
      <w:pPr>
        <w:ind w:left="5160" w:hanging="1800"/>
      </w:pPr>
      <w:rPr>
        <w:rFonts w:hint="default"/>
      </w:rPr>
    </w:lvl>
  </w:abstractNum>
  <w:abstractNum w:abstractNumId="4">
    <w:nsid w:val="71422D2B"/>
    <w:multiLevelType w:val="singleLevel"/>
    <w:tmpl w:val="71422D2B"/>
    <w:lvl w:ilvl="0" w:tentative="0">
      <w:start w:val="5"/>
      <w:numFmt w:val="decimal"/>
      <w:suff w:val="nothing"/>
      <w:lvlText w:val="（%1）"/>
      <w:lvlJc w:val="left"/>
    </w:lvl>
  </w:abstractNum>
  <w:abstractNum w:abstractNumId="5">
    <w:nsid w:val="7597720A"/>
    <w:multiLevelType w:val="multilevel"/>
    <w:tmpl w:val="7597720A"/>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4403"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6">
    <w:nsid w:val="77C7C044"/>
    <w:multiLevelType w:val="singleLevel"/>
    <w:tmpl w:val="77C7C044"/>
    <w:lvl w:ilvl="0" w:tentative="0">
      <w:start w:val="1"/>
      <w:numFmt w:val="chineseCounting"/>
      <w:suff w:val="space"/>
      <w:lvlText w:val="第%1章"/>
      <w:lvlJc w:val="left"/>
      <w:rPr>
        <w:rFonts w:hint="eastAsia"/>
      </w:rPr>
    </w:lvl>
  </w:abstractNum>
  <w:num w:numId="1">
    <w:abstractNumId w:val="5"/>
  </w:num>
  <w:num w:numId="2">
    <w:abstractNumId w:val="2"/>
  </w:num>
  <w:num w:numId="3">
    <w:abstractNumId w:val="1"/>
  </w:num>
  <w:num w:numId="4">
    <w:abstractNumId w:val="3"/>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7C17"/>
    <w:rsid w:val="00000D40"/>
    <w:rsid w:val="00001888"/>
    <w:rsid w:val="00002702"/>
    <w:rsid w:val="00002B83"/>
    <w:rsid w:val="0000314F"/>
    <w:rsid w:val="00003269"/>
    <w:rsid w:val="000032CC"/>
    <w:rsid w:val="0000407C"/>
    <w:rsid w:val="00005F4A"/>
    <w:rsid w:val="0000774B"/>
    <w:rsid w:val="00007E0D"/>
    <w:rsid w:val="0001005E"/>
    <w:rsid w:val="00011801"/>
    <w:rsid w:val="00012C17"/>
    <w:rsid w:val="00013049"/>
    <w:rsid w:val="00013197"/>
    <w:rsid w:val="00013315"/>
    <w:rsid w:val="00013BC8"/>
    <w:rsid w:val="0001418B"/>
    <w:rsid w:val="000149B4"/>
    <w:rsid w:val="000154A0"/>
    <w:rsid w:val="00015532"/>
    <w:rsid w:val="00016617"/>
    <w:rsid w:val="000166CC"/>
    <w:rsid w:val="000167C4"/>
    <w:rsid w:val="00016E17"/>
    <w:rsid w:val="00017D64"/>
    <w:rsid w:val="000219F8"/>
    <w:rsid w:val="00021C41"/>
    <w:rsid w:val="000230BE"/>
    <w:rsid w:val="00024544"/>
    <w:rsid w:val="000247E1"/>
    <w:rsid w:val="000251AA"/>
    <w:rsid w:val="000252F1"/>
    <w:rsid w:val="000260E4"/>
    <w:rsid w:val="000265B2"/>
    <w:rsid w:val="00026E01"/>
    <w:rsid w:val="00030277"/>
    <w:rsid w:val="00030CF2"/>
    <w:rsid w:val="00031251"/>
    <w:rsid w:val="000313DB"/>
    <w:rsid w:val="00031502"/>
    <w:rsid w:val="00032111"/>
    <w:rsid w:val="00033254"/>
    <w:rsid w:val="00033EEE"/>
    <w:rsid w:val="00035F33"/>
    <w:rsid w:val="00037571"/>
    <w:rsid w:val="00037709"/>
    <w:rsid w:val="0004002C"/>
    <w:rsid w:val="0004057D"/>
    <w:rsid w:val="000408D0"/>
    <w:rsid w:val="00040FCD"/>
    <w:rsid w:val="00041804"/>
    <w:rsid w:val="00041BE3"/>
    <w:rsid w:val="00041CEA"/>
    <w:rsid w:val="000446BE"/>
    <w:rsid w:val="000455A1"/>
    <w:rsid w:val="00045C6E"/>
    <w:rsid w:val="00046409"/>
    <w:rsid w:val="00046648"/>
    <w:rsid w:val="00046EA7"/>
    <w:rsid w:val="00047E19"/>
    <w:rsid w:val="00050FE3"/>
    <w:rsid w:val="00051DBD"/>
    <w:rsid w:val="00052572"/>
    <w:rsid w:val="00053818"/>
    <w:rsid w:val="00053EAA"/>
    <w:rsid w:val="00054EF5"/>
    <w:rsid w:val="000566EB"/>
    <w:rsid w:val="00056716"/>
    <w:rsid w:val="000567F7"/>
    <w:rsid w:val="00057586"/>
    <w:rsid w:val="00060007"/>
    <w:rsid w:val="00061BB2"/>
    <w:rsid w:val="000626AF"/>
    <w:rsid w:val="00062CD6"/>
    <w:rsid w:val="00063210"/>
    <w:rsid w:val="00063D4B"/>
    <w:rsid w:val="00064264"/>
    <w:rsid w:val="00064876"/>
    <w:rsid w:val="00066118"/>
    <w:rsid w:val="00067390"/>
    <w:rsid w:val="00070182"/>
    <w:rsid w:val="00071950"/>
    <w:rsid w:val="000721B2"/>
    <w:rsid w:val="00072997"/>
    <w:rsid w:val="00074473"/>
    <w:rsid w:val="00074E08"/>
    <w:rsid w:val="0007561C"/>
    <w:rsid w:val="0007589E"/>
    <w:rsid w:val="00080CD4"/>
    <w:rsid w:val="000812D6"/>
    <w:rsid w:val="00081942"/>
    <w:rsid w:val="00082217"/>
    <w:rsid w:val="00083617"/>
    <w:rsid w:val="00084566"/>
    <w:rsid w:val="0008458F"/>
    <w:rsid w:val="00084D79"/>
    <w:rsid w:val="000852F3"/>
    <w:rsid w:val="000872DA"/>
    <w:rsid w:val="000909BA"/>
    <w:rsid w:val="00091733"/>
    <w:rsid w:val="00091D04"/>
    <w:rsid w:val="00092A49"/>
    <w:rsid w:val="0009304D"/>
    <w:rsid w:val="0009428F"/>
    <w:rsid w:val="00094F3D"/>
    <w:rsid w:val="000951E3"/>
    <w:rsid w:val="000959E3"/>
    <w:rsid w:val="00096225"/>
    <w:rsid w:val="00096E0A"/>
    <w:rsid w:val="000A1CC8"/>
    <w:rsid w:val="000A24A4"/>
    <w:rsid w:val="000A322B"/>
    <w:rsid w:val="000A5A5C"/>
    <w:rsid w:val="000A5CAE"/>
    <w:rsid w:val="000A5E47"/>
    <w:rsid w:val="000A6ECB"/>
    <w:rsid w:val="000B030A"/>
    <w:rsid w:val="000B0980"/>
    <w:rsid w:val="000B0F19"/>
    <w:rsid w:val="000B1767"/>
    <w:rsid w:val="000B205E"/>
    <w:rsid w:val="000B2885"/>
    <w:rsid w:val="000B3FA1"/>
    <w:rsid w:val="000B5546"/>
    <w:rsid w:val="000B5636"/>
    <w:rsid w:val="000B577D"/>
    <w:rsid w:val="000B5EEE"/>
    <w:rsid w:val="000B640C"/>
    <w:rsid w:val="000B65AA"/>
    <w:rsid w:val="000B6C8F"/>
    <w:rsid w:val="000B7829"/>
    <w:rsid w:val="000B7AA8"/>
    <w:rsid w:val="000C0EB3"/>
    <w:rsid w:val="000C1452"/>
    <w:rsid w:val="000C2088"/>
    <w:rsid w:val="000C2BDB"/>
    <w:rsid w:val="000C2D63"/>
    <w:rsid w:val="000C4188"/>
    <w:rsid w:val="000C500D"/>
    <w:rsid w:val="000C524B"/>
    <w:rsid w:val="000C7273"/>
    <w:rsid w:val="000D11BE"/>
    <w:rsid w:val="000D1B17"/>
    <w:rsid w:val="000D1D2B"/>
    <w:rsid w:val="000D27CB"/>
    <w:rsid w:val="000D3235"/>
    <w:rsid w:val="000D3243"/>
    <w:rsid w:val="000D3C5B"/>
    <w:rsid w:val="000D45EF"/>
    <w:rsid w:val="000D6830"/>
    <w:rsid w:val="000D721B"/>
    <w:rsid w:val="000E0615"/>
    <w:rsid w:val="000E0718"/>
    <w:rsid w:val="000E0779"/>
    <w:rsid w:val="000E128B"/>
    <w:rsid w:val="000E3723"/>
    <w:rsid w:val="000E3AA2"/>
    <w:rsid w:val="000E4A09"/>
    <w:rsid w:val="000E5DA3"/>
    <w:rsid w:val="000E667C"/>
    <w:rsid w:val="000E749C"/>
    <w:rsid w:val="000F00CF"/>
    <w:rsid w:val="000F17EF"/>
    <w:rsid w:val="000F2F99"/>
    <w:rsid w:val="000F322D"/>
    <w:rsid w:val="000F48E7"/>
    <w:rsid w:val="000F5D27"/>
    <w:rsid w:val="000F7054"/>
    <w:rsid w:val="000F71E9"/>
    <w:rsid w:val="000F73EB"/>
    <w:rsid w:val="000F7E20"/>
    <w:rsid w:val="000F7F85"/>
    <w:rsid w:val="00100873"/>
    <w:rsid w:val="00101447"/>
    <w:rsid w:val="001018E0"/>
    <w:rsid w:val="0010197D"/>
    <w:rsid w:val="00101E1D"/>
    <w:rsid w:val="00101FE8"/>
    <w:rsid w:val="00102550"/>
    <w:rsid w:val="00102A47"/>
    <w:rsid w:val="00103F92"/>
    <w:rsid w:val="001047E7"/>
    <w:rsid w:val="001057D8"/>
    <w:rsid w:val="00105BB2"/>
    <w:rsid w:val="001111F9"/>
    <w:rsid w:val="00112409"/>
    <w:rsid w:val="00113D81"/>
    <w:rsid w:val="001148D9"/>
    <w:rsid w:val="0011544C"/>
    <w:rsid w:val="00115508"/>
    <w:rsid w:val="00116371"/>
    <w:rsid w:val="001168A1"/>
    <w:rsid w:val="00116C16"/>
    <w:rsid w:val="00117D3F"/>
    <w:rsid w:val="0012252D"/>
    <w:rsid w:val="0012285B"/>
    <w:rsid w:val="001239BD"/>
    <w:rsid w:val="00123B18"/>
    <w:rsid w:val="00124036"/>
    <w:rsid w:val="0012477D"/>
    <w:rsid w:val="00126151"/>
    <w:rsid w:val="00127362"/>
    <w:rsid w:val="00130444"/>
    <w:rsid w:val="00130F0B"/>
    <w:rsid w:val="001317CA"/>
    <w:rsid w:val="0013364A"/>
    <w:rsid w:val="00133822"/>
    <w:rsid w:val="00133BC0"/>
    <w:rsid w:val="00134AE3"/>
    <w:rsid w:val="001360E8"/>
    <w:rsid w:val="00136D8C"/>
    <w:rsid w:val="00137503"/>
    <w:rsid w:val="00137D1D"/>
    <w:rsid w:val="00140B03"/>
    <w:rsid w:val="00142188"/>
    <w:rsid w:val="00142760"/>
    <w:rsid w:val="00143217"/>
    <w:rsid w:val="001439FF"/>
    <w:rsid w:val="00144369"/>
    <w:rsid w:val="00144C00"/>
    <w:rsid w:val="00144F27"/>
    <w:rsid w:val="0014554E"/>
    <w:rsid w:val="001457E9"/>
    <w:rsid w:val="00145CB0"/>
    <w:rsid w:val="00145CC8"/>
    <w:rsid w:val="00146D30"/>
    <w:rsid w:val="001472CD"/>
    <w:rsid w:val="00147FF6"/>
    <w:rsid w:val="0015074C"/>
    <w:rsid w:val="00150A9A"/>
    <w:rsid w:val="00154936"/>
    <w:rsid w:val="00154E6A"/>
    <w:rsid w:val="0015535B"/>
    <w:rsid w:val="0015639A"/>
    <w:rsid w:val="00156F6D"/>
    <w:rsid w:val="001573A3"/>
    <w:rsid w:val="00160B82"/>
    <w:rsid w:val="00161491"/>
    <w:rsid w:val="00161F2F"/>
    <w:rsid w:val="00163649"/>
    <w:rsid w:val="001640C8"/>
    <w:rsid w:val="0016449C"/>
    <w:rsid w:val="0016537C"/>
    <w:rsid w:val="00165D3A"/>
    <w:rsid w:val="00166386"/>
    <w:rsid w:val="0016700C"/>
    <w:rsid w:val="00171260"/>
    <w:rsid w:val="0017141A"/>
    <w:rsid w:val="00174C94"/>
    <w:rsid w:val="00175CE5"/>
    <w:rsid w:val="00176FBA"/>
    <w:rsid w:val="00177104"/>
    <w:rsid w:val="001805C6"/>
    <w:rsid w:val="0018175B"/>
    <w:rsid w:val="0018223D"/>
    <w:rsid w:val="00182560"/>
    <w:rsid w:val="0018476C"/>
    <w:rsid w:val="00184862"/>
    <w:rsid w:val="00185253"/>
    <w:rsid w:val="00187AE6"/>
    <w:rsid w:val="00190AB7"/>
    <w:rsid w:val="00190FEF"/>
    <w:rsid w:val="001932C1"/>
    <w:rsid w:val="00193DC4"/>
    <w:rsid w:val="00193F77"/>
    <w:rsid w:val="00194BB1"/>
    <w:rsid w:val="001958D9"/>
    <w:rsid w:val="001959DE"/>
    <w:rsid w:val="00196203"/>
    <w:rsid w:val="001A00AF"/>
    <w:rsid w:val="001A042E"/>
    <w:rsid w:val="001A0675"/>
    <w:rsid w:val="001A11A1"/>
    <w:rsid w:val="001A2C28"/>
    <w:rsid w:val="001A350D"/>
    <w:rsid w:val="001A3714"/>
    <w:rsid w:val="001A456A"/>
    <w:rsid w:val="001A4DC2"/>
    <w:rsid w:val="001A562C"/>
    <w:rsid w:val="001A571F"/>
    <w:rsid w:val="001B0FFF"/>
    <w:rsid w:val="001B1283"/>
    <w:rsid w:val="001B340E"/>
    <w:rsid w:val="001B3852"/>
    <w:rsid w:val="001B4B96"/>
    <w:rsid w:val="001B54B9"/>
    <w:rsid w:val="001B5621"/>
    <w:rsid w:val="001B56CA"/>
    <w:rsid w:val="001B6494"/>
    <w:rsid w:val="001B6602"/>
    <w:rsid w:val="001B6C5A"/>
    <w:rsid w:val="001B734F"/>
    <w:rsid w:val="001B7756"/>
    <w:rsid w:val="001B7AAA"/>
    <w:rsid w:val="001C0F9A"/>
    <w:rsid w:val="001C2267"/>
    <w:rsid w:val="001C270B"/>
    <w:rsid w:val="001C395C"/>
    <w:rsid w:val="001C441E"/>
    <w:rsid w:val="001C4B3F"/>
    <w:rsid w:val="001C4BCB"/>
    <w:rsid w:val="001C5ED5"/>
    <w:rsid w:val="001C7918"/>
    <w:rsid w:val="001C7BBB"/>
    <w:rsid w:val="001C7F39"/>
    <w:rsid w:val="001D0BEA"/>
    <w:rsid w:val="001D1BC4"/>
    <w:rsid w:val="001D1BE4"/>
    <w:rsid w:val="001D1F9B"/>
    <w:rsid w:val="001D2553"/>
    <w:rsid w:val="001D286B"/>
    <w:rsid w:val="001D5905"/>
    <w:rsid w:val="001D5E3C"/>
    <w:rsid w:val="001D6AF6"/>
    <w:rsid w:val="001D6F7F"/>
    <w:rsid w:val="001E0042"/>
    <w:rsid w:val="001E0992"/>
    <w:rsid w:val="001E0EAF"/>
    <w:rsid w:val="001E2AE6"/>
    <w:rsid w:val="001E3C6C"/>
    <w:rsid w:val="001E409C"/>
    <w:rsid w:val="001E4491"/>
    <w:rsid w:val="001E49EE"/>
    <w:rsid w:val="001E7E15"/>
    <w:rsid w:val="001F018A"/>
    <w:rsid w:val="001F0258"/>
    <w:rsid w:val="001F02EA"/>
    <w:rsid w:val="001F12E2"/>
    <w:rsid w:val="001F2200"/>
    <w:rsid w:val="001F2A90"/>
    <w:rsid w:val="001F2DE6"/>
    <w:rsid w:val="001F2FD4"/>
    <w:rsid w:val="001F329D"/>
    <w:rsid w:val="001F3788"/>
    <w:rsid w:val="001F4AF5"/>
    <w:rsid w:val="001F4E43"/>
    <w:rsid w:val="001F59A3"/>
    <w:rsid w:val="001F5B7E"/>
    <w:rsid w:val="001F5E0A"/>
    <w:rsid w:val="001F6223"/>
    <w:rsid w:val="001F64A6"/>
    <w:rsid w:val="001F658D"/>
    <w:rsid w:val="0020054E"/>
    <w:rsid w:val="002029DB"/>
    <w:rsid w:val="002046E2"/>
    <w:rsid w:val="00204793"/>
    <w:rsid w:val="00204A4B"/>
    <w:rsid w:val="00204A61"/>
    <w:rsid w:val="00205136"/>
    <w:rsid w:val="002054E7"/>
    <w:rsid w:val="00205765"/>
    <w:rsid w:val="002065DC"/>
    <w:rsid w:val="00210722"/>
    <w:rsid w:val="00210724"/>
    <w:rsid w:val="00210E49"/>
    <w:rsid w:val="0021101E"/>
    <w:rsid w:val="00211370"/>
    <w:rsid w:val="00211687"/>
    <w:rsid w:val="00211803"/>
    <w:rsid w:val="00211ED7"/>
    <w:rsid w:val="00212667"/>
    <w:rsid w:val="002133FC"/>
    <w:rsid w:val="002135E3"/>
    <w:rsid w:val="00213995"/>
    <w:rsid w:val="002158E2"/>
    <w:rsid w:val="00216185"/>
    <w:rsid w:val="00217BCD"/>
    <w:rsid w:val="00217F6C"/>
    <w:rsid w:val="00220941"/>
    <w:rsid w:val="00220B12"/>
    <w:rsid w:val="00221B0A"/>
    <w:rsid w:val="0022209F"/>
    <w:rsid w:val="002223B3"/>
    <w:rsid w:val="00222CFA"/>
    <w:rsid w:val="00224862"/>
    <w:rsid w:val="00225951"/>
    <w:rsid w:val="00226389"/>
    <w:rsid w:val="00227751"/>
    <w:rsid w:val="00230B27"/>
    <w:rsid w:val="00230D45"/>
    <w:rsid w:val="0023100A"/>
    <w:rsid w:val="0023260A"/>
    <w:rsid w:val="00234199"/>
    <w:rsid w:val="002369AF"/>
    <w:rsid w:val="002376D0"/>
    <w:rsid w:val="00240D5C"/>
    <w:rsid w:val="00241935"/>
    <w:rsid w:val="0024281A"/>
    <w:rsid w:val="00243019"/>
    <w:rsid w:val="0024309A"/>
    <w:rsid w:val="0024502F"/>
    <w:rsid w:val="00245D3E"/>
    <w:rsid w:val="00247323"/>
    <w:rsid w:val="00247BE7"/>
    <w:rsid w:val="00250BB3"/>
    <w:rsid w:val="002521CB"/>
    <w:rsid w:val="002523A7"/>
    <w:rsid w:val="00252E34"/>
    <w:rsid w:val="00253718"/>
    <w:rsid w:val="002539D4"/>
    <w:rsid w:val="00255EC0"/>
    <w:rsid w:val="0025690E"/>
    <w:rsid w:val="002572D3"/>
    <w:rsid w:val="00257882"/>
    <w:rsid w:val="002615EC"/>
    <w:rsid w:val="00262914"/>
    <w:rsid w:val="00263F9D"/>
    <w:rsid w:val="00264520"/>
    <w:rsid w:val="00264E18"/>
    <w:rsid w:val="0026561A"/>
    <w:rsid w:val="002667DF"/>
    <w:rsid w:val="0026718C"/>
    <w:rsid w:val="00267973"/>
    <w:rsid w:val="00270D72"/>
    <w:rsid w:val="00271206"/>
    <w:rsid w:val="002712D7"/>
    <w:rsid w:val="00271C63"/>
    <w:rsid w:val="0027238E"/>
    <w:rsid w:val="00273554"/>
    <w:rsid w:val="0027458D"/>
    <w:rsid w:val="00275319"/>
    <w:rsid w:val="00275A84"/>
    <w:rsid w:val="0027677C"/>
    <w:rsid w:val="002768C0"/>
    <w:rsid w:val="00276969"/>
    <w:rsid w:val="00276A7B"/>
    <w:rsid w:val="0028041A"/>
    <w:rsid w:val="00282AE9"/>
    <w:rsid w:val="0028415B"/>
    <w:rsid w:val="002851EB"/>
    <w:rsid w:val="002854F6"/>
    <w:rsid w:val="00285989"/>
    <w:rsid w:val="00285CC6"/>
    <w:rsid w:val="00286E04"/>
    <w:rsid w:val="00290E7F"/>
    <w:rsid w:val="00290FB7"/>
    <w:rsid w:val="0029227D"/>
    <w:rsid w:val="002938AA"/>
    <w:rsid w:val="00293B81"/>
    <w:rsid w:val="00293FD7"/>
    <w:rsid w:val="0029432D"/>
    <w:rsid w:val="002958E7"/>
    <w:rsid w:val="00297D56"/>
    <w:rsid w:val="002A0BD8"/>
    <w:rsid w:val="002A0FD3"/>
    <w:rsid w:val="002A1150"/>
    <w:rsid w:val="002A1DAA"/>
    <w:rsid w:val="002A237E"/>
    <w:rsid w:val="002A2A56"/>
    <w:rsid w:val="002A2BAC"/>
    <w:rsid w:val="002A2F38"/>
    <w:rsid w:val="002A30AB"/>
    <w:rsid w:val="002A3297"/>
    <w:rsid w:val="002A3791"/>
    <w:rsid w:val="002A479E"/>
    <w:rsid w:val="002A49FA"/>
    <w:rsid w:val="002A5F02"/>
    <w:rsid w:val="002A60FA"/>
    <w:rsid w:val="002A63BE"/>
    <w:rsid w:val="002A6C0F"/>
    <w:rsid w:val="002A6ED2"/>
    <w:rsid w:val="002B0B16"/>
    <w:rsid w:val="002B0CAD"/>
    <w:rsid w:val="002B2404"/>
    <w:rsid w:val="002B356A"/>
    <w:rsid w:val="002B3942"/>
    <w:rsid w:val="002B396A"/>
    <w:rsid w:val="002B5647"/>
    <w:rsid w:val="002B5662"/>
    <w:rsid w:val="002B5B0A"/>
    <w:rsid w:val="002B64DB"/>
    <w:rsid w:val="002B7009"/>
    <w:rsid w:val="002B78CE"/>
    <w:rsid w:val="002B7BB5"/>
    <w:rsid w:val="002C0AE9"/>
    <w:rsid w:val="002C1C4A"/>
    <w:rsid w:val="002C21B6"/>
    <w:rsid w:val="002C3021"/>
    <w:rsid w:val="002C3BC4"/>
    <w:rsid w:val="002C554E"/>
    <w:rsid w:val="002C600F"/>
    <w:rsid w:val="002C7313"/>
    <w:rsid w:val="002D2BAB"/>
    <w:rsid w:val="002D33BB"/>
    <w:rsid w:val="002D394F"/>
    <w:rsid w:val="002D4886"/>
    <w:rsid w:val="002D54BD"/>
    <w:rsid w:val="002D67BD"/>
    <w:rsid w:val="002D6BE1"/>
    <w:rsid w:val="002D715F"/>
    <w:rsid w:val="002D7A5A"/>
    <w:rsid w:val="002E0578"/>
    <w:rsid w:val="002E32F1"/>
    <w:rsid w:val="002E47D7"/>
    <w:rsid w:val="002E4CD6"/>
    <w:rsid w:val="002E5091"/>
    <w:rsid w:val="002E5BDD"/>
    <w:rsid w:val="002E7EED"/>
    <w:rsid w:val="002F048F"/>
    <w:rsid w:val="002F21EA"/>
    <w:rsid w:val="002F24BE"/>
    <w:rsid w:val="002F289C"/>
    <w:rsid w:val="002F3171"/>
    <w:rsid w:val="002F4FDE"/>
    <w:rsid w:val="002F5CDA"/>
    <w:rsid w:val="002F703B"/>
    <w:rsid w:val="002F7499"/>
    <w:rsid w:val="0030061C"/>
    <w:rsid w:val="00303930"/>
    <w:rsid w:val="00305264"/>
    <w:rsid w:val="00307330"/>
    <w:rsid w:val="003075ED"/>
    <w:rsid w:val="00311DAB"/>
    <w:rsid w:val="003136FC"/>
    <w:rsid w:val="00313A46"/>
    <w:rsid w:val="00314CA9"/>
    <w:rsid w:val="00316ADA"/>
    <w:rsid w:val="00317F09"/>
    <w:rsid w:val="003209BB"/>
    <w:rsid w:val="00321753"/>
    <w:rsid w:val="003220C3"/>
    <w:rsid w:val="003220D6"/>
    <w:rsid w:val="00324B20"/>
    <w:rsid w:val="0033083D"/>
    <w:rsid w:val="00330F58"/>
    <w:rsid w:val="003315E3"/>
    <w:rsid w:val="003324E8"/>
    <w:rsid w:val="00332A60"/>
    <w:rsid w:val="003347EC"/>
    <w:rsid w:val="003349CC"/>
    <w:rsid w:val="00334B5B"/>
    <w:rsid w:val="00334BC1"/>
    <w:rsid w:val="00335AFE"/>
    <w:rsid w:val="00335C07"/>
    <w:rsid w:val="00337D24"/>
    <w:rsid w:val="00337F67"/>
    <w:rsid w:val="00340203"/>
    <w:rsid w:val="00340297"/>
    <w:rsid w:val="00340987"/>
    <w:rsid w:val="003421D9"/>
    <w:rsid w:val="00343250"/>
    <w:rsid w:val="00343744"/>
    <w:rsid w:val="00343877"/>
    <w:rsid w:val="00344B80"/>
    <w:rsid w:val="003453E1"/>
    <w:rsid w:val="00346015"/>
    <w:rsid w:val="003466A1"/>
    <w:rsid w:val="00346B05"/>
    <w:rsid w:val="00350355"/>
    <w:rsid w:val="00351031"/>
    <w:rsid w:val="0035171F"/>
    <w:rsid w:val="003539AB"/>
    <w:rsid w:val="00353B31"/>
    <w:rsid w:val="0035484B"/>
    <w:rsid w:val="00354DDE"/>
    <w:rsid w:val="00355E3A"/>
    <w:rsid w:val="003565C9"/>
    <w:rsid w:val="00356B5B"/>
    <w:rsid w:val="00356E79"/>
    <w:rsid w:val="00357113"/>
    <w:rsid w:val="003578AA"/>
    <w:rsid w:val="003601E9"/>
    <w:rsid w:val="00361AF7"/>
    <w:rsid w:val="00362FD4"/>
    <w:rsid w:val="0036346B"/>
    <w:rsid w:val="00363C27"/>
    <w:rsid w:val="00363F18"/>
    <w:rsid w:val="003654B6"/>
    <w:rsid w:val="00366572"/>
    <w:rsid w:val="00366655"/>
    <w:rsid w:val="0036715B"/>
    <w:rsid w:val="00367AC6"/>
    <w:rsid w:val="003708E3"/>
    <w:rsid w:val="003711FD"/>
    <w:rsid w:val="003716AD"/>
    <w:rsid w:val="00372232"/>
    <w:rsid w:val="003724A7"/>
    <w:rsid w:val="00372F3C"/>
    <w:rsid w:val="003731DF"/>
    <w:rsid w:val="00373600"/>
    <w:rsid w:val="003738E5"/>
    <w:rsid w:val="0037416A"/>
    <w:rsid w:val="003752FD"/>
    <w:rsid w:val="003754C2"/>
    <w:rsid w:val="00375C32"/>
    <w:rsid w:val="003769B4"/>
    <w:rsid w:val="00381DB7"/>
    <w:rsid w:val="00381F89"/>
    <w:rsid w:val="0038279C"/>
    <w:rsid w:val="00382BD8"/>
    <w:rsid w:val="00383AFE"/>
    <w:rsid w:val="00383BF9"/>
    <w:rsid w:val="003841E0"/>
    <w:rsid w:val="00384E5A"/>
    <w:rsid w:val="00386714"/>
    <w:rsid w:val="00387C2C"/>
    <w:rsid w:val="003901BB"/>
    <w:rsid w:val="00390543"/>
    <w:rsid w:val="003909E8"/>
    <w:rsid w:val="00390B61"/>
    <w:rsid w:val="003914FD"/>
    <w:rsid w:val="003915B5"/>
    <w:rsid w:val="00391EEF"/>
    <w:rsid w:val="00392558"/>
    <w:rsid w:val="00392592"/>
    <w:rsid w:val="00392A14"/>
    <w:rsid w:val="0039454C"/>
    <w:rsid w:val="00394F40"/>
    <w:rsid w:val="003955FD"/>
    <w:rsid w:val="0039688F"/>
    <w:rsid w:val="003A0C7B"/>
    <w:rsid w:val="003A1187"/>
    <w:rsid w:val="003A1C30"/>
    <w:rsid w:val="003A1CA9"/>
    <w:rsid w:val="003A2AC0"/>
    <w:rsid w:val="003A356A"/>
    <w:rsid w:val="003A3C66"/>
    <w:rsid w:val="003A3D7A"/>
    <w:rsid w:val="003A44C3"/>
    <w:rsid w:val="003A4DC7"/>
    <w:rsid w:val="003A6623"/>
    <w:rsid w:val="003A6FCA"/>
    <w:rsid w:val="003A7993"/>
    <w:rsid w:val="003A7A38"/>
    <w:rsid w:val="003B03A5"/>
    <w:rsid w:val="003B0CEF"/>
    <w:rsid w:val="003B18A9"/>
    <w:rsid w:val="003B1B89"/>
    <w:rsid w:val="003B515A"/>
    <w:rsid w:val="003B6069"/>
    <w:rsid w:val="003B6C6C"/>
    <w:rsid w:val="003B7034"/>
    <w:rsid w:val="003B78DC"/>
    <w:rsid w:val="003C02A6"/>
    <w:rsid w:val="003C1382"/>
    <w:rsid w:val="003C384B"/>
    <w:rsid w:val="003C3CC5"/>
    <w:rsid w:val="003C3E5F"/>
    <w:rsid w:val="003C4598"/>
    <w:rsid w:val="003C5194"/>
    <w:rsid w:val="003C59FA"/>
    <w:rsid w:val="003C6034"/>
    <w:rsid w:val="003C60D7"/>
    <w:rsid w:val="003C6898"/>
    <w:rsid w:val="003C6D58"/>
    <w:rsid w:val="003C7322"/>
    <w:rsid w:val="003C75DD"/>
    <w:rsid w:val="003D019C"/>
    <w:rsid w:val="003D0B0F"/>
    <w:rsid w:val="003D1B27"/>
    <w:rsid w:val="003D2D17"/>
    <w:rsid w:val="003D53FD"/>
    <w:rsid w:val="003D541D"/>
    <w:rsid w:val="003D57BC"/>
    <w:rsid w:val="003D5E2C"/>
    <w:rsid w:val="003D6A2B"/>
    <w:rsid w:val="003D7001"/>
    <w:rsid w:val="003D7C47"/>
    <w:rsid w:val="003D7F0B"/>
    <w:rsid w:val="003E05EF"/>
    <w:rsid w:val="003E10EC"/>
    <w:rsid w:val="003E1A03"/>
    <w:rsid w:val="003E1BA2"/>
    <w:rsid w:val="003E271D"/>
    <w:rsid w:val="003E325B"/>
    <w:rsid w:val="003E382A"/>
    <w:rsid w:val="003E3BEC"/>
    <w:rsid w:val="003E3D5B"/>
    <w:rsid w:val="003E3F98"/>
    <w:rsid w:val="003E405F"/>
    <w:rsid w:val="003E4620"/>
    <w:rsid w:val="003E4C13"/>
    <w:rsid w:val="003E526F"/>
    <w:rsid w:val="003E5AB3"/>
    <w:rsid w:val="003E6065"/>
    <w:rsid w:val="003E6652"/>
    <w:rsid w:val="003E7780"/>
    <w:rsid w:val="003E7D17"/>
    <w:rsid w:val="003F0BEB"/>
    <w:rsid w:val="003F125D"/>
    <w:rsid w:val="003F1AD5"/>
    <w:rsid w:val="003F2B37"/>
    <w:rsid w:val="003F31AE"/>
    <w:rsid w:val="003F3CAE"/>
    <w:rsid w:val="003F5B10"/>
    <w:rsid w:val="003F5B65"/>
    <w:rsid w:val="003F719C"/>
    <w:rsid w:val="0040047D"/>
    <w:rsid w:val="00400CFD"/>
    <w:rsid w:val="00401343"/>
    <w:rsid w:val="00401F00"/>
    <w:rsid w:val="00401F14"/>
    <w:rsid w:val="00402226"/>
    <w:rsid w:val="00403D2A"/>
    <w:rsid w:val="00404EB4"/>
    <w:rsid w:val="00406764"/>
    <w:rsid w:val="00406A26"/>
    <w:rsid w:val="00407162"/>
    <w:rsid w:val="00407A0E"/>
    <w:rsid w:val="00407D19"/>
    <w:rsid w:val="00407E7B"/>
    <w:rsid w:val="00407FC3"/>
    <w:rsid w:val="004118D2"/>
    <w:rsid w:val="00411FAB"/>
    <w:rsid w:val="004129B6"/>
    <w:rsid w:val="00413591"/>
    <w:rsid w:val="00413E89"/>
    <w:rsid w:val="004146FC"/>
    <w:rsid w:val="00414AD0"/>
    <w:rsid w:val="004154D6"/>
    <w:rsid w:val="0041606B"/>
    <w:rsid w:val="0041621F"/>
    <w:rsid w:val="00416DC2"/>
    <w:rsid w:val="0041724F"/>
    <w:rsid w:val="00420E11"/>
    <w:rsid w:val="004217C5"/>
    <w:rsid w:val="00421BDA"/>
    <w:rsid w:val="00421F98"/>
    <w:rsid w:val="00422177"/>
    <w:rsid w:val="00424CC2"/>
    <w:rsid w:val="00425348"/>
    <w:rsid w:val="00425F8B"/>
    <w:rsid w:val="00431353"/>
    <w:rsid w:val="00431573"/>
    <w:rsid w:val="00433395"/>
    <w:rsid w:val="00433D32"/>
    <w:rsid w:val="0043515F"/>
    <w:rsid w:val="0043549A"/>
    <w:rsid w:val="00435EC8"/>
    <w:rsid w:val="0043623B"/>
    <w:rsid w:val="00436541"/>
    <w:rsid w:val="004367BC"/>
    <w:rsid w:val="00436E5E"/>
    <w:rsid w:val="00437929"/>
    <w:rsid w:val="00437E9C"/>
    <w:rsid w:val="004401EE"/>
    <w:rsid w:val="00440FE1"/>
    <w:rsid w:val="00441015"/>
    <w:rsid w:val="00441769"/>
    <w:rsid w:val="00445463"/>
    <w:rsid w:val="00447042"/>
    <w:rsid w:val="004474A6"/>
    <w:rsid w:val="00447D11"/>
    <w:rsid w:val="004501CB"/>
    <w:rsid w:val="00451086"/>
    <w:rsid w:val="00451E0C"/>
    <w:rsid w:val="0045307B"/>
    <w:rsid w:val="0045395C"/>
    <w:rsid w:val="00453EEB"/>
    <w:rsid w:val="00454821"/>
    <w:rsid w:val="0045520B"/>
    <w:rsid w:val="004558E0"/>
    <w:rsid w:val="00455E9D"/>
    <w:rsid w:val="0045617B"/>
    <w:rsid w:val="00456BF7"/>
    <w:rsid w:val="0045715C"/>
    <w:rsid w:val="00457EE8"/>
    <w:rsid w:val="004614F0"/>
    <w:rsid w:val="00463B38"/>
    <w:rsid w:val="00463D26"/>
    <w:rsid w:val="00464338"/>
    <w:rsid w:val="00464677"/>
    <w:rsid w:val="00465A37"/>
    <w:rsid w:val="00466852"/>
    <w:rsid w:val="004678E0"/>
    <w:rsid w:val="00470F6A"/>
    <w:rsid w:val="0047138C"/>
    <w:rsid w:val="0047163E"/>
    <w:rsid w:val="00471A0E"/>
    <w:rsid w:val="004728F7"/>
    <w:rsid w:val="00472BD6"/>
    <w:rsid w:val="0047315F"/>
    <w:rsid w:val="00473183"/>
    <w:rsid w:val="00475FB0"/>
    <w:rsid w:val="004773C4"/>
    <w:rsid w:val="0048122B"/>
    <w:rsid w:val="00481791"/>
    <w:rsid w:val="0048208B"/>
    <w:rsid w:val="00482C16"/>
    <w:rsid w:val="00483912"/>
    <w:rsid w:val="00483A50"/>
    <w:rsid w:val="0048425E"/>
    <w:rsid w:val="00484A73"/>
    <w:rsid w:val="00485FD4"/>
    <w:rsid w:val="004864FC"/>
    <w:rsid w:val="004865E0"/>
    <w:rsid w:val="00486C92"/>
    <w:rsid w:val="004875E8"/>
    <w:rsid w:val="00487AC1"/>
    <w:rsid w:val="0049041A"/>
    <w:rsid w:val="004904F7"/>
    <w:rsid w:val="004910BB"/>
    <w:rsid w:val="00491368"/>
    <w:rsid w:val="0049158E"/>
    <w:rsid w:val="00492057"/>
    <w:rsid w:val="00494101"/>
    <w:rsid w:val="00494EBB"/>
    <w:rsid w:val="004954F7"/>
    <w:rsid w:val="00495CE4"/>
    <w:rsid w:val="00496164"/>
    <w:rsid w:val="00496E3B"/>
    <w:rsid w:val="00497BA3"/>
    <w:rsid w:val="00497DA9"/>
    <w:rsid w:val="004A123E"/>
    <w:rsid w:val="004A1A6A"/>
    <w:rsid w:val="004A1B94"/>
    <w:rsid w:val="004A1BB9"/>
    <w:rsid w:val="004A20FA"/>
    <w:rsid w:val="004A2C3C"/>
    <w:rsid w:val="004A2E26"/>
    <w:rsid w:val="004A367B"/>
    <w:rsid w:val="004A463C"/>
    <w:rsid w:val="004A516B"/>
    <w:rsid w:val="004A6D4B"/>
    <w:rsid w:val="004A6DB4"/>
    <w:rsid w:val="004A7BBD"/>
    <w:rsid w:val="004B0CA3"/>
    <w:rsid w:val="004B1169"/>
    <w:rsid w:val="004B1312"/>
    <w:rsid w:val="004B1EA2"/>
    <w:rsid w:val="004B293D"/>
    <w:rsid w:val="004B2D9A"/>
    <w:rsid w:val="004B3732"/>
    <w:rsid w:val="004B476F"/>
    <w:rsid w:val="004B514B"/>
    <w:rsid w:val="004B5794"/>
    <w:rsid w:val="004B5C1C"/>
    <w:rsid w:val="004B5EBE"/>
    <w:rsid w:val="004B6926"/>
    <w:rsid w:val="004B6D0D"/>
    <w:rsid w:val="004B70E5"/>
    <w:rsid w:val="004B7407"/>
    <w:rsid w:val="004B7972"/>
    <w:rsid w:val="004B7A07"/>
    <w:rsid w:val="004B7B89"/>
    <w:rsid w:val="004C048D"/>
    <w:rsid w:val="004C0E53"/>
    <w:rsid w:val="004C0F08"/>
    <w:rsid w:val="004C2304"/>
    <w:rsid w:val="004C2E3D"/>
    <w:rsid w:val="004C37F7"/>
    <w:rsid w:val="004C5FE4"/>
    <w:rsid w:val="004C6965"/>
    <w:rsid w:val="004C6C3E"/>
    <w:rsid w:val="004C798E"/>
    <w:rsid w:val="004D02C1"/>
    <w:rsid w:val="004D12EA"/>
    <w:rsid w:val="004D2674"/>
    <w:rsid w:val="004D2B8E"/>
    <w:rsid w:val="004D5034"/>
    <w:rsid w:val="004D5239"/>
    <w:rsid w:val="004D5FD4"/>
    <w:rsid w:val="004D664B"/>
    <w:rsid w:val="004D76EE"/>
    <w:rsid w:val="004D7B39"/>
    <w:rsid w:val="004E00E6"/>
    <w:rsid w:val="004E061A"/>
    <w:rsid w:val="004E0FAB"/>
    <w:rsid w:val="004E1E4F"/>
    <w:rsid w:val="004E2EB8"/>
    <w:rsid w:val="004E575F"/>
    <w:rsid w:val="004E5975"/>
    <w:rsid w:val="004F0306"/>
    <w:rsid w:val="004F2339"/>
    <w:rsid w:val="004F25CC"/>
    <w:rsid w:val="004F2E6E"/>
    <w:rsid w:val="004F32B1"/>
    <w:rsid w:val="004F340E"/>
    <w:rsid w:val="004F3426"/>
    <w:rsid w:val="004F3994"/>
    <w:rsid w:val="004F4DF6"/>
    <w:rsid w:val="004F4F82"/>
    <w:rsid w:val="004F59B7"/>
    <w:rsid w:val="004F72DF"/>
    <w:rsid w:val="004F7355"/>
    <w:rsid w:val="004F75DF"/>
    <w:rsid w:val="004F78BC"/>
    <w:rsid w:val="00500A32"/>
    <w:rsid w:val="0050264B"/>
    <w:rsid w:val="00503605"/>
    <w:rsid w:val="00503A6A"/>
    <w:rsid w:val="00504B3D"/>
    <w:rsid w:val="005106D3"/>
    <w:rsid w:val="0051109A"/>
    <w:rsid w:val="00511452"/>
    <w:rsid w:val="00511895"/>
    <w:rsid w:val="00512468"/>
    <w:rsid w:val="00512544"/>
    <w:rsid w:val="0051276C"/>
    <w:rsid w:val="00514C43"/>
    <w:rsid w:val="0051508F"/>
    <w:rsid w:val="005155D7"/>
    <w:rsid w:val="005156D9"/>
    <w:rsid w:val="00515F2D"/>
    <w:rsid w:val="00516516"/>
    <w:rsid w:val="005173B4"/>
    <w:rsid w:val="00517794"/>
    <w:rsid w:val="005179E3"/>
    <w:rsid w:val="005211D5"/>
    <w:rsid w:val="00521DC4"/>
    <w:rsid w:val="00522853"/>
    <w:rsid w:val="00523297"/>
    <w:rsid w:val="00523E5D"/>
    <w:rsid w:val="00524888"/>
    <w:rsid w:val="005250AC"/>
    <w:rsid w:val="005255AD"/>
    <w:rsid w:val="005259B3"/>
    <w:rsid w:val="00525BCF"/>
    <w:rsid w:val="00526583"/>
    <w:rsid w:val="0052688B"/>
    <w:rsid w:val="005268CA"/>
    <w:rsid w:val="005272C5"/>
    <w:rsid w:val="00527887"/>
    <w:rsid w:val="0053081F"/>
    <w:rsid w:val="0053115F"/>
    <w:rsid w:val="005312A8"/>
    <w:rsid w:val="00533366"/>
    <w:rsid w:val="00535AC7"/>
    <w:rsid w:val="00536AB2"/>
    <w:rsid w:val="00536DB5"/>
    <w:rsid w:val="0053752B"/>
    <w:rsid w:val="00540D06"/>
    <w:rsid w:val="0054345D"/>
    <w:rsid w:val="0054410C"/>
    <w:rsid w:val="00544D80"/>
    <w:rsid w:val="00546223"/>
    <w:rsid w:val="00546697"/>
    <w:rsid w:val="00547469"/>
    <w:rsid w:val="005503B8"/>
    <w:rsid w:val="00550659"/>
    <w:rsid w:val="00550D07"/>
    <w:rsid w:val="005520E5"/>
    <w:rsid w:val="0055283A"/>
    <w:rsid w:val="0055393D"/>
    <w:rsid w:val="00553ACB"/>
    <w:rsid w:val="005542B2"/>
    <w:rsid w:val="00554747"/>
    <w:rsid w:val="00554E09"/>
    <w:rsid w:val="0055606A"/>
    <w:rsid w:val="00556731"/>
    <w:rsid w:val="00557B92"/>
    <w:rsid w:val="00561988"/>
    <w:rsid w:val="005619FB"/>
    <w:rsid w:val="00561C88"/>
    <w:rsid w:val="00562D57"/>
    <w:rsid w:val="00563E0A"/>
    <w:rsid w:val="005658D2"/>
    <w:rsid w:val="00565A2E"/>
    <w:rsid w:val="00565D23"/>
    <w:rsid w:val="0056755A"/>
    <w:rsid w:val="00567843"/>
    <w:rsid w:val="00567C7E"/>
    <w:rsid w:val="005707CE"/>
    <w:rsid w:val="0057093A"/>
    <w:rsid w:val="00570FC8"/>
    <w:rsid w:val="00573B07"/>
    <w:rsid w:val="00575BE9"/>
    <w:rsid w:val="005760CC"/>
    <w:rsid w:val="0057714F"/>
    <w:rsid w:val="0057752F"/>
    <w:rsid w:val="00580A61"/>
    <w:rsid w:val="00580AE2"/>
    <w:rsid w:val="00580FAA"/>
    <w:rsid w:val="005810CD"/>
    <w:rsid w:val="00581324"/>
    <w:rsid w:val="00581747"/>
    <w:rsid w:val="00581951"/>
    <w:rsid w:val="00581E20"/>
    <w:rsid w:val="005822DD"/>
    <w:rsid w:val="00583198"/>
    <w:rsid w:val="00584658"/>
    <w:rsid w:val="00584F8C"/>
    <w:rsid w:val="00585833"/>
    <w:rsid w:val="00585CC9"/>
    <w:rsid w:val="00586548"/>
    <w:rsid w:val="00587BD6"/>
    <w:rsid w:val="00587DEF"/>
    <w:rsid w:val="00587E10"/>
    <w:rsid w:val="00590997"/>
    <w:rsid w:val="00590EB7"/>
    <w:rsid w:val="00591A6D"/>
    <w:rsid w:val="00594C25"/>
    <w:rsid w:val="005953C0"/>
    <w:rsid w:val="00595437"/>
    <w:rsid w:val="00595AB2"/>
    <w:rsid w:val="0059615B"/>
    <w:rsid w:val="0059671C"/>
    <w:rsid w:val="00597FA8"/>
    <w:rsid w:val="005A019D"/>
    <w:rsid w:val="005A089C"/>
    <w:rsid w:val="005A1945"/>
    <w:rsid w:val="005A22FD"/>
    <w:rsid w:val="005A3051"/>
    <w:rsid w:val="005A421E"/>
    <w:rsid w:val="005A430B"/>
    <w:rsid w:val="005A4339"/>
    <w:rsid w:val="005A4639"/>
    <w:rsid w:val="005A47F4"/>
    <w:rsid w:val="005A482C"/>
    <w:rsid w:val="005A6477"/>
    <w:rsid w:val="005A64D9"/>
    <w:rsid w:val="005A73D2"/>
    <w:rsid w:val="005A7CA0"/>
    <w:rsid w:val="005A7D7F"/>
    <w:rsid w:val="005B0579"/>
    <w:rsid w:val="005B0871"/>
    <w:rsid w:val="005B0B2B"/>
    <w:rsid w:val="005B0E60"/>
    <w:rsid w:val="005B2B48"/>
    <w:rsid w:val="005B2B69"/>
    <w:rsid w:val="005B3717"/>
    <w:rsid w:val="005B3F41"/>
    <w:rsid w:val="005B4741"/>
    <w:rsid w:val="005B5556"/>
    <w:rsid w:val="005B5699"/>
    <w:rsid w:val="005B6944"/>
    <w:rsid w:val="005B6BD6"/>
    <w:rsid w:val="005B7A73"/>
    <w:rsid w:val="005B7E93"/>
    <w:rsid w:val="005C0C37"/>
    <w:rsid w:val="005C0D14"/>
    <w:rsid w:val="005C1A56"/>
    <w:rsid w:val="005C1B15"/>
    <w:rsid w:val="005C330A"/>
    <w:rsid w:val="005C33AB"/>
    <w:rsid w:val="005C45F1"/>
    <w:rsid w:val="005C468B"/>
    <w:rsid w:val="005C5094"/>
    <w:rsid w:val="005C68AC"/>
    <w:rsid w:val="005C6C3D"/>
    <w:rsid w:val="005D134C"/>
    <w:rsid w:val="005D1848"/>
    <w:rsid w:val="005D1AC7"/>
    <w:rsid w:val="005D2569"/>
    <w:rsid w:val="005D4E9E"/>
    <w:rsid w:val="005D5C89"/>
    <w:rsid w:val="005D6E50"/>
    <w:rsid w:val="005E10F5"/>
    <w:rsid w:val="005E32A7"/>
    <w:rsid w:val="005E33F6"/>
    <w:rsid w:val="005E3956"/>
    <w:rsid w:val="005E4424"/>
    <w:rsid w:val="005E6195"/>
    <w:rsid w:val="005E65D9"/>
    <w:rsid w:val="005E6C3E"/>
    <w:rsid w:val="005F0ABC"/>
    <w:rsid w:val="005F295A"/>
    <w:rsid w:val="005F2F05"/>
    <w:rsid w:val="005F3FCA"/>
    <w:rsid w:val="005F44E9"/>
    <w:rsid w:val="005F4B45"/>
    <w:rsid w:val="005F6E05"/>
    <w:rsid w:val="006014B7"/>
    <w:rsid w:val="0060223C"/>
    <w:rsid w:val="00602CD9"/>
    <w:rsid w:val="00604792"/>
    <w:rsid w:val="00605430"/>
    <w:rsid w:val="00607233"/>
    <w:rsid w:val="006072EC"/>
    <w:rsid w:val="00611607"/>
    <w:rsid w:val="00612146"/>
    <w:rsid w:val="00612A9D"/>
    <w:rsid w:val="00613075"/>
    <w:rsid w:val="0061321B"/>
    <w:rsid w:val="00613759"/>
    <w:rsid w:val="006140CF"/>
    <w:rsid w:val="0061648B"/>
    <w:rsid w:val="00616687"/>
    <w:rsid w:val="00616E14"/>
    <w:rsid w:val="00617734"/>
    <w:rsid w:val="0061782C"/>
    <w:rsid w:val="00617B94"/>
    <w:rsid w:val="00620D07"/>
    <w:rsid w:val="00621CEC"/>
    <w:rsid w:val="00622709"/>
    <w:rsid w:val="0062412A"/>
    <w:rsid w:val="00625ACC"/>
    <w:rsid w:val="00626329"/>
    <w:rsid w:val="00630319"/>
    <w:rsid w:val="006309AD"/>
    <w:rsid w:val="00632155"/>
    <w:rsid w:val="0063234F"/>
    <w:rsid w:val="00633981"/>
    <w:rsid w:val="00633C01"/>
    <w:rsid w:val="00633ECF"/>
    <w:rsid w:val="00635100"/>
    <w:rsid w:val="00635585"/>
    <w:rsid w:val="00636373"/>
    <w:rsid w:val="00637320"/>
    <w:rsid w:val="00637927"/>
    <w:rsid w:val="00637B3B"/>
    <w:rsid w:val="006404B9"/>
    <w:rsid w:val="00640BA1"/>
    <w:rsid w:val="0064223F"/>
    <w:rsid w:val="00642B07"/>
    <w:rsid w:val="00642F7B"/>
    <w:rsid w:val="006438E5"/>
    <w:rsid w:val="00643FAE"/>
    <w:rsid w:val="00644860"/>
    <w:rsid w:val="00644FEE"/>
    <w:rsid w:val="006456A1"/>
    <w:rsid w:val="00645A7A"/>
    <w:rsid w:val="00645B1E"/>
    <w:rsid w:val="0064652F"/>
    <w:rsid w:val="00647405"/>
    <w:rsid w:val="00647B9A"/>
    <w:rsid w:val="00647F38"/>
    <w:rsid w:val="006510E2"/>
    <w:rsid w:val="0065213C"/>
    <w:rsid w:val="00652BBA"/>
    <w:rsid w:val="00653280"/>
    <w:rsid w:val="006544AC"/>
    <w:rsid w:val="00654B10"/>
    <w:rsid w:val="00655359"/>
    <w:rsid w:val="00656F99"/>
    <w:rsid w:val="00660474"/>
    <w:rsid w:val="0066173B"/>
    <w:rsid w:val="00661ED0"/>
    <w:rsid w:val="00662350"/>
    <w:rsid w:val="006631B4"/>
    <w:rsid w:val="00663874"/>
    <w:rsid w:val="0066402B"/>
    <w:rsid w:val="00665240"/>
    <w:rsid w:val="00665306"/>
    <w:rsid w:val="00665B33"/>
    <w:rsid w:val="006666FD"/>
    <w:rsid w:val="0066691D"/>
    <w:rsid w:val="0067058C"/>
    <w:rsid w:val="00670D76"/>
    <w:rsid w:val="0067209D"/>
    <w:rsid w:val="0067226F"/>
    <w:rsid w:val="00672575"/>
    <w:rsid w:val="00672EC2"/>
    <w:rsid w:val="00673A63"/>
    <w:rsid w:val="00674264"/>
    <w:rsid w:val="00674489"/>
    <w:rsid w:val="00674E47"/>
    <w:rsid w:val="006760DE"/>
    <w:rsid w:val="00676970"/>
    <w:rsid w:val="00677C10"/>
    <w:rsid w:val="00677CFF"/>
    <w:rsid w:val="00677EAF"/>
    <w:rsid w:val="00677F5C"/>
    <w:rsid w:val="00681030"/>
    <w:rsid w:val="00682035"/>
    <w:rsid w:val="0068293E"/>
    <w:rsid w:val="00683BF6"/>
    <w:rsid w:val="00683D85"/>
    <w:rsid w:val="00683D98"/>
    <w:rsid w:val="00684C9D"/>
    <w:rsid w:val="00685922"/>
    <w:rsid w:val="0068626B"/>
    <w:rsid w:val="00686689"/>
    <w:rsid w:val="00686F24"/>
    <w:rsid w:val="006876BC"/>
    <w:rsid w:val="0068772E"/>
    <w:rsid w:val="00691736"/>
    <w:rsid w:val="006927BE"/>
    <w:rsid w:val="00693ED9"/>
    <w:rsid w:val="00696078"/>
    <w:rsid w:val="006965BA"/>
    <w:rsid w:val="00697B89"/>
    <w:rsid w:val="00697FF9"/>
    <w:rsid w:val="006A1394"/>
    <w:rsid w:val="006A1C42"/>
    <w:rsid w:val="006A2441"/>
    <w:rsid w:val="006A317A"/>
    <w:rsid w:val="006A36CF"/>
    <w:rsid w:val="006A3A89"/>
    <w:rsid w:val="006A3F14"/>
    <w:rsid w:val="006A488A"/>
    <w:rsid w:val="006A4F90"/>
    <w:rsid w:val="006A570C"/>
    <w:rsid w:val="006A695A"/>
    <w:rsid w:val="006A6CA4"/>
    <w:rsid w:val="006B09CA"/>
    <w:rsid w:val="006B0B44"/>
    <w:rsid w:val="006B25E2"/>
    <w:rsid w:val="006B43A7"/>
    <w:rsid w:val="006B5D76"/>
    <w:rsid w:val="006B5DC6"/>
    <w:rsid w:val="006B5F69"/>
    <w:rsid w:val="006B6FF3"/>
    <w:rsid w:val="006B7078"/>
    <w:rsid w:val="006B741B"/>
    <w:rsid w:val="006B7B77"/>
    <w:rsid w:val="006B7CBB"/>
    <w:rsid w:val="006C0772"/>
    <w:rsid w:val="006C1569"/>
    <w:rsid w:val="006C2DD4"/>
    <w:rsid w:val="006C35C4"/>
    <w:rsid w:val="006C4568"/>
    <w:rsid w:val="006C51B6"/>
    <w:rsid w:val="006C5749"/>
    <w:rsid w:val="006C57D6"/>
    <w:rsid w:val="006C65A3"/>
    <w:rsid w:val="006C71C7"/>
    <w:rsid w:val="006C77E6"/>
    <w:rsid w:val="006C78B4"/>
    <w:rsid w:val="006D0E2E"/>
    <w:rsid w:val="006D2083"/>
    <w:rsid w:val="006D2380"/>
    <w:rsid w:val="006D2447"/>
    <w:rsid w:val="006D256C"/>
    <w:rsid w:val="006D32E0"/>
    <w:rsid w:val="006D347F"/>
    <w:rsid w:val="006D3BA5"/>
    <w:rsid w:val="006D3FFF"/>
    <w:rsid w:val="006D468D"/>
    <w:rsid w:val="006D4E03"/>
    <w:rsid w:val="006D525B"/>
    <w:rsid w:val="006D55EA"/>
    <w:rsid w:val="006D6669"/>
    <w:rsid w:val="006E05B2"/>
    <w:rsid w:val="006E0E15"/>
    <w:rsid w:val="006E152C"/>
    <w:rsid w:val="006E20C2"/>
    <w:rsid w:val="006E2545"/>
    <w:rsid w:val="006E2B40"/>
    <w:rsid w:val="006E3F6D"/>
    <w:rsid w:val="006E5ED8"/>
    <w:rsid w:val="006E5FF6"/>
    <w:rsid w:val="006E6504"/>
    <w:rsid w:val="006F21D1"/>
    <w:rsid w:val="006F3104"/>
    <w:rsid w:val="006F32C6"/>
    <w:rsid w:val="006F3F05"/>
    <w:rsid w:val="006F65A1"/>
    <w:rsid w:val="006F6A4C"/>
    <w:rsid w:val="006F7138"/>
    <w:rsid w:val="006F7970"/>
    <w:rsid w:val="007007B0"/>
    <w:rsid w:val="00700D05"/>
    <w:rsid w:val="0070121C"/>
    <w:rsid w:val="00701617"/>
    <w:rsid w:val="00702184"/>
    <w:rsid w:val="00703ABE"/>
    <w:rsid w:val="00704A66"/>
    <w:rsid w:val="00704ECC"/>
    <w:rsid w:val="00705830"/>
    <w:rsid w:val="00705F5D"/>
    <w:rsid w:val="00705FE5"/>
    <w:rsid w:val="0070628F"/>
    <w:rsid w:val="00706303"/>
    <w:rsid w:val="007075E5"/>
    <w:rsid w:val="007121D7"/>
    <w:rsid w:val="00713BDE"/>
    <w:rsid w:val="00714376"/>
    <w:rsid w:val="00714382"/>
    <w:rsid w:val="00714DE2"/>
    <w:rsid w:val="0071609D"/>
    <w:rsid w:val="00717C9E"/>
    <w:rsid w:val="007205FF"/>
    <w:rsid w:val="00720966"/>
    <w:rsid w:val="00723AFF"/>
    <w:rsid w:val="0072473F"/>
    <w:rsid w:val="00724D46"/>
    <w:rsid w:val="007255B3"/>
    <w:rsid w:val="00725D0F"/>
    <w:rsid w:val="007268B3"/>
    <w:rsid w:val="007277E5"/>
    <w:rsid w:val="007279C6"/>
    <w:rsid w:val="00730471"/>
    <w:rsid w:val="00730481"/>
    <w:rsid w:val="007305B3"/>
    <w:rsid w:val="007327B7"/>
    <w:rsid w:val="0073286A"/>
    <w:rsid w:val="00733D60"/>
    <w:rsid w:val="00733EE5"/>
    <w:rsid w:val="0073572C"/>
    <w:rsid w:val="00735A60"/>
    <w:rsid w:val="007367E5"/>
    <w:rsid w:val="0073732A"/>
    <w:rsid w:val="00737349"/>
    <w:rsid w:val="007378D7"/>
    <w:rsid w:val="0073790B"/>
    <w:rsid w:val="00737A48"/>
    <w:rsid w:val="00740F4A"/>
    <w:rsid w:val="00741F7E"/>
    <w:rsid w:val="0074257D"/>
    <w:rsid w:val="0074406C"/>
    <w:rsid w:val="00744BF0"/>
    <w:rsid w:val="0074532D"/>
    <w:rsid w:val="0074596B"/>
    <w:rsid w:val="00746C1D"/>
    <w:rsid w:val="00747AE3"/>
    <w:rsid w:val="00747CEC"/>
    <w:rsid w:val="00750763"/>
    <w:rsid w:val="00751413"/>
    <w:rsid w:val="00751E71"/>
    <w:rsid w:val="0075238D"/>
    <w:rsid w:val="0075277B"/>
    <w:rsid w:val="00753EA4"/>
    <w:rsid w:val="00754A72"/>
    <w:rsid w:val="00755148"/>
    <w:rsid w:val="00755375"/>
    <w:rsid w:val="00755A39"/>
    <w:rsid w:val="0075714F"/>
    <w:rsid w:val="007572FA"/>
    <w:rsid w:val="00757F4D"/>
    <w:rsid w:val="007618F1"/>
    <w:rsid w:val="00761D54"/>
    <w:rsid w:val="007623FD"/>
    <w:rsid w:val="007624DE"/>
    <w:rsid w:val="007632FC"/>
    <w:rsid w:val="00763E4C"/>
    <w:rsid w:val="0076405D"/>
    <w:rsid w:val="007654BB"/>
    <w:rsid w:val="00766747"/>
    <w:rsid w:val="007676E3"/>
    <w:rsid w:val="00767D0F"/>
    <w:rsid w:val="0077079C"/>
    <w:rsid w:val="00770E6F"/>
    <w:rsid w:val="007711B8"/>
    <w:rsid w:val="00771F89"/>
    <w:rsid w:val="00772933"/>
    <w:rsid w:val="00772982"/>
    <w:rsid w:val="00772CB1"/>
    <w:rsid w:val="00773479"/>
    <w:rsid w:val="007738BF"/>
    <w:rsid w:val="0077488A"/>
    <w:rsid w:val="00775EEE"/>
    <w:rsid w:val="007760FA"/>
    <w:rsid w:val="00776DA1"/>
    <w:rsid w:val="00776F0C"/>
    <w:rsid w:val="007800D0"/>
    <w:rsid w:val="007803BD"/>
    <w:rsid w:val="00780CC2"/>
    <w:rsid w:val="00781EE1"/>
    <w:rsid w:val="00782354"/>
    <w:rsid w:val="00782678"/>
    <w:rsid w:val="00782B06"/>
    <w:rsid w:val="00782C12"/>
    <w:rsid w:val="00783539"/>
    <w:rsid w:val="00783E26"/>
    <w:rsid w:val="007866B1"/>
    <w:rsid w:val="00787951"/>
    <w:rsid w:val="00787AF0"/>
    <w:rsid w:val="00791BAE"/>
    <w:rsid w:val="0079269C"/>
    <w:rsid w:val="00792ECC"/>
    <w:rsid w:val="00793209"/>
    <w:rsid w:val="00793A9E"/>
    <w:rsid w:val="00793B74"/>
    <w:rsid w:val="00795BB5"/>
    <w:rsid w:val="0079658F"/>
    <w:rsid w:val="00797D35"/>
    <w:rsid w:val="007A0BF6"/>
    <w:rsid w:val="007A0EE3"/>
    <w:rsid w:val="007A0F7D"/>
    <w:rsid w:val="007A128B"/>
    <w:rsid w:val="007A12A3"/>
    <w:rsid w:val="007A1B0F"/>
    <w:rsid w:val="007A24A4"/>
    <w:rsid w:val="007A28AE"/>
    <w:rsid w:val="007A2D19"/>
    <w:rsid w:val="007A3497"/>
    <w:rsid w:val="007A3654"/>
    <w:rsid w:val="007A50E3"/>
    <w:rsid w:val="007A5A45"/>
    <w:rsid w:val="007A6517"/>
    <w:rsid w:val="007A6849"/>
    <w:rsid w:val="007A6976"/>
    <w:rsid w:val="007A69F4"/>
    <w:rsid w:val="007A6C12"/>
    <w:rsid w:val="007A6CE1"/>
    <w:rsid w:val="007A6F8A"/>
    <w:rsid w:val="007A7CE6"/>
    <w:rsid w:val="007B14BB"/>
    <w:rsid w:val="007B1525"/>
    <w:rsid w:val="007B2257"/>
    <w:rsid w:val="007B279D"/>
    <w:rsid w:val="007B43EA"/>
    <w:rsid w:val="007B5DBB"/>
    <w:rsid w:val="007B6632"/>
    <w:rsid w:val="007B6893"/>
    <w:rsid w:val="007B6AB8"/>
    <w:rsid w:val="007B6EAA"/>
    <w:rsid w:val="007C0545"/>
    <w:rsid w:val="007C1699"/>
    <w:rsid w:val="007C23EB"/>
    <w:rsid w:val="007C2526"/>
    <w:rsid w:val="007C29E9"/>
    <w:rsid w:val="007C3A22"/>
    <w:rsid w:val="007C4DA8"/>
    <w:rsid w:val="007C50DE"/>
    <w:rsid w:val="007C54BB"/>
    <w:rsid w:val="007C554B"/>
    <w:rsid w:val="007C5F5C"/>
    <w:rsid w:val="007C7154"/>
    <w:rsid w:val="007C7200"/>
    <w:rsid w:val="007C7C6E"/>
    <w:rsid w:val="007D165B"/>
    <w:rsid w:val="007D2895"/>
    <w:rsid w:val="007D2906"/>
    <w:rsid w:val="007D3D03"/>
    <w:rsid w:val="007D4724"/>
    <w:rsid w:val="007D4BEA"/>
    <w:rsid w:val="007D4C3A"/>
    <w:rsid w:val="007D5DC8"/>
    <w:rsid w:val="007D635A"/>
    <w:rsid w:val="007D6926"/>
    <w:rsid w:val="007D6D43"/>
    <w:rsid w:val="007D7C48"/>
    <w:rsid w:val="007E01B6"/>
    <w:rsid w:val="007E02A8"/>
    <w:rsid w:val="007E0EAE"/>
    <w:rsid w:val="007E13DE"/>
    <w:rsid w:val="007E28F8"/>
    <w:rsid w:val="007E332B"/>
    <w:rsid w:val="007E3FBF"/>
    <w:rsid w:val="007E4EED"/>
    <w:rsid w:val="007E5E72"/>
    <w:rsid w:val="007E6CF2"/>
    <w:rsid w:val="007E6EBA"/>
    <w:rsid w:val="007E6FF7"/>
    <w:rsid w:val="007E777C"/>
    <w:rsid w:val="007E7DDC"/>
    <w:rsid w:val="007E7EFD"/>
    <w:rsid w:val="007F0A47"/>
    <w:rsid w:val="007F0D68"/>
    <w:rsid w:val="007F146A"/>
    <w:rsid w:val="007F1508"/>
    <w:rsid w:val="007F1A4B"/>
    <w:rsid w:val="007F2906"/>
    <w:rsid w:val="007F41E9"/>
    <w:rsid w:val="007F42EB"/>
    <w:rsid w:val="007F4C3B"/>
    <w:rsid w:val="007F538B"/>
    <w:rsid w:val="007F53A3"/>
    <w:rsid w:val="007F675D"/>
    <w:rsid w:val="007F68E3"/>
    <w:rsid w:val="007F781A"/>
    <w:rsid w:val="007F78F9"/>
    <w:rsid w:val="008006D4"/>
    <w:rsid w:val="00801528"/>
    <w:rsid w:val="008030B8"/>
    <w:rsid w:val="00803D77"/>
    <w:rsid w:val="00803FD8"/>
    <w:rsid w:val="00804276"/>
    <w:rsid w:val="00804689"/>
    <w:rsid w:val="00806779"/>
    <w:rsid w:val="00807AFF"/>
    <w:rsid w:val="00807BEA"/>
    <w:rsid w:val="008109F9"/>
    <w:rsid w:val="00810C97"/>
    <w:rsid w:val="00810D4B"/>
    <w:rsid w:val="00811298"/>
    <w:rsid w:val="00811C04"/>
    <w:rsid w:val="00814994"/>
    <w:rsid w:val="00816376"/>
    <w:rsid w:val="00816912"/>
    <w:rsid w:val="0082048F"/>
    <w:rsid w:val="008205D9"/>
    <w:rsid w:val="00820866"/>
    <w:rsid w:val="0082121F"/>
    <w:rsid w:val="00822677"/>
    <w:rsid w:val="008237A6"/>
    <w:rsid w:val="00823EDF"/>
    <w:rsid w:val="00824B3D"/>
    <w:rsid w:val="008264C2"/>
    <w:rsid w:val="00826A43"/>
    <w:rsid w:val="00826D83"/>
    <w:rsid w:val="008276B7"/>
    <w:rsid w:val="008302BE"/>
    <w:rsid w:val="00831A88"/>
    <w:rsid w:val="00831AA7"/>
    <w:rsid w:val="00831B47"/>
    <w:rsid w:val="00832450"/>
    <w:rsid w:val="00832753"/>
    <w:rsid w:val="00832D74"/>
    <w:rsid w:val="00833B5E"/>
    <w:rsid w:val="00834656"/>
    <w:rsid w:val="00834BA4"/>
    <w:rsid w:val="008351C7"/>
    <w:rsid w:val="00836421"/>
    <w:rsid w:val="00836CE7"/>
    <w:rsid w:val="00837384"/>
    <w:rsid w:val="0084139A"/>
    <w:rsid w:val="00841430"/>
    <w:rsid w:val="00841459"/>
    <w:rsid w:val="008421A4"/>
    <w:rsid w:val="00843009"/>
    <w:rsid w:val="00844377"/>
    <w:rsid w:val="0084438A"/>
    <w:rsid w:val="00845005"/>
    <w:rsid w:val="00845A1C"/>
    <w:rsid w:val="008468BB"/>
    <w:rsid w:val="008473A0"/>
    <w:rsid w:val="00851126"/>
    <w:rsid w:val="00853AFA"/>
    <w:rsid w:val="00853DB8"/>
    <w:rsid w:val="00854DFE"/>
    <w:rsid w:val="0085590C"/>
    <w:rsid w:val="00856C3B"/>
    <w:rsid w:val="00856FEE"/>
    <w:rsid w:val="00857C40"/>
    <w:rsid w:val="00860459"/>
    <w:rsid w:val="00860FF0"/>
    <w:rsid w:val="00861202"/>
    <w:rsid w:val="008618F1"/>
    <w:rsid w:val="00861DFB"/>
    <w:rsid w:val="008621A5"/>
    <w:rsid w:val="00863F77"/>
    <w:rsid w:val="00864068"/>
    <w:rsid w:val="00864414"/>
    <w:rsid w:val="00865345"/>
    <w:rsid w:val="0086639F"/>
    <w:rsid w:val="00866E7C"/>
    <w:rsid w:val="008671ED"/>
    <w:rsid w:val="008672D6"/>
    <w:rsid w:val="00867AA0"/>
    <w:rsid w:val="00867BC9"/>
    <w:rsid w:val="008742F4"/>
    <w:rsid w:val="0087494F"/>
    <w:rsid w:val="008750C8"/>
    <w:rsid w:val="00875682"/>
    <w:rsid w:val="008758C3"/>
    <w:rsid w:val="00876D09"/>
    <w:rsid w:val="0087729F"/>
    <w:rsid w:val="0087733D"/>
    <w:rsid w:val="008814B4"/>
    <w:rsid w:val="00882755"/>
    <w:rsid w:val="00882DEF"/>
    <w:rsid w:val="00884593"/>
    <w:rsid w:val="00884A4F"/>
    <w:rsid w:val="008860F0"/>
    <w:rsid w:val="0088688C"/>
    <w:rsid w:val="00886EE9"/>
    <w:rsid w:val="008878D4"/>
    <w:rsid w:val="00887911"/>
    <w:rsid w:val="00887D96"/>
    <w:rsid w:val="00892603"/>
    <w:rsid w:val="0089283A"/>
    <w:rsid w:val="00894F7D"/>
    <w:rsid w:val="00896DAC"/>
    <w:rsid w:val="008971FB"/>
    <w:rsid w:val="008A03DD"/>
    <w:rsid w:val="008A1DC0"/>
    <w:rsid w:val="008A21B7"/>
    <w:rsid w:val="008A260D"/>
    <w:rsid w:val="008A2A10"/>
    <w:rsid w:val="008A466E"/>
    <w:rsid w:val="008A50F8"/>
    <w:rsid w:val="008A5272"/>
    <w:rsid w:val="008A5952"/>
    <w:rsid w:val="008A5E49"/>
    <w:rsid w:val="008A7FC4"/>
    <w:rsid w:val="008B05EF"/>
    <w:rsid w:val="008B0E1A"/>
    <w:rsid w:val="008B23D9"/>
    <w:rsid w:val="008B2AA3"/>
    <w:rsid w:val="008B42C4"/>
    <w:rsid w:val="008B61EF"/>
    <w:rsid w:val="008C03E9"/>
    <w:rsid w:val="008C0604"/>
    <w:rsid w:val="008C083C"/>
    <w:rsid w:val="008C2CC1"/>
    <w:rsid w:val="008C2EC1"/>
    <w:rsid w:val="008C37EA"/>
    <w:rsid w:val="008C410D"/>
    <w:rsid w:val="008C5156"/>
    <w:rsid w:val="008C54F0"/>
    <w:rsid w:val="008C7816"/>
    <w:rsid w:val="008D00C1"/>
    <w:rsid w:val="008D01C1"/>
    <w:rsid w:val="008D09E1"/>
    <w:rsid w:val="008D0C1A"/>
    <w:rsid w:val="008D104F"/>
    <w:rsid w:val="008D1B21"/>
    <w:rsid w:val="008D1E6F"/>
    <w:rsid w:val="008D2872"/>
    <w:rsid w:val="008D2B08"/>
    <w:rsid w:val="008D3228"/>
    <w:rsid w:val="008D3F7B"/>
    <w:rsid w:val="008D485E"/>
    <w:rsid w:val="008D493A"/>
    <w:rsid w:val="008D6913"/>
    <w:rsid w:val="008D7F7D"/>
    <w:rsid w:val="008E0203"/>
    <w:rsid w:val="008E1BB5"/>
    <w:rsid w:val="008E1D76"/>
    <w:rsid w:val="008E39AC"/>
    <w:rsid w:val="008E3ABD"/>
    <w:rsid w:val="008E449E"/>
    <w:rsid w:val="008E47B0"/>
    <w:rsid w:val="008E4E36"/>
    <w:rsid w:val="008E61AA"/>
    <w:rsid w:val="008E67D3"/>
    <w:rsid w:val="008E6D18"/>
    <w:rsid w:val="008E728D"/>
    <w:rsid w:val="008E7CBE"/>
    <w:rsid w:val="008F146A"/>
    <w:rsid w:val="008F1EF1"/>
    <w:rsid w:val="008F21DB"/>
    <w:rsid w:val="008F241F"/>
    <w:rsid w:val="008F4BC8"/>
    <w:rsid w:val="008F507C"/>
    <w:rsid w:val="008F5082"/>
    <w:rsid w:val="008F531E"/>
    <w:rsid w:val="008F6A02"/>
    <w:rsid w:val="008F6C7D"/>
    <w:rsid w:val="008F7738"/>
    <w:rsid w:val="008F7B83"/>
    <w:rsid w:val="00901917"/>
    <w:rsid w:val="00901E70"/>
    <w:rsid w:val="009020A9"/>
    <w:rsid w:val="0090250A"/>
    <w:rsid w:val="009037C2"/>
    <w:rsid w:val="00904389"/>
    <w:rsid w:val="00904686"/>
    <w:rsid w:val="00904C80"/>
    <w:rsid w:val="0090502F"/>
    <w:rsid w:val="009055AE"/>
    <w:rsid w:val="00906D99"/>
    <w:rsid w:val="00907306"/>
    <w:rsid w:val="009079B0"/>
    <w:rsid w:val="00907C92"/>
    <w:rsid w:val="00912979"/>
    <w:rsid w:val="009144BB"/>
    <w:rsid w:val="00914809"/>
    <w:rsid w:val="00914D7F"/>
    <w:rsid w:val="00915406"/>
    <w:rsid w:val="0091779A"/>
    <w:rsid w:val="009202DA"/>
    <w:rsid w:val="0092144C"/>
    <w:rsid w:val="009221C4"/>
    <w:rsid w:val="009221CA"/>
    <w:rsid w:val="0092327D"/>
    <w:rsid w:val="00923675"/>
    <w:rsid w:val="00923712"/>
    <w:rsid w:val="00924023"/>
    <w:rsid w:val="009240AA"/>
    <w:rsid w:val="009243B9"/>
    <w:rsid w:val="0092596A"/>
    <w:rsid w:val="0092629B"/>
    <w:rsid w:val="009262E4"/>
    <w:rsid w:val="00926344"/>
    <w:rsid w:val="009272F5"/>
    <w:rsid w:val="00931884"/>
    <w:rsid w:val="00931BA5"/>
    <w:rsid w:val="00932679"/>
    <w:rsid w:val="00932960"/>
    <w:rsid w:val="00932A7F"/>
    <w:rsid w:val="00932E5B"/>
    <w:rsid w:val="0093418C"/>
    <w:rsid w:val="0093431A"/>
    <w:rsid w:val="00934695"/>
    <w:rsid w:val="00934D55"/>
    <w:rsid w:val="0093516D"/>
    <w:rsid w:val="0093565D"/>
    <w:rsid w:val="00935C71"/>
    <w:rsid w:val="00936B4D"/>
    <w:rsid w:val="00940B4F"/>
    <w:rsid w:val="009426E3"/>
    <w:rsid w:val="00943398"/>
    <w:rsid w:val="00944CB3"/>
    <w:rsid w:val="0094565F"/>
    <w:rsid w:val="009473E2"/>
    <w:rsid w:val="00947654"/>
    <w:rsid w:val="00947DB6"/>
    <w:rsid w:val="00947FDD"/>
    <w:rsid w:val="009507E6"/>
    <w:rsid w:val="0095140D"/>
    <w:rsid w:val="00951877"/>
    <w:rsid w:val="0095215C"/>
    <w:rsid w:val="0095221B"/>
    <w:rsid w:val="00952E9D"/>
    <w:rsid w:val="00952F2C"/>
    <w:rsid w:val="009533CE"/>
    <w:rsid w:val="00954989"/>
    <w:rsid w:val="00955000"/>
    <w:rsid w:val="0095627B"/>
    <w:rsid w:val="009566A4"/>
    <w:rsid w:val="009567CD"/>
    <w:rsid w:val="009576ED"/>
    <w:rsid w:val="00957C5E"/>
    <w:rsid w:val="00960171"/>
    <w:rsid w:val="0096106C"/>
    <w:rsid w:val="00961133"/>
    <w:rsid w:val="00961F19"/>
    <w:rsid w:val="00963963"/>
    <w:rsid w:val="00963AF2"/>
    <w:rsid w:val="00963F27"/>
    <w:rsid w:val="00964A44"/>
    <w:rsid w:val="00965261"/>
    <w:rsid w:val="00965A8D"/>
    <w:rsid w:val="00966E0C"/>
    <w:rsid w:val="0096747A"/>
    <w:rsid w:val="00967485"/>
    <w:rsid w:val="00967E02"/>
    <w:rsid w:val="009704D2"/>
    <w:rsid w:val="00970793"/>
    <w:rsid w:val="00971E04"/>
    <w:rsid w:val="0097403C"/>
    <w:rsid w:val="009743F6"/>
    <w:rsid w:val="009753C2"/>
    <w:rsid w:val="0097677C"/>
    <w:rsid w:val="00976F47"/>
    <w:rsid w:val="0097710F"/>
    <w:rsid w:val="0097794E"/>
    <w:rsid w:val="00977A2D"/>
    <w:rsid w:val="009816FC"/>
    <w:rsid w:val="009835CB"/>
    <w:rsid w:val="009846C8"/>
    <w:rsid w:val="00985D95"/>
    <w:rsid w:val="00986439"/>
    <w:rsid w:val="00986D92"/>
    <w:rsid w:val="00986EFA"/>
    <w:rsid w:val="009872FF"/>
    <w:rsid w:val="00987375"/>
    <w:rsid w:val="00987957"/>
    <w:rsid w:val="009879FC"/>
    <w:rsid w:val="00987A81"/>
    <w:rsid w:val="00990093"/>
    <w:rsid w:val="00992578"/>
    <w:rsid w:val="00992AB0"/>
    <w:rsid w:val="00992DC9"/>
    <w:rsid w:val="00992EDB"/>
    <w:rsid w:val="00995A7B"/>
    <w:rsid w:val="00995D67"/>
    <w:rsid w:val="00996634"/>
    <w:rsid w:val="00996B2B"/>
    <w:rsid w:val="00996DA7"/>
    <w:rsid w:val="00997F9F"/>
    <w:rsid w:val="009A1FE0"/>
    <w:rsid w:val="009A2F3C"/>
    <w:rsid w:val="009A3B82"/>
    <w:rsid w:val="009A42B0"/>
    <w:rsid w:val="009A48EA"/>
    <w:rsid w:val="009A7483"/>
    <w:rsid w:val="009A7E44"/>
    <w:rsid w:val="009B10D6"/>
    <w:rsid w:val="009B1DA2"/>
    <w:rsid w:val="009B35DD"/>
    <w:rsid w:val="009B3890"/>
    <w:rsid w:val="009B3A58"/>
    <w:rsid w:val="009B3D32"/>
    <w:rsid w:val="009B3DF4"/>
    <w:rsid w:val="009B3F29"/>
    <w:rsid w:val="009B5674"/>
    <w:rsid w:val="009B580D"/>
    <w:rsid w:val="009B6531"/>
    <w:rsid w:val="009B67E5"/>
    <w:rsid w:val="009C027C"/>
    <w:rsid w:val="009C065A"/>
    <w:rsid w:val="009C1A45"/>
    <w:rsid w:val="009C1A6C"/>
    <w:rsid w:val="009C1B82"/>
    <w:rsid w:val="009C1FC2"/>
    <w:rsid w:val="009C2067"/>
    <w:rsid w:val="009C299B"/>
    <w:rsid w:val="009C2A4F"/>
    <w:rsid w:val="009C57D4"/>
    <w:rsid w:val="009C6E64"/>
    <w:rsid w:val="009C7131"/>
    <w:rsid w:val="009C71C4"/>
    <w:rsid w:val="009C7C17"/>
    <w:rsid w:val="009C7F3E"/>
    <w:rsid w:val="009D039D"/>
    <w:rsid w:val="009D04FA"/>
    <w:rsid w:val="009D06F1"/>
    <w:rsid w:val="009D43C5"/>
    <w:rsid w:val="009D4C0F"/>
    <w:rsid w:val="009D5D2F"/>
    <w:rsid w:val="009D6429"/>
    <w:rsid w:val="009D6F11"/>
    <w:rsid w:val="009E0289"/>
    <w:rsid w:val="009E07B8"/>
    <w:rsid w:val="009E0F63"/>
    <w:rsid w:val="009E15EB"/>
    <w:rsid w:val="009E1C8E"/>
    <w:rsid w:val="009E223C"/>
    <w:rsid w:val="009E29F2"/>
    <w:rsid w:val="009E338D"/>
    <w:rsid w:val="009E378F"/>
    <w:rsid w:val="009E3A2F"/>
    <w:rsid w:val="009E4025"/>
    <w:rsid w:val="009E45D9"/>
    <w:rsid w:val="009E6757"/>
    <w:rsid w:val="009E6893"/>
    <w:rsid w:val="009E6AAE"/>
    <w:rsid w:val="009E765C"/>
    <w:rsid w:val="009E7FD7"/>
    <w:rsid w:val="009F0694"/>
    <w:rsid w:val="009F0C30"/>
    <w:rsid w:val="009F1C2B"/>
    <w:rsid w:val="009F1D3F"/>
    <w:rsid w:val="009F1F17"/>
    <w:rsid w:val="009F2255"/>
    <w:rsid w:val="009F2B92"/>
    <w:rsid w:val="009F30C8"/>
    <w:rsid w:val="009F44D9"/>
    <w:rsid w:val="009F45F9"/>
    <w:rsid w:val="009F50BE"/>
    <w:rsid w:val="009F59CB"/>
    <w:rsid w:val="009F61A5"/>
    <w:rsid w:val="009F7B13"/>
    <w:rsid w:val="00A00B1E"/>
    <w:rsid w:val="00A01F36"/>
    <w:rsid w:val="00A02168"/>
    <w:rsid w:val="00A02658"/>
    <w:rsid w:val="00A02C95"/>
    <w:rsid w:val="00A030D7"/>
    <w:rsid w:val="00A03C11"/>
    <w:rsid w:val="00A03ED3"/>
    <w:rsid w:val="00A03F6A"/>
    <w:rsid w:val="00A041E9"/>
    <w:rsid w:val="00A044AE"/>
    <w:rsid w:val="00A04595"/>
    <w:rsid w:val="00A0531C"/>
    <w:rsid w:val="00A06AF0"/>
    <w:rsid w:val="00A07F1D"/>
    <w:rsid w:val="00A11563"/>
    <w:rsid w:val="00A12107"/>
    <w:rsid w:val="00A137E2"/>
    <w:rsid w:val="00A13FDD"/>
    <w:rsid w:val="00A1557E"/>
    <w:rsid w:val="00A162A6"/>
    <w:rsid w:val="00A17A8B"/>
    <w:rsid w:val="00A17FA3"/>
    <w:rsid w:val="00A20292"/>
    <w:rsid w:val="00A20625"/>
    <w:rsid w:val="00A20B65"/>
    <w:rsid w:val="00A20E4E"/>
    <w:rsid w:val="00A20F49"/>
    <w:rsid w:val="00A21960"/>
    <w:rsid w:val="00A2378E"/>
    <w:rsid w:val="00A24187"/>
    <w:rsid w:val="00A24633"/>
    <w:rsid w:val="00A24A4B"/>
    <w:rsid w:val="00A25AC7"/>
    <w:rsid w:val="00A27760"/>
    <w:rsid w:val="00A27D13"/>
    <w:rsid w:val="00A30B87"/>
    <w:rsid w:val="00A30BE0"/>
    <w:rsid w:val="00A30F95"/>
    <w:rsid w:val="00A31038"/>
    <w:rsid w:val="00A31120"/>
    <w:rsid w:val="00A31BF6"/>
    <w:rsid w:val="00A31C39"/>
    <w:rsid w:val="00A321C7"/>
    <w:rsid w:val="00A325EC"/>
    <w:rsid w:val="00A3271D"/>
    <w:rsid w:val="00A35415"/>
    <w:rsid w:val="00A369EC"/>
    <w:rsid w:val="00A36BB0"/>
    <w:rsid w:val="00A40924"/>
    <w:rsid w:val="00A41457"/>
    <w:rsid w:val="00A41FDF"/>
    <w:rsid w:val="00A4219A"/>
    <w:rsid w:val="00A42BBC"/>
    <w:rsid w:val="00A42F99"/>
    <w:rsid w:val="00A42FE5"/>
    <w:rsid w:val="00A442C3"/>
    <w:rsid w:val="00A44C71"/>
    <w:rsid w:val="00A453A9"/>
    <w:rsid w:val="00A45FC4"/>
    <w:rsid w:val="00A46AF9"/>
    <w:rsid w:val="00A510EF"/>
    <w:rsid w:val="00A522B4"/>
    <w:rsid w:val="00A52ECD"/>
    <w:rsid w:val="00A54118"/>
    <w:rsid w:val="00A542DE"/>
    <w:rsid w:val="00A54B32"/>
    <w:rsid w:val="00A54CFA"/>
    <w:rsid w:val="00A54E58"/>
    <w:rsid w:val="00A6000D"/>
    <w:rsid w:val="00A60AC4"/>
    <w:rsid w:val="00A60D9F"/>
    <w:rsid w:val="00A61303"/>
    <w:rsid w:val="00A6223E"/>
    <w:rsid w:val="00A6231B"/>
    <w:rsid w:val="00A63E46"/>
    <w:rsid w:val="00A64470"/>
    <w:rsid w:val="00A646F1"/>
    <w:rsid w:val="00A647B3"/>
    <w:rsid w:val="00A65109"/>
    <w:rsid w:val="00A665C4"/>
    <w:rsid w:val="00A676D1"/>
    <w:rsid w:val="00A701A3"/>
    <w:rsid w:val="00A70AB7"/>
    <w:rsid w:val="00A71476"/>
    <w:rsid w:val="00A72F63"/>
    <w:rsid w:val="00A730CD"/>
    <w:rsid w:val="00A74C25"/>
    <w:rsid w:val="00A75700"/>
    <w:rsid w:val="00A75D10"/>
    <w:rsid w:val="00A76583"/>
    <w:rsid w:val="00A7668C"/>
    <w:rsid w:val="00A801E9"/>
    <w:rsid w:val="00A80E24"/>
    <w:rsid w:val="00A813E8"/>
    <w:rsid w:val="00A81A03"/>
    <w:rsid w:val="00A83D3C"/>
    <w:rsid w:val="00A8494A"/>
    <w:rsid w:val="00A84C2D"/>
    <w:rsid w:val="00A852D8"/>
    <w:rsid w:val="00A85563"/>
    <w:rsid w:val="00A864E6"/>
    <w:rsid w:val="00A86556"/>
    <w:rsid w:val="00A86654"/>
    <w:rsid w:val="00A8722E"/>
    <w:rsid w:val="00A8754F"/>
    <w:rsid w:val="00A87AB4"/>
    <w:rsid w:val="00A87B06"/>
    <w:rsid w:val="00A90080"/>
    <w:rsid w:val="00A95309"/>
    <w:rsid w:val="00A96FF4"/>
    <w:rsid w:val="00A97D96"/>
    <w:rsid w:val="00A97F69"/>
    <w:rsid w:val="00AA13C2"/>
    <w:rsid w:val="00AA13F2"/>
    <w:rsid w:val="00AA1789"/>
    <w:rsid w:val="00AA363D"/>
    <w:rsid w:val="00AA462B"/>
    <w:rsid w:val="00AA4A28"/>
    <w:rsid w:val="00AA4B38"/>
    <w:rsid w:val="00AA51C5"/>
    <w:rsid w:val="00AA51DB"/>
    <w:rsid w:val="00AB0CE2"/>
    <w:rsid w:val="00AB10B2"/>
    <w:rsid w:val="00AB10FE"/>
    <w:rsid w:val="00AB2137"/>
    <w:rsid w:val="00AB2DF6"/>
    <w:rsid w:val="00AB3F08"/>
    <w:rsid w:val="00AB47DF"/>
    <w:rsid w:val="00AB55DD"/>
    <w:rsid w:val="00AB5ABD"/>
    <w:rsid w:val="00AB6DB0"/>
    <w:rsid w:val="00AB74A1"/>
    <w:rsid w:val="00AC033F"/>
    <w:rsid w:val="00AC157B"/>
    <w:rsid w:val="00AC1F97"/>
    <w:rsid w:val="00AC2575"/>
    <w:rsid w:val="00AC2F70"/>
    <w:rsid w:val="00AC3A1A"/>
    <w:rsid w:val="00AC44C4"/>
    <w:rsid w:val="00AC60C1"/>
    <w:rsid w:val="00AC6270"/>
    <w:rsid w:val="00AC6362"/>
    <w:rsid w:val="00AC63D1"/>
    <w:rsid w:val="00AC6B48"/>
    <w:rsid w:val="00AC6D5B"/>
    <w:rsid w:val="00AC7A72"/>
    <w:rsid w:val="00AD03BB"/>
    <w:rsid w:val="00AD1ECB"/>
    <w:rsid w:val="00AD30BF"/>
    <w:rsid w:val="00AD3C4D"/>
    <w:rsid w:val="00AD46AA"/>
    <w:rsid w:val="00AD5C1E"/>
    <w:rsid w:val="00AD64E2"/>
    <w:rsid w:val="00AD6D7E"/>
    <w:rsid w:val="00AE000B"/>
    <w:rsid w:val="00AE061C"/>
    <w:rsid w:val="00AE1888"/>
    <w:rsid w:val="00AE18CE"/>
    <w:rsid w:val="00AE1ADB"/>
    <w:rsid w:val="00AE312E"/>
    <w:rsid w:val="00AE601A"/>
    <w:rsid w:val="00AE7081"/>
    <w:rsid w:val="00AE79D4"/>
    <w:rsid w:val="00AF02C7"/>
    <w:rsid w:val="00AF0F59"/>
    <w:rsid w:val="00AF3B40"/>
    <w:rsid w:val="00AF40D0"/>
    <w:rsid w:val="00AF4ED7"/>
    <w:rsid w:val="00AF5995"/>
    <w:rsid w:val="00AF759A"/>
    <w:rsid w:val="00AF7D7C"/>
    <w:rsid w:val="00B006FA"/>
    <w:rsid w:val="00B02340"/>
    <w:rsid w:val="00B02BC2"/>
    <w:rsid w:val="00B02C26"/>
    <w:rsid w:val="00B0355A"/>
    <w:rsid w:val="00B04BA1"/>
    <w:rsid w:val="00B07317"/>
    <w:rsid w:val="00B07643"/>
    <w:rsid w:val="00B07CFC"/>
    <w:rsid w:val="00B112F1"/>
    <w:rsid w:val="00B12240"/>
    <w:rsid w:val="00B1235F"/>
    <w:rsid w:val="00B12B64"/>
    <w:rsid w:val="00B13DEF"/>
    <w:rsid w:val="00B1406C"/>
    <w:rsid w:val="00B1417B"/>
    <w:rsid w:val="00B1448B"/>
    <w:rsid w:val="00B145DE"/>
    <w:rsid w:val="00B147F9"/>
    <w:rsid w:val="00B1567F"/>
    <w:rsid w:val="00B15EB6"/>
    <w:rsid w:val="00B161AA"/>
    <w:rsid w:val="00B16476"/>
    <w:rsid w:val="00B166E2"/>
    <w:rsid w:val="00B1690E"/>
    <w:rsid w:val="00B17780"/>
    <w:rsid w:val="00B17EF4"/>
    <w:rsid w:val="00B2039A"/>
    <w:rsid w:val="00B205AD"/>
    <w:rsid w:val="00B210C9"/>
    <w:rsid w:val="00B21784"/>
    <w:rsid w:val="00B22671"/>
    <w:rsid w:val="00B22E80"/>
    <w:rsid w:val="00B23219"/>
    <w:rsid w:val="00B23316"/>
    <w:rsid w:val="00B23D04"/>
    <w:rsid w:val="00B23EA2"/>
    <w:rsid w:val="00B24A54"/>
    <w:rsid w:val="00B24C5E"/>
    <w:rsid w:val="00B266F4"/>
    <w:rsid w:val="00B27D15"/>
    <w:rsid w:val="00B300D9"/>
    <w:rsid w:val="00B30265"/>
    <w:rsid w:val="00B30654"/>
    <w:rsid w:val="00B30E4B"/>
    <w:rsid w:val="00B32075"/>
    <w:rsid w:val="00B32BBC"/>
    <w:rsid w:val="00B34288"/>
    <w:rsid w:val="00B34BA1"/>
    <w:rsid w:val="00B3667F"/>
    <w:rsid w:val="00B373AA"/>
    <w:rsid w:val="00B3788D"/>
    <w:rsid w:val="00B42384"/>
    <w:rsid w:val="00B423FA"/>
    <w:rsid w:val="00B45181"/>
    <w:rsid w:val="00B457B6"/>
    <w:rsid w:val="00B45F52"/>
    <w:rsid w:val="00B47134"/>
    <w:rsid w:val="00B47BB9"/>
    <w:rsid w:val="00B50270"/>
    <w:rsid w:val="00B50404"/>
    <w:rsid w:val="00B516E3"/>
    <w:rsid w:val="00B51F9B"/>
    <w:rsid w:val="00B52A06"/>
    <w:rsid w:val="00B54A16"/>
    <w:rsid w:val="00B55A62"/>
    <w:rsid w:val="00B57D67"/>
    <w:rsid w:val="00B60B5F"/>
    <w:rsid w:val="00B61C1D"/>
    <w:rsid w:val="00B62B60"/>
    <w:rsid w:val="00B62D69"/>
    <w:rsid w:val="00B6323C"/>
    <w:rsid w:val="00B64B11"/>
    <w:rsid w:val="00B656C3"/>
    <w:rsid w:val="00B65C4E"/>
    <w:rsid w:val="00B65E3F"/>
    <w:rsid w:val="00B66205"/>
    <w:rsid w:val="00B67049"/>
    <w:rsid w:val="00B67354"/>
    <w:rsid w:val="00B71D72"/>
    <w:rsid w:val="00B7360A"/>
    <w:rsid w:val="00B75326"/>
    <w:rsid w:val="00B75D58"/>
    <w:rsid w:val="00B76492"/>
    <w:rsid w:val="00B76D4F"/>
    <w:rsid w:val="00B774BD"/>
    <w:rsid w:val="00B77CA4"/>
    <w:rsid w:val="00B82C05"/>
    <w:rsid w:val="00B8603D"/>
    <w:rsid w:val="00B867A9"/>
    <w:rsid w:val="00B91267"/>
    <w:rsid w:val="00B9218C"/>
    <w:rsid w:val="00B92D4E"/>
    <w:rsid w:val="00B92E69"/>
    <w:rsid w:val="00B92F74"/>
    <w:rsid w:val="00B93103"/>
    <w:rsid w:val="00B9515C"/>
    <w:rsid w:val="00B95BEE"/>
    <w:rsid w:val="00B96334"/>
    <w:rsid w:val="00B96EA6"/>
    <w:rsid w:val="00B97013"/>
    <w:rsid w:val="00B97475"/>
    <w:rsid w:val="00BA1250"/>
    <w:rsid w:val="00BA13E5"/>
    <w:rsid w:val="00BA14A2"/>
    <w:rsid w:val="00BA24C3"/>
    <w:rsid w:val="00BA3EDB"/>
    <w:rsid w:val="00BA4D13"/>
    <w:rsid w:val="00BA59BB"/>
    <w:rsid w:val="00BA5D44"/>
    <w:rsid w:val="00BA7622"/>
    <w:rsid w:val="00BA7EB8"/>
    <w:rsid w:val="00BB0CD8"/>
    <w:rsid w:val="00BB10AE"/>
    <w:rsid w:val="00BB1B4E"/>
    <w:rsid w:val="00BB2988"/>
    <w:rsid w:val="00BB3AC0"/>
    <w:rsid w:val="00BB3F4E"/>
    <w:rsid w:val="00BB6F88"/>
    <w:rsid w:val="00BC0074"/>
    <w:rsid w:val="00BC0E19"/>
    <w:rsid w:val="00BC0E94"/>
    <w:rsid w:val="00BC168D"/>
    <w:rsid w:val="00BC19AC"/>
    <w:rsid w:val="00BC2229"/>
    <w:rsid w:val="00BC2937"/>
    <w:rsid w:val="00BC4412"/>
    <w:rsid w:val="00BC46C3"/>
    <w:rsid w:val="00BC4967"/>
    <w:rsid w:val="00BC58AE"/>
    <w:rsid w:val="00BC6FE2"/>
    <w:rsid w:val="00BD28A9"/>
    <w:rsid w:val="00BD2969"/>
    <w:rsid w:val="00BD2ACF"/>
    <w:rsid w:val="00BD2ED9"/>
    <w:rsid w:val="00BD36C0"/>
    <w:rsid w:val="00BD3ACC"/>
    <w:rsid w:val="00BD5205"/>
    <w:rsid w:val="00BD6CFE"/>
    <w:rsid w:val="00BD6E54"/>
    <w:rsid w:val="00BD752E"/>
    <w:rsid w:val="00BD791A"/>
    <w:rsid w:val="00BE03FA"/>
    <w:rsid w:val="00BE30EC"/>
    <w:rsid w:val="00BE364E"/>
    <w:rsid w:val="00BE4056"/>
    <w:rsid w:val="00BE62A9"/>
    <w:rsid w:val="00BE79DE"/>
    <w:rsid w:val="00BF0530"/>
    <w:rsid w:val="00BF1707"/>
    <w:rsid w:val="00BF1B7F"/>
    <w:rsid w:val="00BF2163"/>
    <w:rsid w:val="00BF23A6"/>
    <w:rsid w:val="00BF360D"/>
    <w:rsid w:val="00BF3F3A"/>
    <w:rsid w:val="00BF4532"/>
    <w:rsid w:val="00BF494B"/>
    <w:rsid w:val="00BF5E4D"/>
    <w:rsid w:val="00BF71D2"/>
    <w:rsid w:val="00BF7540"/>
    <w:rsid w:val="00BF7E98"/>
    <w:rsid w:val="00C01479"/>
    <w:rsid w:val="00C021F6"/>
    <w:rsid w:val="00C0237E"/>
    <w:rsid w:val="00C031DB"/>
    <w:rsid w:val="00C04468"/>
    <w:rsid w:val="00C0591E"/>
    <w:rsid w:val="00C0641F"/>
    <w:rsid w:val="00C06CCE"/>
    <w:rsid w:val="00C070C7"/>
    <w:rsid w:val="00C072B6"/>
    <w:rsid w:val="00C10E9D"/>
    <w:rsid w:val="00C13398"/>
    <w:rsid w:val="00C139F5"/>
    <w:rsid w:val="00C13BCE"/>
    <w:rsid w:val="00C14005"/>
    <w:rsid w:val="00C14ADD"/>
    <w:rsid w:val="00C15C13"/>
    <w:rsid w:val="00C167FF"/>
    <w:rsid w:val="00C168DD"/>
    <w:rsid w:val="00C16F0E"/>
    <w:rsid w:val="00C17F95"/>
    <w:rsid w:val="00C2026A"/>
    <w:rsid w:val="00C20811"/>
    <w:rsid w:val="00C20E27"/>
    <w:rsid w:val="00C20EFE"/>
    <w:rsid w:val="00C218D0"/>
    <w:rsid w:val="00C2244B"/>
    <w:rsid w:val="00C22A55"/>
    <w:rsid w:val="00C2347D"/>
    <w:rsid w:val="00C242DB"/>
    <w:rsid w:val="00C244F7"/>
    <w:rsid w:val="00C244FD"/>
    <w:rsid w:val="00C248BE"/>
    <w:rsid w:val="00C25B69"/>
    <w:rsid w:val="00C26543"/>
    <w:rsid w:val="00C26DEF"/>
    <w:rsid w:val="00C27FF3"/>
    <w:rsid w:val="00C3069E"/>
    <w:rsid w:val="00C31B48"/>
    <w:rsid w:val="00C359B1"/>
    <w:rsid w:val="00C367A7"/>
    <w:rsid w:val="00C36E38"/>
    <w:rsid w:val="00C3714F"/>
    <w:rsid w:val="00C404D6"/>
    <w:rsid w:val="00C40C23"/>
    <w:rsid w:val="00C4157D"/>
    <w:rsid w:val="00C41AC5"/>
    <w:rsid w:val="00C42FC2"/>
    <w:rsid w:val="00C4459F"/>
    <w:rsid w:val="00C44A4B"/>
    <w:rsid w:val="00C44D58"/>
    <w:rsid w:val="00C45617"/>
    <w:rsid w:val="00C45C10"/>
    <w:rsid w:val="00C512FD"/>
    <w:rsid w:val="00C52D93"/>
    <w:rsid w:val="00C536CC"/>
    <w:rsid w:val="00C5477C"/>
    <w:rsid w:val="00C54AA8"/>
    <w:rsid w:val="00C55F7D"/>
    <w:rsid w:val="00C57A0E"/>
    <w:rsid w:val="00C57A10"/>
    <w:rsid w:val="00C57F26"/>
    <w:rsid w:val="00C61063"/>
    <w:rsid w:val="00C612DA"/>
    <w:rsid w:val="00C626F2"/>
    <w:rsid w:val="00C633B8"/>
    <w:rsid w:val="00C63D0D"/>
    <w:rsid w:val="00C641B3"/>
    <w:rsid w:val="00C6483E"/>
    <w:rsid w:val="00C6624C"/>
    <w:rsid w:val="00C66965"/>
    <w:rsid w:val="00C66A49"/>
    <w:rsid w:val="00C66FBB"/>
    <w:rsid w:val="00C67D4E"/>
    <w:rsid w:val="00C70D39"/>
    <w:rsid w:val="00C71723"/>
    <w:rsid w:val="00C722F5"/>
    <w:rsid w:val="00C72AC1"/>
    <w:rsid w:val="00C72E2B"/>
    <w:rsid w:val="00C72F3F"/>
    <w:rsid w:val="00C7302F"/>
    <w:rsid w:val="00C734A4"/>
    <w:rsid w:val="00C7654E"/>
    <w:rsid w:val="00C8021E"/>
    <w:rsid w:val="00C80C2B"/>
    <w:rsid w:val="00C82AB0"/>
    <w:rsid w:val="00C83676"/>
    <w:rsid w:val="00C83AD6"/>
    <w:rsid w:val="00C851A8"/>
    <w:rsid w:val="00C85457"/>
    <w:rsid w:val="00C8601B"/>
    <w:rsid w:val="00C861C4"/>
    <w:rsid w:val="00C867B4"/>
    <w:rsid w:val="00C86D19"/>
    <w:rsid w:val="00C87DB6"/>
    <w:rsid w:val="00C87E66"/>
    <w:rsid w:val="00C90154"/>
    <w:rsid w:val="00C91A57"/>
    <w:rsid w:val="00C92B73"/>
    <w:rsid w:val="00C9390C"/>
    <w:rsid w:val="00C954B4"/>
    <w:rsid w:val="00C96143"/>
    <w:rsid w:val="00C96808"/>
    <w:rsid w:val="00C96F3C"/>
    <w:rsid w:val="00C9700B"/>
    <w:rsid w:val="00C970CF"/>
    <w:rsid w:val="00CA064A"/>
    <w:rsid w:val="00CA1268"/>
    <w:rsid w:val="00CA3EF6"/>
    <w:rsid w:val="00CA3F66"/>
    <w:rsid w:val="00CA441A"/>
    <w:rsid w:val="00CA5A99"/>
    <w:rsid w:val="00CA5EB8"/>
    <w:rsid w:val="00CA7364"/>
    <w:rsid w:val="00CB01B6"/>
    <w:rsid w:val="00CB0890"/>
    <w:rsid w:val="00CB09E2"/>
    <w:rsid w:val="00CB10A3"/>
    <w:rsid w:val="00CB2ACB"/>
    <w:rsid w:val="00CB2DFA"/>
    <w:rsid w:val="00CB3211"/>
    <w:rsid w:val="00CB3351"/>
    <w:rsid w:val="00CB3456"/>
    <w:rsid w:val="00CB37A9"/>
    <w:rsid w:val="00CB3B65"/>
    <w:rsid w:val="00CB45CD"/>
    <w:rsid w:val="00CB483F"/>
    <w:rsid w:val="00CB55FC"/>
    <w:rsid w:val="00CB58A8"/>
    <w:rsid w:val="00CB5B05"/>
    <w:rsid w:val="00CB61B0"/>
    <w:rsid w:val="00CB6D90"/>
    <w:rsid w:val="00CB7712"/>
    <w:rsid w:val="00CC05D9"/>
    <w:rsid w:val="00CC1E48"/>
    <w:rsid w:val="00CC2078"/>
    <w:rsid w:val="00CC42D6"/>
    <w:rsid w:val="00CC4A1F"/>
    <w:rsid w:val="00CC7514"/>
    <w:rsid w:val="00CC790B"/>
    <w:rsid w:val="00CD08A3"/>
    <w:rsid w:val="00CD190C"/>
    <w:rsid w:val="00CD1D1B"/>
    <w:rsid w:val="00CD1D80"/>
    <w:rsid w:val="00CD29E8"/>
    <w:rsid w:val="00CD37C5"/>
    <w:rsid w:val="00CD46CA"/>
    <w:rsid w:val="00CD475A"/>
    <w:rsid w:val="00CD4B1A"/>
    <w:rsid w:val="00CD66B7"/>
    <w:rsid w:val="00CD6963"/>
    <w:rsid w:val="00CD6F97"/>
    <w:rsid w:val="00CD7492"/>
    <w:rsid w:val="00CD7694"/>
    <w:rsid w:val="00CE00CC"/>
    <w:rsid w:val="00CE0D07"/>
    <w:rsid w:val="00CE3637"/>
    <w:rsid w:val="00CE38C5"/>
    <w:rsid w:val="00CE4255"/>
    <w:rsid w:val="00CE4D01"/>
    <w:rsid w:val="00CE51FD"/>
    <w:rsid w:val="00CE5729"/>
    <w:rsid w:val="00CE740D"/>
    <w:rsid w:val="00CE7883"/>
    <w:rsid w:val="00CF0444"/>
    <w:rsid w:val="00CF43E7"/>
    <w:rsid w:val="00CF4488"/>
    <w:rsid w:val="00CF51C3"/>
    <w:rsid w:val="00CF59DF"/>
    <w:rsid w:val="00CF64EF"/>
    <w:rsid w:val="00CF6840"/>
    <w:rsid w:val="00CF6874"/>
    <w:rsid w:val="00CF71A1"/>
    <w:rsid w:val="00CF71F9"/>
    <w:rsid w:val="00D01217"/>
    <w:rsid w:val="00D01BF6"/>
    <w:rsid w:val="00D027F3"/>
    <w:rsid w:val="00D04066"/>
    <w:rsid w:val="00D058D5"/>
    <w:rsid w:val="00D05937"/>
    <w:rsid w:val="00D06443"/>
    <w:rsid w:val="00D06895"/>
    <w:rsid w:val="00D108B5"/>
    <w:rsid w:val="00D10AE1"/>
    <w:rsid w:val="00D1192A"/>
    <w:rsid w:val="00D11C8E"/>
    <w:rsid w:val="00D11D14"/>
    <w:rsid w:val="00D12363"/>
    <w:rsid w:val="00D1298F"/>
    <w:rsid w:val="00D1344D"/>
    <w:rsid w:val="00D136F8"/>
    <w:rsid w:val="00D13BD9"/>
    <w:rsid w:val="00D13CE0"/>
    <w:rsid w:val="00D13FD5"/>
    <w:rsid w:val="00D14D77"/>
    <w:rsid w:val="00D154C1"/>
    <w:rsid w:val="00D159C8"/>
    <w:rsid w:val="00D164D7"/>
    <w:rsid w:val="00D21405"/>
    <w:rsid w:val="00D21792"/>
    <w:rsid w:val="00D21ED3"/>
    <w:rsid w:val="00D2387F"/>
    <w:rsid w:val="00D23BB2"/>
    <w:rsid w:val="00D254AC"/>
    <w:rsid w:val="00D26FC2"/>
    <w:rsid w:val="00D3053A"/>
    <w:rsid w:val="00D316E0"/>
    <w:rsid w:val="00D324F7"/>
    <w:rsid w:val="00D32FEA"/>
    <w:rsid w:val="00D33288"/>
    <w:rsid w:val="00D33E4E"/>
    <w:rsid w:val="00D3466C"/>
    <w:rsid w:val="00D348C8"/>
    <w:rsid w:val="00D3537F"/>
    <w:rsid w:val="00D35B46"/>
    <w:rsid w:val="00D3708C"/>
    <w:rsid w:val="00D3738E"/>
    <w:rsid w:val="00D409A2"/>
    <w:rsid w:val="00D40FD0"/>
    <w:rsid w:val="00D41E99"/>
    <w:rsid w:val="00D42074"/>
    <w:rsid w:val="00D422DC"/>
    <w:rsid w:val="00D434EE"/>
    <w:rsid w:val="00D44B3D"/>
    <w:rsid w:val="00D45327"/>
    <w:rsid w:val="00D4561B"/>
    <w:rsid w:val="00D45934"/>
    <w:rsid w:val="00D464B3"/>
    <w:rsid w:val="00D46C94"/>
    <w:rsid w:val="00D51662"/>
    <w:rsid w:val="00D526AF"/>
    <w:rsid w:val="00D5286A"/>
    <w:rsid w:val="00D538E7"/>
    <w:rsid w:val="00D54076"/>
    <w:rsid w:val="00D54210"/>
    <w:rsid w:val="00D544E3"/>
    <w:rsid w:val="00D54A9A"/>
    <w:rsid w:val="00D551DE"/>
    <w:rsid w:val="00D5561E"/>
    <w:rsid w:val="00D5638A"/>
    <w:rsid w:val="00D56719"/>
    <w:rsid w:val="00D57E17"/>
    <w:rsid w:val="00D60841"/>
    <w:rsid w:val="00D61249"/>
    <w:rsid w:val="00D617F4"/>
    <w:rsid w:val="00D6250D"/>
    <w:rsid w:val="00D63378"/>
    <w:rsid w:val="00D65181"/>
    <w:rsid w:val="00D6518B"/>
    <w:rsid w:val="00D659E2"/>
    <w:rsid w:val="00D66172"/>
    <w:rsid w:val="00D66C23"/>
    <w:rsid w:val="00D6731B"/>
    <w:rsid w:val="00D70547"/>
    <w:rsid w:val="00D70870"/>
    <w:rsid w:val="00D709EB"/>
    <w:rsid w:val="00D7191A"/>
    <w:rsid w:val="00D72198"/>
    <w:rsid w:val="00D72804"/>
    <w:rsid w:val="00D731B5"/>
    <w:rsid w:val="00D73236"/>
    <w:rsid w:val="00D7408F"/>
    <w:rsid w:val="00D740D4"/>
    <w:rsid w:val="00D74F9A"/>
    <w:rsid w:val="00D80149"/>
    <w:rsid w:val="00D80B37"/>
    <w:rsid w:val="00D813C2"/>
    <w:rsid w:val="00D81E26"/>
    <w:rsid w:val="00D83562"/>
    <w:rsid w:val="00D83E80"/>
    <w:rsid w:val="00D84C12"/>
    <w:rsid w:val="00D84C72"/>
    <w:rsid w:val="00D85239"/>
    <w:rsid w:val="00D8587C"/>
    <w:rsid w:val="00D85CDA"/>
    <w:rsid w:val="00D85F23"/>
    <w:rsid w:val="00D86418"/>
    <w:rsid w:val="00D86457"/>
    <w:rsid w:val="00D86A8D"/>
    <w:rsid w:val="00D872D5"/>
    <w:rsid w:val="00D878CD"/>
    <w:rsid w:val="00D90074"/>
    <w:rsid w:val="00D91937"/>
    <w:rsid w:val="00D922EB"/>
    <w:rsid w:val="00D92B12"/>
    <w:rsid w:val="00D93D94"/>
    <w:rsid w:val="00D94390"/>
    <w:rsid w:val="00D94D74"/>
    <w:rsid w:val="00D95653"/>
    <w:rsid w:val="00D95E17"/>
    <w:rsid w:val="00D96038"/>
    <w:rsid w:val="00D96D73"/>
    <w:rsid w:val="00D9771F"/>
    <w:rsid w:val="00D9774D"/>
    <w:rsid w:val="00DA0F45"/>
    <w:rsid w:val="00DA32C8"/>
    <w:rsid w:val="00DA3CFA"/>
    <w:rsid w:val="00DA3DB3"/>
    <w:rsid w:val="00DA42EC"/>
    <w:rsid w:val="00DA496D"/>
    <w:rsid w:val="00DA4C8C"/>
    <w:rsid w:val="00DA7AE4"/>
    <w:rsid w:val="00DB03F7"/>
    <w:rsid w:val="00DB088D"/>
    <w:rsid w:val="00DB175F"/>
    <w:rsid w:val="00DB22A8"/>
    <w:rsid w:val="00DB28ED"/>
    <w:rsid w:val="00DB4683"/>
    <w:rsid w:val="00DB4B05"/>
    <w:rsid w:val="00DB5381"/>
    <w:rsid w:val="00DB5C0A"/>
    <w:rsid w:val="00DB632F"/>
    <w:rsid w:val="00DB6725"/>
    <w:rsid w:val="00DB6A2F"/>
    <w:rsid w:val="00DB7541"/>
    <w:rsid w:val="00DB7E0C"/>
    <w:rsid w:val="00DC0997"/>
    <w:rsid w:val="00DC13D1"/>
    <w:rsid w:val="00DC1461"/>
    <w:rsid w:val="00DC2B9F"/>
    <w:rsid w:val="00DC3ADE"/>
    <w:rsid w:val="00DC4704"/>
    <w:rsid w:val="00DC492B"/>
    <w:rsid w:val="00DC4D71"/>
    <w:rsid w:val="00DC5776"/>
    <w:rsid w:val="00DC6183"/>
    <w:rsid w:val="00DC6E90"/>
    <w:rsid w:val="00DC71F5"/>
    <w:rsid w:val="00DD23FB"/>
    <w:rsid w:val="00DD2950"/>
    <w:rsid w:val="00DD32B9"/>
    <w:rsid w:val="00DD5977"/>
    <w:rsid w:val="00DD5AA3"/>
    <w:rsid w:val="00DD6AF9"/>
    <w:rsid w:val="00DD722D"/>
    <w:rsid w:val="00DD74A5"/>
    <w:rsid w:val="00DD7FED"/>
    <w:rsid w:val="00DE16C3"/>
    <w:rsid w:val="00DE1B9B"/>
    <w:rsid w:val="00DE2093"/>
    <w:rsid w:val="00DE377E"/>
    <w:rsid w:val="00DE512D"/>
    <w:rsid w:val="00DE5B42"/>
    <w:rsid w:val="00DE690B"/>
    <w:rsid w:val="00DE7372"/>
    <w:rsid w:val="00DF1265"/>
    <w:rsid w:val="00DF1712"/>
    <w:rsid w:val="00DF19B4"/>
    <w:rsid w:val="00DF2942"/>
    <w:rsid w:val="00DF2D3F"/>
    <w:rsid w:val="00DF2FAE"/>
    <w:rsid w:val="00DF45CC"/>
    <w:rsid w:val="00DF4FE5"/>
    <w:rsid w:val="00DF50DA"/>
    <w:rsid w:val="00DF5935"/>
    <w:rsid w:val="00DF5B43"/>
    <w:rsid w:val="00DF6567"/>
    <w:rsid w:val="00E00427"/>
    <w:rsid w:val="00E00740"/>
    <w:rsid w:val="00E02065"/>
    <w:rsid w:val="00E020AF"/>
    <w:rsid w:val="00E02208"/>
    <w:rsid w:val="00E03C35"/>
    <w:rsid w:val="00E04581"/>
    <w:rsid w:val="00E04C2D"/>
    <w:rsid w:val="00E050DA"/>
    <w:rsid w:val="00E05597"/>
    <w:rsid w:val="00E05A01"/>
    <w:rsid w:val="00E05A3E"/>
    <w:rsid w:val="00E10D9D"/>
    <w:rsid w:val="00E112AE"/>
    <w:rsid w:val="00E115B7"/>
    <w:rsid w:val="00E131E0"/>
    <w:rsid w:val="00E1376E"/>
    <w:rsid w:val="00E14579"/>
    <w:rsid w:val="00E145DE"/>
    <w:rsid w:val="00E14D85"/>
    <w:rsid w:val="00E15930"/>
    <w:rsid w:val="00E1638D"/>
    <w:rsid w:val="00E17AC3"/>
    <w:rsid w:val="00E20497"/>
    <w:rsid w:val="00E220E9"/>
    <w:rsid w:val="00E22406"/>
    <w:rsid w:val="00E23184"/>
    <w:rsid w:val="00E23E9F"/>
    <w:rsid w:val="00E249FA"/>
    <w:rsid w:val="00E24A39"/>
    <w:rsid w:val="00E251F2"/>
    <w:rsid w:val="00E27A0E"/>
    <w:rsid w:val="00E30A84"/>
    <w:rsid w:val="00E3187F"/>
    <w:rsid w:val="00E33AB0"/>
    <w:rsid w:val="00E33C08"/>
    <w:rsid w:val="00E35081"/>
    <w:rsid w:val="00E3652D"/>
    <w:rsid w:val="00E36F12"/>
    <w:rsid w:val="00E37278"/>
    <w:rsid w:val="00E3747E"/>
    <w:rsid w:val="00E37C0C"/>
    <w:rsid w:val="00E40D7D"/>
    <w:rsid w:val="00E417AE"/>
    <w:rsid w:val="00E41B4D"/>
    <w:rsid w:val="00E42383"/>
    <w:rsid w:val="00E42BF6"/>
    <w:rsid w:val="00E42C5D"/>
    <w:rsid w:val="00E4449D"/>
    <w:rsid w:val="00E465A8"/>
    <w:rsid w:val="00E478C2"/>
    <w:rsid w:val="00E518DC"/>
    <w:rsid w:val="00E52700"/>
    <w:rsid w:val="00E53C44"/>
    <w:rsid w:val="00E53D3C"/>
    <w:rsid w:val="00E54F44"/>
    <w:rsid w:val="00E560B4"/>
    <w:rsid w:val="00E60DDC"/>
    <w:rsid w:val="00E62132"/>
    <w:rsid w:val="00E62646"/>
    <w:rsid w:val="00E627AA"/>
    <w:rsid w:val="00E6291A"/>
    <w:rsid w:val="00E62B85"/>
    <w:rsid w:val="00E63814"/>
    <w:rsid w:val="00E63FE4"/>
    <w:rsid w:val="00E65445"/>
    <w:rsid w:val="00E66170"/>
    <w:rsid w:val="00E663DA"/>
    <w:rsid w:val="00E667F9"/>
    <w:rsid w:val="00E67B08"/>
    <w:rsid w:val="00E67F1A"/>
    <w:rsid w:val="00E704DE"/>
    <w:rsid w:val="00E70A1E"/>
    <w:rsid w:val="00E71D60"/>
    <w:rsid w:val="00E723F9"/>
    <w:rsid w:val="00E740B6"/>
    <w:rsid w:val="00E748D6"/>
    <w:rsid w:val="00E74E88"/>
    <w:rsid w:val="00E74F00"/>
    <w:rsid w:val="00E7502D"/>
    <w:rsid w:val="00E76469"/>
    <w:rsid w:val="00E76B28"/>
    <w:rsid w:val="00E76C67"/>
    <w:rsid w:val="00E77B20"/>
    <w:rsid w:val="00E80509"/>
    <w:rsid w:val="00E80804"/>
    <w:rsid w:val="00E833B5"/>
    <w:rsid w:val="00E85430"/>
    <w:rsid w:val="00E857DA"/>
    <w:rsid w:val="00E8619B"/>
    <w:rsid w:val="00E8638C"/>
    <w:rsid w:val="00E865D1"/>
    <w:rsid w:val="00E8733E"/>
    <w:rsid w:val="00E87415"/>
    <w:rsid w:val="00E90536"/>
    <w:rsid w:val="00E92F4C"/>
    <w:rsid w:val="00E95371"/>
    <w:rsid w:val="00E954F3"/>
    <w:rsid w:val="00E955CC"/>
    <w:rsid w:val="00E9566A"/>
    <w:rsid w:val="00E95D09"/>
    <w:rsid w:val="00E95DD4"/>
    <w:rsid w:val="00E961AD"/>
    <w:rsid w:val="00E9671F"/>
    <w:rsid w:val="00E9692D"/>
    <w:rsid w:val="00E97125"/>
    <w:rsid w:val="00E97D7C"/>
    <w:rsid w:val="00E97E58"/>
    <w:rsid w:val="00EA1CBC"/>
    <w:rsid w:val="00EA2965"/>
    <w:rsid w:val="00EA2DA1"/>
    <w:rsid w:val="00EA32F8"/>
    <w:rsid w:val="00EA366E"/>
    <w:rsid w:val="00EA3ED9"/>
    <w:rsid w:val="00EA57D5"/>
    <w:rsid w:val="00EA60C5"/>
    <w:rsid w:val="00EA6AC2"/>
    <w:rsid w:val="00EA78ED"/>
    <w:rsid w:val="00EB59CC"/>
    <w:rsid w:val="00EB625C"/>
    <w:rsid w:val="00EB7634"/>
    <w:rsid w:val="00EB7D2D"/>
    <w:rsid w:val="00EB7D7C"/>
    <w:rsid w:val="00EC0B2F"/>
    <w:rsid w:val="00EC184F"/>
    <w:rsid w:val="00EC32D8"/>
    <w:rsid w:val="00EC37DB"/>
    <w:rsid w:val="00EC38D1"/>
    <w:rsid w:val="00EC3938"/>
    <w:rsid w:val="00EC4576"/>
    <w:rsid w:val="00EC4C32"/>
    <w:rsid w:val="00EC54FA"/>
    <w:rsid w:val="00EC5518"/>
    <w:rsid w:val="00EC5932"/>
    <w:rsid w:val="00EC5F77"/>
    <w:rsid w:val="00EC7F12"/>
    <w:rsid w:val="00ED101F"/>
    <w:rsid w:val="00ED1FC2"/>
    <w:rsid w:val="00ED3B84"/>
    <w:rsid w:val="00ED40F5"/>
    <w:rsid w:val="00ED517F"/>
    <w:rsid w:val="00ED58E2"/>
    <w:rsid w:val="00ED68FA"/>
    <w:rsid w:val="00ED69C5"/>
    <w:rsid w:val="00ED6E6B"/>
    <w:rsid w:val="00ED70E1"/>
    <w:rsid w:val="00ED72BA"/>
    <w:rsid w:val="00ED7783"/>
    <w:rsid w:val="00ED7B66"/>
    <w:rsid w:val="00EE014C"/>
    <w:rsid w:val="00EE05B9"/>
    <w:rsid w:val="00EE0BCE"/>
    <w:rsid w:val="00EE13C2"/>
    <w:rsid w:val="00EE1623"/>
    <w:rsid w:val="00EE2048"/>
    <w:rsid w:val="00EE274B"/>
    <w:rsid w:val="00EE2783"/>
    <w:rsid w:val="00EE2A95"/>
    <w:rsid w:val="00EE2E5C"/>
    <w:rsid w:val="00EE3080"/>
    <w:rsid w:val="00EE393B"/>
    <w:rsid w:val="00EE3E57"/>
    <w:rsid w:val="00EE42E4"/>
    <w:rsid w:val="00EE4B22"/>
    <w:rsid w:val="00EE4E43"/>
    <w:rsid w:val="00EE5502"/>
    <w:rsid w:val="00EE55A7"/>
    <w:rsid w:val="00EE56AF"/>
    <w:rsid w:val="00EE5871"/>
    <w:rsid w:val="00EE7616"/>
    <w:rsid w:val="00EE7BFE"/>
    <w:rsid w:val="00EF047F"/>
    <w:rsid w:val="00EF1762"/>
    <w:rsid w:val="00EF307C"/>
    <w:rsid w:val="00EF36C9"/>
    <w:rsid w:val="00EF3730"/>
    <w:rsid w:val="00EF4087"/>
    <w:rsid w:val="00EF55E3"/>
    <w:rsid w:val="00EF679B"/>
    <w:rsid w:val="00EF6D47"/>
    <w:rsid w:val="00EF74AC"/>
    <w:rsid w:val="00EF7D5C"/>
    <w:rsid w:val="00F0000A"/>
    <w:rsid w:val="00F00B9B"/>
    <w:rsid w:val="00F00E34"/>
    <w:rsid w:val="00F01946"/>
    <w:rsid w:val="00F0218A"/>
    <w:rsid w:val="00F02C0B"/>
    <w:rsid w:val="00F03099"/>
    <w:rsid w:val="00F04064"/>
    <w:rsid w:val="00F046BA"/>
    <w:rsid w:val="00F05C4A"/>
    <w:rsid w:val="00F05CA9"/>
    <w:rsid w:val="00F06088"/>
    <w:rsid w:val="00F074A0"/>
    <w:rsid w:val="00F079D5"/>
    <w:rsid w:val="00F07B31"/>
    <w:rsid w:val="00F07B55"/>
    <w:rsid w:val="00F07F25"/>
    <w:rsid w:val="00F07F49"/>
    <w:rsid w:val="00F07FC0"/>
    <w:rsid w:val="00F11EB4"/>
    <w:rsid w:val="00F11F9F"/>
    <w:rsid w:val="00F1225B"/>
    <w:rsid w:val="00F14202"/>
    <w:rsid w:val="00F159BE"/>
    <w:rsid w:val="00F15CBE"/>
    <w:rsid w:val="00F16523"/>
    <w:rsid w:val="00F1686E"/>
    <w:rsid w:val="00F16B69"/>
    <w:rsid w:val="00F17291"/>
    <w:rsid w:val="00F1798D"/>
    <w:rsid w:val="00F17CC1"/>
    <w:rsid w:val="00F17DE1"/>
    <w:rsid w:val="00F2013B"/>
    <w:rsid w:val="00F20685"/>
    <w:rsid w:val="00F219AF"/>
    <w:rsid w:val="00F21BDC"/>
    <w:rsid w:val="00F21E5C"/>
    <w:rsid w:val="00F22596"/>
    <w:rsid w:val="00F24B8C"/>
    <w:rsid w:val="00F27220"/>
    <w:rsid w:val="00F2746E"/>
    <w:rsid w:val="00F316EA"/>
    <w:rsid w:val="00F31821"/>
    <w:rsid w:val="00F31B31"/>
    <w:rsid w:val="00F323B9"/>
    <w:rsid w:val="00F332E2"/>
    <w:rsid w:val="00F338DB"/>
    <w:rsid w:val="00F33AC1"/>
    <w:rsid w:val="00F358BD"/>
    <w:rsid w:val="00F35F9F"/>
    <w:rsid w:val="00F37310"/>
    <w:rsid w:val="00F4026B"/>
    <w:rsid w:val="00F414AC"/>
    <w:rsid w:val="00F41922"/>
    <w:rsid w:val="00F428B2"/>
    <w:rsid w:val="00F43458"/>
    <w:rsid w:val="00F445AF"/>
    <w:rsid w:val="00F44822"/>
    <w:rsid w:val="00F448CB"/>
    <w:rsid w:val="00F454A4"/>
    <w:rsid w:val="00F463D4"/>
    <w:rsid w:val="00F46DD4"/>
    <w:rsid w:val="00F47FB4"/>
    <w:rsid w:val="00F503D8"/>
    <w:rsid w:val="00F50BD7"/>
    <w:rsid w:val="00F51034"/>
    <w:rsid w:val="00F51456"/>
    <w:rsid w:val="00F51557"/>
    <w:rsid w:val="00F52C34"/>
    <w:rsid w:val="00F54838"/>
    <w:rsid w:val="00F56813"/>
    <w:rsid w:val="00F577B5"/>
    <w:rsid w:val="00F6059B"/>
    <w:rsid w:val="00F61350"/>
    <w:rsid w:val="00F628D6"/>
    <w:rsid w:val="00F6488B"/>
    <w:rsid w:val="00F67C3F"/>
    <w:rsid w:val="00F708E8"/>
    <w:rsid w:val="00F731DB"/>
    <w:rsid w:val="00F7501C"/>
    <w:rsid w:val="00F761A9"/>
    <w:rsid w:val="00F76542"/>
    <w:rsid w:val="00F76F25"/>
    <w:rsid w:val="00F770F3"/>
    <w:rsid w:val="00F773F4"/>
    <w:rsid w:val="00F77D35"/>
    <w:rsid w:val="00F80195"/>
    <w:rsid w:val="00F81598"/>
    <w:rsid w:val="00F82022"/>
    <w:rsid w:val="00F82305"/>
    <w:rsid w:val="00F823B9"/>
    <w:rsid w:val="00F825A0"/>
    <w:rsid w:val="00F82C41"/>
    <w:rsid w:val="00F84253"/>
    <w:rsid w:val="00F84A61"/>
    <w:rsid w:val="00F853C2"/>
    <w:rsid w:val="00F85D4A"/>
    <w:rsid w:val="00F860FA"/>
    <w:rsid w:val="00F87747"/>
    <w:rsid w:val="00F90725"/>
    <w:rsid w:val="00F91188"/>
    <w:rsid w:val="00F91274"/>
    <w:rsid w:val="00F91C1F"/>
    <w:rsid w:val="00F928D5"/>
    <w:rsid w:val="00F9335B"/>
    <w:rsid w:val="00F9377F"/>
    <w:rsid w:val="00F95A01"/>
    <w:rsid w:val="00F9653C"/>
    <w:rsid w:val="00F97F68"/>
    <w:rsid w:val="00FA0B54"/>
    <w:rsid w:val="00FA5779"/>
    <w:rsid w:val="00FA6D94"/>
    <w:rsid w:val="00FA701D"/>
    <w:rsid w:val="00FB101F"/>
    <w:rsid w:val="00FB102D"/>
    <w:rsid w:val="00FB1034"/>
    <w:rsid w:val="00FB27E6"/>
    <w:rsid w:val="00FB3999"/>
    <w:rsid w:val="00FB3E32"/>
    <w:rsid w:val="00FB3ECC"/>
    <w:rsid w:val="00FB44BA"/>
    <w:rsid w:val="00FB4546"/>
    <w:rsid w:val="00FB56C3"/>
    <w:rsid w:val="00FB64E0"/>
    <w:rsid w:val="00FB74F5"/>
    <w:rsid w:val="00FC0538"/>
    <w:rsid w:val="00FC05E8"/>
    <w:rsid w:val="00FC0981"/>
    <w:rsid w:val="00FC09F5"/>
    <w:rsid w:val="00FC1F71"/>
    <w:rsid w:val="00FC2D25"/>
    <w:rsid w:val="00FC37D3"/>
    <w:rsid w:val="00FC3FCA"/>
    <w:rsid w:val="00FC54B9"/>
    <w:rsid w:val="00FC56FA"/>
    <w:rsid w:val="00FC5EF7"/>
    <w:rsid w:val="00FC640D"/>
    <w:rsid w:val="00FC7B4C"/>
    <w:rsid w:val="00FD024F"/>
    <w:rsid w:val="00FD0681"/>
    <w:rsid w:val="00FD2FCE"/>
    <w:rsid w:val="00FD3735"/>
    <w:rsid w:val="00FD4DD8"/>
    <w:rsid w:val="00FD542E"/>
    <w:rsid w:val="00FD55D6"/>
    <w:rsid w:val="00FD57BD"/>
    <w:rsid w:val="00FD5941"/>
    <w:rsid w:val="00FD5BFC"/>
    <w:rsid w:val="00FE151F"/>
    <w:rsid w:val="00FE22C9"/>
    <w:rsid w:val="00FE6EDD"/>
    <w:rsid w:val="00FE7D75"/>
    <w:rsid w:val="00FF112C"/>
    <w:rsid w:val="00FF1275"/>
    <w:rsid w:val="00FF1485"/>
    <w:rsid w:val="00FF1DC0"/>
    <w:rsid w:val="00FF275F"/>
    <w:rsid w:val="00FF2E02"/>
    <w:rsid w:val="00FF4592"/>
    <w:rsid w:val="00FF4F6D"/>
    <w:rsid w:val="00FF557A"/>
    <w:rsid w:val="00FF687D"/>
    <w:rsid w:val="00FF6A6C"/>
    <w:rsid w:val="00FF7BB3"/>
    <w:rsid w:val="030F3975"/>
    <w:rsid w:val="03706636"/>
    <w:rsid w:val="055843DE"/>
    <w:rsid w:val="07702E6D"/>
    <w:rsid w:val="0C3B1C9C"/>
    <w:rsid w:val="10B10C2D"/>
    <w:rsid w:val="11650BF5"/>
    <w:rsid w:val="16614987"/>
    <w:rsid w:val="20D34741"/>
    <w:rsid w:val="22746545"/>
    <w:rsid w:val="22C214AB"/>
    <w:rsid w:val="25116067"/>
    <w:rsid w:val="264A28EF"/>
    <w:rsid w:val="2BBD04C8"/>
    <w:rsid w:val="2E102177"/>
    <w:rsid w:val="2F3445FD"/>
    <w:rsid w:val="30A30433"/>
    <w:rsid w:val="3256248E"/>
    <w:rsid w:val="36F70DAC"/>
    <w:rsid w:val="3A841F26"/>
    <w:rsid w:val="3F7F0767"/>
    <w:rsid w:val="403C3E1D"/>
    <w:rsid w:val="471800D0"/>
    <w:rsid w:val="474C2A4D"/>
    <w:rsid w:val="4795789A"/>
    <w:rsid w:val="493747DC"/>
    <w:rsid w:val="4B821BCD"/>
    <w:rsid w:val="50FD74D6"/>
    <w:rsid w:val="52344790"/>
    <w:rsid w:val="573949B7"/>
    <w:rsid w:val="5A3418FE"/>
    <w:rsid w:val="5B2A2BD4"/>
    <w:rsid w:val="5B53544E"/>
    <w:rsid w:val="5F5E5CBA"/>
    <w:rsid w:val="616816AE"/>
    <w:rsid w:val="65E240AB"/>
    <w:rsid w:val="67390D6F"/>
    <w:rsid w:val="68517758"/>
    <w:rsid w:val="68F0350B"/>
    <w:rsid w:val="6E7822FB"/>
    <w:rsid w:val="6F004E4C"/>
    <w:rsid w:val="71CC42A1"/>
    <w:rsid w:val="748474DA"/>
    <w:rsid w:val="79D75968"/>
    <w:rsid w:val="7C0C59D0"/>
    <w:rsid w:val="AF7F15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35" w:semiHidden="0" w:name="caption"/>
    <w:lsdException w:uiPriority="0" w:name="table of figures"/>
    <w:lsdException w:uiPriority="0" w:name="envelope address"/>
    <w:lsdException w:uiPriority="0" w:name="envelope return"/>
    <w:lsdException w:qFormat="1" w:unhideWhenUsed="0"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nhideWhenUsed="0" w:uiPriority="0" w:semiHidden="0" w:name="endnote text"/>
    <w:lsdException w:uiPriority="0" w:name="table of authorities"/>
    <w:lsdException w:uiPriority="0" w:name="macro"/>
    <w:lsdException w:unhideWhenUsed="0" w:uiPriority="0" w:semiHidden="0" w:name="toa heading"/>
    <w:lsdException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pageBreakBefore/>
      <w:numPr>
        <w:ilvl w:val="0"/>
        <w:numId w:val="1"/>
      </w:numPr>
      <w:spacing w:before="310" w:after="280"/>
      <w:ind w:left="0" w:hanging="431" w:hangingChars="180"/>
      <w:jc w:val="center"/>
      <w:outlineLvl w:val="0"/>
    </w:pPr>
    <w:rPr>
      <w:rFonts w:eastAsia="黑体"/>
      <w:b/>
      <w:sz w:val="32"/>
    </w:rPr>
  </w:style>
  <w:style w:type="paragraph" w:styleId="3">
    <w:name w:val="heading 2"/>
    <w:basedOn w:val="1"/>
    <w:next w:val="1"/>
    <w:link w:val="81"/>
    <w:autoRedefine/>
    <w:qFormat/>
    <w:uiPriority w:val="0"/>
    <w:pPr>
      <w:keepNext/>
      <w:keepLines/>
      <w:numPr>
        <w:ilvl w:val="1"/>
        <w:numId w:val="1"/>
      </w:numPr>
      <w:tabs>
        <w:tab w:val="left" w:pos="709"/>
      </w:tabs>
      <w:spacing w:before="200" w:after="140"/>
      <w:ind w:left="0" w:firstLine="0"/>
      <w:outlineLvl w:val="1"/>
    </w:pPr>
    <w:rPr>
      <w:rFonts w:eastAsia="黑体"/>
      <w:b/>
      <w:bCs/>
      <w:sz w:val="28"/>
      <w:szCs w:val="32"/>
    </w:rPr>
  </w:style>
  <w:style w:type="paragraph" w:styleId="4">
    <w:name w:val="heading 3"/>
    <w:basedOn w:val="1"/>
    <w:next w:val="1"/>
    <w:link w:val="45"/>
    <w:autoRedefine/>
    <w:qFormat/>
    <w:uiPriority w:val="0"/>
    <w:pPr>
      <w:keepNext/>
      <w:keepLines/>
      <w:numPr>
        <w:ilvl w:val="2"/>
        <w:numId w:val="1"/>
      </w:numPr>
      <w:spacing w:before="140" w:after="80"/>
      <w:ind w:left="0" w:firstLine="0"/>
      <w:outlineLvl w:val="2"/>
    </w:pPr>
    <w:rPr>
      <w:rFonts w:eastAsia="黑体"/>
      <w:b/>
      <w:bCs/>
      <w:szCs w:val="32"/>
    </w:rPr>
  </w:style>
  <w:style w:type="paragraph" w:styleId="5">
    <w:name w:val="heading 4"/>
    <w:basedOn w:val="1"/>
    <w:next w:val="1"/>
    <w:link w:val="46"/>
    <w:autoRedefine/>
    <w:qFormat/>
    <w:uiPriority w:val="0"/>
    <w:pPr>
      <w:keepNext/>
      <w:keepLines/>
      <w:numPr>
        <w:ilvl w:val="3"/>
        <w:numId w:val="1"/>
      </w:numPr>
      <w:spacing w:before="60" w:after="40" w:line="324" w:lineRule="auto"/>
      <w:outlineLvl w:val="3"/>
    </w:pPr>
    <w:rPr>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87"/>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rPr>
  </w:style>
  <w:style w:type="paragraph" w:styleId="8">
    <w:name w:val="heading 7"/>
    <w:basedOn w:val="1"/>
    <w:next w:val="1"/>
    <w:link w:val="88"/>
    <w:semiHidden/>
    <w:unhideWhenUsed/>
    <w:qFormat/>
    <w:uiPriority w:val="0"/>
    <w:pPr>
      <w:keepNext/>
      <w:keepLines/>
      <w:numPr>
        <w:ilvl w:val="6"/>
        <w:numId w:val="1"/>
      </w:numPr>
      <w:spacing w:before="240" w:after="64" w:line="320" w:lineRule="auto"/>
      <w:outlineLvl w:val="6"/>
    </w:pPr>
    <w:rPr>
      <w:b/>
      <w:bCs/>
    </w:rPr>
  </w:style>
  <w:style w:type="paragraph" w:styleId="9">
    <w:name w:val="heading 8"/>
    <w:basedOn w:val="1"/>
    <w:next w:val="1"/>
    <w:link w:val="89"/>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90"/>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9">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440"/>
      <w:jc w:val="left"/>
    </w:pPr>
    <w:rPr>
      <w:rFonts w:asciiTheme="minorHAnsi" w:hAnsiTheme="minorHAnsi" w:cstheme="minorHAnsi"/>
      <w:sz w:val="18"/>
      <w:szCs w:val="18"/>
    </w:rPr>
  </w:style>
  <w:style w:type="paragraph" w:styleId="12">
    <w:name w:val="Normal Indent"/>
    <w:basedOn w:val="1"/>
    <w:qFormat/>
    <w:uiPriority w:val="0"/>
    <w:pPr>
      <w:ind w:firstLine="420" w:firstLineChars="200"/>
    </w:pPr>
  </w:style>
  <w:style w:type="paragraph" w:styleId="13">
    <w:name w:val="caption"/>
    <w:basedOn w:val="1"/>
    <w:next w:val="1"/>
    <w:qFormat/>
    <w:uiPriority w:val="35"/>
    <w:pPr>
      <w:ind w:left="100" w:hanging="100" w:hangingChars="100"/>
    </w:pPr>
    <w:rPr>
      <w:rFonts w:ascii="Cambria" w:hAnsi="Cambria" w:eastAsia="黑体"/>
      <w:sz w:val="20"/>
      <w:szCs w:val="20"/>
    </w:rPr>
  </w:style>
  <w:style w:type="paragraph" w:styleId="14">
    <w:name w:val="Document Map"/>
    <w:basedOn w:val="1"/>
    <w:semiHidden/>
    <w:qFormat/>
    <w:uiPriority w:val="0"/>
    <w:pPr>
      <w:shd w:val="clear" w:color="auto" w:fill="000080"/>
    </w:pPr>
  </w:style>
  <w:style w:type="paragraph" w:styleId="15">
    <w:name w:val="annotation text"/>
    <w:basedOn w:val="1"/>
    <w:link w:val="78"/>
    <w:qFormat/>
    <w:uiPriority w:val="0"/>
    <w:pPr>
      <w:jc w:val="left"/>
    </w:pPr>
    <w:rPr>
      <w:lang w:val="zh-CN" w:eastAsia="zh-CN"/>
    </w:rPr>
  </w:style>
  <w:style w:type="paragraph" w:styleId="16">
    <w:name w:val="Body Text"/>
    <w:basedOn w:val="1"/>
    <w:qFormat/>
    <w:uiPriority w:val="0"/>
    <w:pPr>
      <w:spacing w:after="120"/>
    </w:pPr>
  </w:style>
  <w:style w:type="paragraph" w:styleId="17">
    <w:name w:val="Body Text Indent"/>
    <w:basedOn w:val="1"/>
    <w:qFormat/>
    <w:uiPriority w:val="0"/>
    <w:pPr>
      <w:spacing w:after="120"/>
      <w:ind w:left="420" w:leftChars="200"/>
    </w:pPr>
  </w:style>
  <w:style w:type="paragraph" w:styleId="18">
    <w:name w:val="toc 5"/>
    <w:basedOn w:val="1"/>
    <w:next w:val="1"/>
    <w:autoRedefine/>
    <w:semiHidden/>
    <w:qFormat/>
    <w:uiPriority w:val="0"/>
    <w:pPr>
      <w:ind w:left="960"/>
      <w:jc w:val="left"/>
    </w:pPr>
    <w:rPr>
      <w:rFonts w:asciiTheme="minorHAnsi" w:hAnsiTheme="minorHAnsi" w:cstheme="minorHAnsi"/>
      <w:sz w:val="18"/>
      <w:szCs w:val="18"/>
    </w:rPr>
  </w:style>
  <w:style w:type="paragraph" w:styleId="19">
    <w:name w:val="toc 3"/>
    <w:basedOn w:val="1"/>
    <w:next w:val="1"/>
    <w:autoRedefine/>
    <w:qFormat/>
    <w:uiPriority w:val="39"/>
    <w:pPr>
      <w:ind w:left="480"/>
      <w:jc w:val="left"/>
    </w:pPr>
    <w:rPr>
      <w:rFonts w:asciiTheme="minorHAnsi" w:hAnsiTheme="minorHAnsi" w:cstheme="minorHAnsi"/>
      <w:i/>
      <w:iCs/>
      <w:sz w:val="20"/>
      <w:szCs w:val="20"/>
    </w:rPr>
  </w:style>
  <w:style w:type="paragraph" w:styleId="20">
    <w:name w:val="toc 8"/>
    <w:basedOn w:val="1"/>
    <w:next w:val="1"/>
    <w:autoRedefine/>
    <w:semiHidden/>
    <w:qFormat/>
    <w:uiPriority w:val="0"/>
    <w:pPr>
      <w:ind w:left="1680"/>
      <w:jc w:val="left"/>
    </w:pPr>
    <w:rPr>
      <w:rFonts w:asciiTheme="minorHAnsi" w:hAnsiTheme="minorHAnsi" w:cstheme="minorHAnsi"/>
      <w:sz w:val="18"/>
      <w:szCs w:val="18"/>
    </w:rPr>
  </w:style>
  <w:style w:type="paragraph" w:styleId="21">
    <w:name w:val="Date"/>
    <w:basedOn w:val="1"/>
    <w:next w:val="1"/>
    <w:qFormat/>
    <w:uiPriority w:val="0"/>
    <w:pPr>
      <w:ind w:left="100" w:leftChars="2500"/>
    </w:pPr>
  </w:style>
  <w:style w:type="paragraph" w:styleId="22">
    <w:name w:val="Body Text Indent 2"/>
    <w:basedOn w:val="1"/>
    <w:qFormat/>
    <w:uiPriority w:val="0"/>
    <w:pPr>
      <w:spacing w:after="120" w:line="480" w:lineRule="auto"/>
      <w:ind w:left="420" w:leftChars="200" w:firstLine="200" w:firstLineChars="200"/>
      <w:jc w:val="left"/>
    </w:pPr>
  </w:style>
  <w:style w:type="paragraph" w:styleId="23">
    <w:name w:val="Balloon Text"/>
    <w:basedOn w:val="1"/>
    <w:link w:val="56"/>
    <w:qFormat/>
    <w:uiPriority w:val="0"/>
    <w:rPr>
      <w:sz w:val="18"/>
      <w:szCs w:val="18"/>
      <w:lang w:val="zh-CN" w:eastAsia="zh-CN"/>
    </w:rPr>
  </w:style>
  <w:style w:type="paragraph" w:styleId="24">
    <w:name w:val="footer"/>
    <w:basedOn w:val="1"/>
    <w:link w:val="51"/>
    <w:qFormat/>
    <w:uiPriority w:val="0"/>
    <w:pPr>
      <w:tabs>
        <w:tab w:val="center" w:pos="4153"/>
        <w:tab w:val="right" w:pos="8306"/>
      </w:tabs>
      <w:snapToGrid w:val="0"/>
      <w:ind w:firstLine="200" w:firstLineChars="200"/>
      <w:jc w:val="left"/>
    </w:pPr>
    <w:rPr>
      <w:sz w:val="18"/>
      <w:szCs w:val="18"/>
    </w:rPr>
  </w:style>
  <w:style w:type="paragraph" w:styleId="25">
    <w:name w:val="header"/>
    <w:basedOn w:val="1"/>
    <w:link w:val="50"/>
    <w:qFormat/>
    <w:uiPriority w:val="99"/>
    <w:pPr>
      <w:pBdr>
        <w:bottom w:val="single" w:color="auto" w:sz="6" w:space="1"/>
      </w:pBdr>
      <w:tabs>
        <w:tab w:val="center" w:pos="4153"/>
        <w:tab w:val="right" w:pos="8306"/>
      </w:tabs>
      <w:snapToGrid w:val="0"/>
      <w:ind w:firstLine="200" w:firstLineChars="200"/>
      <w:jc w:val="center"/>
    </w:pPr>
    <w:rPr>
      <w:sz w:val="18"/>
      <w:szCs w:val="18"/>
    </w:rPr>
  </w:style>
  <w:style w:type="paragraph" w:styleId="26">
    <w:name w:val="toc 1"/>
    <w:basedOn w:val="1"/>
    <w:next w:val="1"/>
    <w:autoRedefine/>
    <w:qFormat/>
    <w:uiPriority w:val="39"/>
    <w:pPr>
      <w:tabs>
        <w:tab w:val="left" w:pos="480"/>
        <w:tab w:val="right" w:leader="dot" w:pos="8721"/>
      </w:tabs>
      <w:spacing w:line="500" w:lineRule="exact"/>
      <w:jc w:val="left"/>
    </w:pPr>
    <w:rPr>
      <w:rFonts w:ascii="黑体" w:hAnsi="黑体" w:eastAsia="黑体" w:cstheme="minorHAnsi"/>
      <w:b/>
      <w:bCs/>
      <w:caps/>
      <w:sz w:val="20"/>
      <w:szCs w:val="20"/>
    </w:rPr>
  </w:style>
  <w:style w:type="paragraph" w:styleId="27">
    <w:name w:val="toc 4"/>
    <w:basedOn w:val="1"/>
    <w:next w:val="1"/>
    <w:autoRedefine/>
    <w:semiHidden/>
    <w:qFormat/>
    <w:uiPriority w:val="0"/>
    <w:pPr>
      <w:ind w:left="720"/>
      <w:jc w:val="left"/>
    </w:pPr>
    <w:rPr>
      <w:rFonts w:asciiTheme="minorHAnsi" w:hAnsiTheme="minorHAnsi" w:cstheme="minorHAnsi"/>
      <w:sz w:val="18"/>
      <w:szCs w:val="18"/>
    </w:rPr>
  </w:style>
  <w:style w:type="paragraph" w:styleId="28">
    <w:name w:val="footnote text"/>
    <w:basedOn w:val="1"/>
    <w:semiHidden/>
    <w:qFormat/>
    <w:uiPriority w:val="0"/>
    <w:pPr>
      <w:snapToGrid w:val="0"/>
      <w:jc w:val="left"/>
    </w:pPr>
    <w:rPr>
      <w:sz w:val="18"/>
      <w:szCs w:val="18"/>
    </w:rPr>
  </w:style>
  <w:style w:type="paragraph" w:styleId="29">
    <w:name w:val="toc 6"/>
    <w:basedOn w:val="1"/>
    <w:next w:val="1"/>
    <w:autoRedefine/>
    <w:semiHidden/>
    <w:qFormat/>
    <w:uiPriority w:val="0"/>
    <w:pPr>
      <w:ind w:left="1200"/>
      <w:jc w:val="left"/>
    </w:pPr>
    <w:rPr>
      <w:rFonts w:asciiTheme="minorHAnsi" w:hAnsiTheme="minorHAnsi" w:cstheme="minorHAnsi"/>
      <w:sz w:val="18"/>
      <w:szCs w:val="18"/>
    </w:rPr>
  </w:style>
  <w:style w:type="paragraph" w:styleId="30">
    <w:name w:val="toc 2"/>
    <w:basedOn w:val="1"/>
    <w:next w:val="1"/>
    <w:autoRedefine/>
    <w:qFormat/>
    <w:uiPriority w:val="39"/>
    <w:pPr>
      <w:tabs>
        <w:tab w:val="left" w:pos="798"/>
        <w:tab w:val="right" w:leader="dot" w:pos="8721"/>
      </w:tabs>
      <w:spacing w:line="490" w:lineRule="exact"/>
      <w:jc w:val="left"/>
    </w:pPr>
    <w:rPr>
      <w:rFonts w:asciiTheme="minorHAnsi" w:hAnsiTheme="minorHAnsi" w:cstheme="minorHAnsi"/>
      <w:smallCaps/>
      <w:sz w:val="20"/>
      <w:szCs w:val="20"/>
    </w:rPr>
  </w:style>
  <w:style w:type="paragraph" w:styleId="31">
    <w:name w:val="toc 9"/>
    <w:basedOn w:val="1"/>
    <w:next w:val="1"/>
    <w:autoRedefine/>
    <w:semiHidden/>
    <w:qFormat/>
    <w:uiPriority w:val="0"/>
    <w:pPr>
      <w:ind w:left="1920"/>
      <w:jc w:val="left"/>
    </w:pPr>
    <w:rPr>
      <w:rFonts w:asciiTheme="minorHAnsi" w:hAnsiTheme="minorHAnsi" w:cstheme="minorHAnsi"/>
      <w:sz w:val="18"/>
      <w:szCs w:val="18"/>
    </w:rPr>
  </w:style>
  <w:style w:type="paragraph" w:styleId="32">
    <w:name w:val="Body Text 2"/>
    <w:basedOn w:val="1"/>
    <w:qFormat/>
    <w:uiPriority w:val="0"/>
    <w:pPr>
      <w:spacing w:after="120" w:line="480" w:lineRule="auto"/>
    </w:pPr>
  </w:style>
  <w:style w:type="paragraph" w:styleId="33">
    <w:name w:val="Normal (Web)"/>
    <w:basedOn w:val="1"/>
    <w:unhideWhenUsed/>
    <w:qFormat/>
    <w:uiPriority w:val="0"/>
    <w:pPr>
      <w:widowControl/>
      <w:spacing w:before="100" w:beforeAutospacing="1" w:after="100" w:afterAutospacing="1"/>
      <w:jc w:val="left"/>
    </w:pPr>
    <w:rPr>
      <w:rFonts w:ascii="宋体" w:hAnsi="宋体" w:cs="宋体"/>
      <w:kern w:val="0"/>
    </w:rPr>
  </w:style>
  <w:style w:type="paragraph" w:styleId="34">
    <w:name w:val="Title"/>
    <w:basedOn w:val="1"/>
    <w:qFormat/>
    <w:uiPriority w:val="0"/>
    <w:pPr>
      <w:spacing w:before="240" w:after="60"/>
      <w:jc w:val="center"/>
      <w:outlineLvl w:val="0"/>
    </w:pPr>
    <w:rPr>
      <w:rFonts w:ascii="Arial" w:hAnsi="Arial" w:cs="Arial"/>
      <w:b/>
      <w:bCs/>
      <w:sz w:val="32"/>
      <w:szCs w:val="32"/>
    </w:rPr>
  </w:style>
  <w:style w:type="paragraph" w:styleId="35">
    <w:name w:val="annotation subject"/>
    <w:basedOn w:val="15"/>
    <w:next w:val="15"/>
    <w:link w:val="79"/>
    <w:qFormat/>
    <w:uiPriority w:val="0"/>
    <w:rPr>
      <w:b/>
      <w:bCs/>
    </w:rPr>
  </w:style>
  <w:style w:type="paragraph" w:styleId="36">
    <w:name w:val="Body Text First Indent"/>
    <w:basedOn w:val="16"/>
    <w:qFormat/>
    <w:uiPriority w:val="0"/>
    <w:pPr>
      <w:ind w:firstLine="420" w:firstLineChars="100"/>
    </w:pPr>
  </w:style>
  <w:style w:type="table" w:styleId="38">
    <w:name w:val="Table Grid"/>
    <w:basedOn w:val="37"/>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page number"/>
    <w:basedOn w:val="39"/>
    <w:qFormat/>
    <w:uiPriority w:val="0"/>
  </w:style>
  <w:style w:type="character" w:styleId="41">
    <w:name w:val="Emphasis"/>
    <w:qFormat/>
    <w:uiPriority w:val="0"/>
    <w:rPr>
      <w:i/>
      <w:iCs/>
    </w:rPr>
  </w:style>
  <w:style w:type="character" w:styleId="42">
    <w:name w:val="Hyperlink"/>
    <w:qFormat/>
    <w:uiPriority w:val="99"/>
    <w:rPr>
      <w:color w:val="0000FF"/>
      <w:u w:val="single"/>
    </w:rPr>
  </w:style>
  <w:style w:type="character" w:styleId="43">
    <w:name w:val="annotation reference"/>
    <w:qFormat/>
    <w:uiPriority w:val="0"/>
    <w:rPr>
      <w:sz w:val="21"/>
      <w:szCs w:val="21"/>
    </w:rPr>
  </w:style>
  <w:style w:type="character" w:styleId="44">
    <w:name w:val="footnote reference"/>
    <w:semiHidden/>
    <w:qFormat/>
    <w:uiPriority w:val="0"/>
    <w:rPr>
      <w:rFonts w:eastAsia="嬋体"/>
      <w:sz w:val="24"/>
      <w:szCs w:val="24"/>
      <w:vertAlign w:val="superscript"/>
      <w:lang w:val="en-US" w:eastAsia="en-US" w:bidi="ar-SA"/>
    </w:rPr>
  </w:style>
  <w:style w:type="character" w:customStyle="1" w:styleId="45">
    <w:name w:val="标题 3 字符"/>
    <w:link w:val="4"/>
    <w:qFormat/>
    <w:uiPriority w:val="0"/>
    <w:rPr>
      <w:rFonts w:eastAsia="黑体"/>
      <w:b/>
      <w:bCs/>
      <w:kern w:val="2"/>
      <w:sz w:val="24"/>
      <w:szCs w:val="32"/>
    </w:rPr>
  </w:style>
  <w:style w:type="character" w:customStyle="1" w:styleId="46">
    <w:name w:val="标题 4 字符"/>
    <w:link w:val="5"/>
    <w:qFormat/>
    <w:uiPriority w:val="0"/>
    <w:rPr>
      <w:b/>
      <w:bCs/>
      <w:kern w:val="2"/>
      <w:sz w:val="24"/>
      <w:szCs w:val="28"/>
    </w:rPr>
  </w:style>
  <w:style w:type="paragraph" w:customStyle="1" w:styleId="47">
    <w:name w:val="标题2"/>
    <w:basedOn w:val="3"/>
    <w:autoRedefine/>
    <w:qFormat/>
    <w:uiPriority w:val="0"/>
    <w:rPr>
      <w:bCs w:val="0"/>
    </w:rPr>
  </w:style>
  <w:style w:type="paragraph" w:customStyle="1" w:styleId="48">
    <w:name w:val="标题3"/>
    <w:basedOn w:val="4"/>
    <w:next w:val="5"/>
    <w:autoRedefine/>
    <w:qFormat/>
    <w:uiPriority w:val="0"/>
  </w:style>
  <w:style w:type="paragraph" w:customStyle="1" w:styleId="49">
    <w:name w:val="表格"/>
    <w:basedOn w:val="1"/>
    <w:autoRedefine/>
    <w:qFormat/>
    <w:uiPriority w:val="0"/>
    <w:pPr>
      <w:jc w:val="center"/>
    </w:pPr>
  </w:style>
  <w:style w:type="character" w:customStyle="1" w:styleId="50">
    <w:name w:val="页眉 字符"/>
    <w:link w:val="25"/>
    <w:qFormat/>
    <w:uiPriority w:val="99"/>
    <w:rPr>
      <w:rFonts w:eastAsia="宋体"/>
      <w:kern w:val="2"/>
      <w:sz w:val="18"/>
      <w:szCs w:val="18"/>
      <w:lang w:val="en-US" w:eastAsia="zh-CN" w:bidi="ar-SA"/>
    </w:rPr>
  </w:style>
  <w:style w:type="character" w:customStyle="1" w:styleId="51">
    <w:name w:val="页脚 字符"/>
    <w:link w:val="24"/>
    <w:qFormat/>
    <w:uiPriority w:val="0"/>
    <w:rPr>
      <w:rFonts w:eastAsia="宋体"/>
      <w:kern w:val="2"/>
      <w:sz w:val="18"/>
      <w:szCs w:val="18"/>
      <w:lang w:val="en-US" w:eastAsia="zh-CN" w:bidi="ar-SA"/>
    </w:rPr>
  </w:style>
  <w:style w:type="paragraph" w:customStyle="1" w:styleId="52">
    <w:name w:val="SPIE reference listing"/>
    <w:basedOn w:val="1"/>
    <w:qFormat/>
    <w:uiPriority w:val="0"/>
    <w:pPr>
      <w:widowControl/>
    </w:pPr>
    <w:rPr>
      <w:kern w:val="0"/>
      <w:sz w:val="20"/>
      <w:szCs w:val="20"/>
      <w:lang w:eastAsia="en-US"/>
    </w:rPr>
  </w:style>
  <w:style w:type="paragraph" w:customStyle="1" w:styleId="53">
    <w:name w:val="Char Char Char Char Char Char"/>
    <w:basedOn w:val="1"/>
    <w:next w:val="1"/>
    <w:autoRedefine/>
    <w:qFormat/>
    <w:uiPriority w:val="0"/>
    <w:pPr>
      <w:widowControl/>
      <w:spacing w:before="156" w:beforeLines="50" w:after="312" w:afterLines="100"/>
      <w:ind w:left="357"/>
      <w:jc w:val="center"/>
    </w:pPr>
    <w:rPr>
      <w:rFonts w:ascii="宋体" w:hAnsi="宋体"/>
      <w:b/>
      <w:kern w:val="0"/>
      <w:sz w:val="52"/>
      <w:szCs w:val="52"/>
      <w:lang w:eastAsia="en-US"/>
    </w:rPr>
  </w:style>
  <w:style w:type="character" w:customStyle="1" w:styleId="54">
    <w:name w:val="word"/>
    <w:basedOn w:val="39"/>
    <w:qFormat/>
    <w:uiPriority w:val="0"/>
  </w:style>
  <w:style w:type="character" w:customStyle="1" w:styleId="55">
    <w:name w:val="trans"/>
    <w:basedOn w:val="39"/>
    <w:qFormat/>
    <w:uiPriority w:val="0"/>
  </w:style>
  <w:style w:type="character" w:customStyle="1" w:styleId="56">
    <w:name w:val="批注框文本 字符"/>
    <w:link w:val="23"/>
    <w:qFormat/>
    <w:uiPriority w:val="0"/>
    <w:rPr>
      <w:rFonts w:eastAsia="宋体"/>
      <w:kern w:val="2"/>
      <w:sz w:val="18"/>
      <w:szCs w:val="18"/>
      <w:lang w:val="zh-CN" w:eastAsia="zh-CN" w:bidi="ar-SA"/>
    </w:rPr>
  </w:style>
  <w:style w:type="paragraph" w:customStyle="1" w:styleId="57">
    <w:name w:val="Char1 Char Char Char"/>
    <w:basedOn w:val="1"/>
    <w:qFormat/>
    <w:uiPriority w:val="0"/>
    <w:rPr>
      <w:szCs w:val="20"/>
    </w:rPr>
  </w:style>
  <w:style w:type="paragraph" w:customStyle="1" w:styleId="58">
    <w:name w:val="中等深浅网格 1 - 强调文字颜色 21"/>
    <w:basedOn w:val="1"/>
    <w:qFormat/>
    <w:uiPriority w:val="0"/>
    <w:pPr>
      <w:ind w:firstLine="420" w:firstLineChars="200"/>
    </w:pPr>
    <w:rPr>
      <w:szCs w:val="22"/>
    </w:rPr>
  </w:style>
  <w:style w:type="paragraph" w:customStyle="1" w:styleId="59">
    <w:name w:val="样式1"/>
    <w:basedOn w:val="5"/>
    <w:qFormat/>
    <w:uiPriority w:val="0"/>
    <w:pPr>
      <w:keepNext w:val="0"/>
      <w:keepLines w:val="0"/>
      <w:spacing w:before="100" w:line="300" w:lineRule="auto"/>
    </w:pPr>
    <w:rPr>
      <w:b w:val="0"/>
      <w:lang w:val="zh-CN" w:eastAsia="zh-CN"/>
    </w:rPr>
  </w:style>
  <w:style w:type="paragraph" w:customStyle="1" w:styleId="60">
    <w:name w:val="样式4"/>
    <w:basedOn w:val="5"/>
    <w:qFormat/>
    <w:uiPriority w:val="0"/>
    <w:pPr>
      <w:keepNext w:val="0"/>
      <w:keepLines w:val="0"/>
      <w:spacing w:before="100" w:line="377" w:lineRule="auto"/>
    </w:pPr>
    <w:rPr>
      <w:b w:val="0"/>
      <w:szCs w:val="24"/>
      <w:lang w:val="zh-CN" w:eastAsia="zh-CN"/>
    </w:rPr>
  </w:style>
  <w:style w:type="paragraph" w:customStyle="1" w:styleId="61">
    <w:name w:val="样式2"/>
    <w:basedOn w:val="5"/>
    <w:qFormat/>
    <w:uiPriority w:val="0"/>
    <w:pPr>
      <w:keepNext w:val="0"/>
      <w:keepLines w:val="0"/>
      <w:spacing w:before="100" w:line="377" w:lineRule="auto"/>
    </w:pPr>
    <w:rPr>
      <w:b w:val="0"/>
      <w:szCs w:val="24"/>
      <w:lang w:val="zh-CN" w:eastAsia="zh-CN"/>
    </w:rPr>
  </w:style>
  <w:style w:type="character" w:customStyle="1" w:styleId="62">
    <w:name w:val="apple-style-span"/>
    <w:basedOn w:val="39"/>
    <w:qFormat/>
    <w:uiPriority w:val="0"/>
  </w:style>
  <w:style w:type="character" w:customStyle="1" w:styleId="63">
    <w:name w:val="apple-converted-space"/>
    <w:basedOn w:val="39"/>
    <w:qFormat/>
    <w:uiPriority w:val="0"/>
  </w:style>
  <w:style w:type="paragraph" w:customStyle="1" w:styleId="64">
    <w:name w:val="样式 标题 4 + 宋体"/>
    <w:basedOn w:val="5"/>
    <w:qFormat/>
    <w:uiPriority w:val="0"/>
    <w:pPr>
      <w:keepNext w:val="0"/>
      <w:keepLines w:val="0"/>
      <w:spacing w:before="100" w:line="300" w:lineRule="auto"/>
    </w:pPr>
    <w:rPr>
      <w:rFonts w:ascii="宋体" w:hAnsi="宋体"/>
      <w:b w:val="0"/>
      <w:lang w:val="zh-CN" w:eastAsia="zh-CN"/>
    </w:rPr>
  </w:style>
  <w:style w:type="paragraph" w:customStyle="1" w:styleId="65">
    <w:name w:val="标题 4+"/>
    <w:basedOn w:val="1"/>
    <w:link w:val="66"/>
    <w:qFormat/>
    <w:uiPriority w:val="0"/>
    <w:rPr>
      <w:b/>
    </w:rPr>
  </w:style>
  <w:style w:type="character" w:customStyle="1" w:styleId="66">
    <w:name w:val="标题 4+ Char"/>
    <w:link w:val="65"/>
    <w:qFormat/>
    <w:uiPriority w:val="0"/>
    <w:rPr>
      <w:rFonts w:eastAsia="宋体"/>
      <w:b/>
      <w:kern w:val="2"/>
      <w:sz w:val="24"/>
      <w:szCs w:val="24"/>
      <w:lang w:val="en-US" w:eastAsia="zh-CN" w:bidi="ar-SA"/>
    </w:rPr>
  </w:style>
  <w:style w:type="paragraph" w:customStyle="1" w:styleId="67">
    <w:name w:val="Normal New"/>
    <w:qFormat/>
    <w:uiPriority w:val="0"/>
    <w:pPr>
      <w:jc w:val="both"/>
    </w:pPr>
    <w:rPr>
      <w:rFonts w:ascii="Times New Roman" w:hAnsi="Times New Roman" w:eastAsia="宋体" w:cs="Times New Roman"/>
      <w:kern w:val="2"/>
      <w:sz w:val="21"/>
      <w:lang w:val="en-US" w:eastAsia="zh-CN" w:bidi="ar-SA"/>
    </w:rPr>
  </w:style>
  <w:style w:type="paragraph" w:customStyle="1" w:styleId="68">
    <w:name w:val="中等深浅底纹 1 - 强调文字颜色 11"/>
    <w:qFormat/>
    <w:uiPriority w:val="0"/>
    <w:pPr>
      <w:widowControl w:val="0"/>
      <w:jc w:val="both"/>
    </w:pPr>
    <w:rPr>
      <w:rFonts w:ascii="Calibri" w:hAnsi="Calibri" w:eastAsia="宋体" w:cs="Times New Roman"/>
      <w:kern w:val="2"/>
      <w:sz w:val="21"/>
      <w:szCs w:val="22"/>
      <w:lang w:val="en-US" w:eastAsia="zh-CN" w:bidi="ar-SA"/>
    </w:rPr>
  </w:style>
  <w:style w:type="character" w:customStyle="1" w:styleId="69">
    <w:name w:val="author"/>
    <w:qFormat/>
    <w:uiPriority w:val="0"/>
  </w:style>
  <w:style w:type="character" w:customStyle="1" w:styleId="70">
    <w:name w:val="pubyear"/>
    <w:qFormat/>
    <w:uiPriority w:val="0"/>
  </w:style>
  <w:style w:type="character" w:customStyle="1" w:styleId="71">
    <w:name w:val="chaptertitle"/>
    <w:qFormat/>
    <w:uiPriority w:val="0"/>
  </w:style>
  <w:style w:type="character" w:customStyle="1" w:styleId="72">
    <w:name w:val="editor"/>
    <w:qFormat/>
    <w:uiPriority w:val="0"/>
  </w:style>
  <w:style w:type="character" w:customStyle="1" w:styleId="73">
    <w:name w:val="booktitle"/>
    <w:qFormat/>
    <w:uiPriority w:val="0"/>
  </w:style>
  <w:style w:type="character" w:customStyle="1" w:styleId="74">
    <w:name w:val="edition"/>
    <w:qFormat/>
    <w:uiPriority w:val="0"/>
  </w:style>
  <w:style w:type="character" w:customStyle="1" w:styleId="75">
    <w:name w:val="publisherlocation"/>
    <w:qFormat/>
    <w:uiPriority w:val="0"/>
  </w:style>
  <w:style w:type="paragraph" w:customStyle="1" w:styleId="76">
    <w:name w:val="TOC Heading"/>
    <w:basedOn w:val="2"/>
    <w:next w:val="1"/>
    <w:qFormat/>
    <w:uiPriority w:val="39"/>
    <w:pPr>
      <w:keepLines/>
      <w:widowControl/>
      <w:spacing w:before="480" w:after="0" w:line="276" w:lineRule="auto"/>
      <w:jc w:val="left"/>
      <w:outlineLvl w:val="9"/>
    </w:pPr>
    <w:rPr>
      <w:rFonts w:ascii="Cambria" w:hAnsi="Cambria" w:eastAsia="宋体"/>
      <w:b w:val="0"/>
      <w:bCs/>
      <w:color w:val="365F91"/>
      <w:kern w:val="0"/>
      <w:sz w:val="28"/>
      <w:szCs w:val="28"/>
    </w:rPr>
  </w:style>
  <w:style w:type="character" w:customStyle="1" w:styleId="77">
    <w:name w:val="description"/>
    <w:qFormat/>
    <w:uiPriority w:val="0"/>
  </w:style>
  <w:style w:type="character" w:customStyle="1" w:styleId="78">
    <w:name w:val="批注文字 字符"/>
    <w:link w:val="15"/>
    <w:qFormat/>
    <w:uiPriority w:val="0"/>
    <w:rPr>
      <w:rFonts w:eastAsia="宋体"/>
      <w:kern w:val="2"/>
      <w:sz w:val="21"/>
      <w:szCs w:val="24"/>
      <w:lang w:val="zh-CN" w:eastAsia="zh-CN" w:bidi="ar-SA"/>
    </w:rPr>
  </w:style>
  <w:style w:type="character" w:customStyle="1" w:styleId="79">
    <w:name w:val="批注主题 字符"/>
    <w:link w:val="35"/>
    <w:qFormat/>
    <w:uiPriority w:val="0"/>
    <w:rPr>
      <w:rFonts w:eastAsia="宋体"/>
      <w:b/>
      <w:bCs/>
      <w:kern w:val="2"/>
      <w:sz w:val="21"/>
      <w:szCs w:val="24"/>
      <w:lang w:val="zh-CN" w:eastAsia="zh-CN" w:bidi="ar-SA"/>
    </w:rPr>
  </w:style>
  <w:style w:type="paragraph" w:styleId="80">
    <w:name w:val="List Paragraph"/>
    <w:basedOn w:val="1"/>
    <w:qFormat/>
    <w:uiPriority w:val="34"/>
    <w:pPr>
      <w:ind w:firstLine="420" w:firstLineChars="200"/>
    </w:pPr>
  </w:style>
  <w:style w:type="character" w:customStyle="1" w:styleId="81">
    <w:name w:val="标题 2 字符"/>
    <w:basedOn w:val="39"/>
    <w:link w:val="3"/>
    <w:qFormat/>
    <w:uiPriority w:val="0"/>
    <w:rPr>
      <w:rFonts w:eastAsia="黑体"/>
      <w:b/>
      <w:bCs/>
      <w:kern w:val="2"/>
      <w:sz w:val="28"/>
      <w:szCs w:val="32"/>
    </w:rPr>
  </w:style>
  <w:style w:type="character" w:customStyle="1" w:styleId="82">
    <w:name w:val="body31"/>
    <w:basedOn w:val="39"/>
    <w:qFormat/>
    <w:uiPriority w:val="0"/>
    <w:rPr>
      <w:rFonts w:hint="default" w:ascii="Verdana" w:hAnsi="Verdana"/>
      <w:color w:val="000000"/>
      <w:sz w:val="13"/>
      <w:szCs w:val="13"/>
    </w:rPr>
  </w:style>
  <w:style w:type="paragraph" w:customStyle="1" w:styleId="83">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84">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85">
    <w:name w:val="图表样式"/>
    <w:basedOn w:val="1"/>
    <w:link w:val="86"/>
    <w:autoRedefine/>
    <w:qFormat/>
    <w:uiPriority w:val="0"/>
    <w:pPr>
      <w:shd w:val="clear" w:color="auto" w:fill="FFFFFF"/>
      <w:snapToGrid w:val="0"/>
      <w:spacing w:before="120" w:beforeLines="50" w:after="120" w:afterLines="50" w:line="240" w:lineRule="auto"/>
      <w:jc w:val="center"/>
    </w:pPr>
    <w:rPr>
      <w:rFonts w:cs="宋体"/>
      <w:sz w:val="21"/>
      <w:szCs w:val="21"/>
    </w:rPr>
  </w:style>
  <w:style w:type="character" w:customStyle="1" w:styleId="86">
    <w:name w:val="图表样式 字符"/>
    <w:link w:val="85"/>
    <w:qFormat/>
    <w:uiPriority w:val="0"/>
    <w:rPr>
      <w:rFonts w:cs="宋体"/>
      <w:kern w:val="2"/>
      <w:sz w:val="21"/>
      <w:szCs w:val="21"/>
      <w:shd w:val="clear" w:color="auto" w:fill="FFFFFF"/>
    </w:rPr>
  </w:style>
  <w:style w:type="character" w:customStyle="1" w:styleId="87">
    <w:name w:val="标题 6 字符"/>
    <w:basedOn w:val="39"/>
    <w:link w:val="7"/>
    <w:semiHidden/>
    <w:qFormat/>
    <w:uiPriority w:val="0"/>
    <w:rPr>
      <w:rFonts w:asciiTheme="majorHAnsi" w:hAnsiTheme="majorHAnsi" w:eastAsiaTheme="majorEastAsia" w:cstheme="majorBidi"/>
      <w:b/>
      <w:bCs/>
      <w:kern w:val="2"/>
      <w:sz w:val="24"/>
      <w:szCs w:val="24"/>
    </w:rPr>
  </w:style>
  <w:style w:type="character" w:customStyle="1" w:styleId="88">
    <w:name w:val="标题 7 字符"/>
    <w:basedOn w:val="39"/>
    <w:link w:val="8"/>
    <w:semiHidden/>
    <w:qFormat/>
    <w:uiPriority w:val="0"/>
    <w:rPr>
      <w:b/>
      <w:bCs/>
      <w:kern w:val="2"/>
      <w:sz w:val="24"/>
      <w:szCs w:val="24"/>
    </w:rPr>
  </w:style>
  <w:style w:type="character" w:customStyle="1" w:styleId="89">
    <w:name w:val="标题 8 字符"/>
    <w:basedOn w:val="39"/>
    <w:link w:val="9"/>
    <w:semiHidden/>
    <w:qFormat/>
    <w:uiPriority w:val="0"/>
    <w:rPr>
      <w:rFonts w:asciiTheme="majorHAnsi" w:hAnsiTheme="majorHAnsi" w:eastAsiaTheme="majorEastAsia" w:cstheme="majorBidi"/>
      <w:kern w:val="2"/>
      <w:sz w:val="24"/>
      <w:szCs w:val="24"/>
    </w:rPr>
  </w:style>
  <w:style w:type="character" w:customStyle="1" w:styleId="90">
    <w:name w:val="标题 9 字符"/>
    <w:basedOn w:val="39"/>
    <w:link w:val="10"/>
    <w:semiHidden/>
    <w:qFormat/>
    <w:uiPriority w:val="0"/>
    <w:rPr>
      <w:rFonts w:asciiTheme="majorHAnsi" w:hAnsiTheme="majorHAnsi" w:eastAsiaTheme="majorEastAsia" w:cstheme="majorBidi"/>
      <w:kern w:val="2"/>
      <w:sz w:val="21"/>
      <w:szCs w:val="21"/>
    </w:rPr>
  </w:style>
  <w:style w:type="table" w:customStyle="1" w:styleId="91">
    <w:name w:val="三线表"/>
    <w:basedOn w:val="37"/>
    <w:qFormat/>
    <w:uiPriority w:val="99"/>
    <w:rPr>
      <w:rFonts w:asciiTheme="minorHAnsi" w:hAnsiTheme="minorHAnsi" w:eastAsiaTheme="minorEastAsia" w:cstheme="minorBidi"/>
      <w:kern w:val="2"/>
      <w:sz w:val="21"/>
      <w:szCs w:val="22"/>
    </w:r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92">
    <w:name w:val="Bibliography"/>
    <w:basedOn w:val="1"/>
    <w:next w:val="1"/>
    <w:unhideWhenUsed/>
    <w:qFormat/>
    <w:uiPriority w:val="37"/>
    <w:pPr>
      <w:tabs>
        <w:tab w:val="left" w:pos="384"/>
      </w:tabs>
      <w:spacing w:line="240" w:lineRule="auto"/>
      <w:ind w:left="384" w:hanging="384" w:firstLineChars="200"/>
    </w:pPr>
    <w:rPr>
      <w:rFonts w:cstheme="minorBidi"/>
      <w:szCs w:val="22"/>
    </w:rPr>
  </w:style>
  <w:style w:type="table" w:customStyle="1" w:styleId="93">
    <w:name w:val="无格式表格 22"/>
    <w:basedOn w:val="37"/>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27.jpe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jpeg"/><Relationship Id="rId40" Type="http://schemas.openxmlformats.org/officeDocument/2006/relationships/image" Target="media/image19.png"/><Relationship Id="rId4" Type="http://schemas.openxmlformats.org/officeDocument/2006/relationships/endnotes" Target="endnotes.xml"/><Relationship Id="rId39" Type="http://schemas.openxmlformats.org/officeDocument/2006/relationships/image" Target="media/image18.png"/><Relationship Id="rId38" Type="http://schemas.openxmlformats.org/officeDocument/2006/relationships/image" Target="media/image17.wmf"/><Relationship Id="rId37" Type="http://schemas.openxmlformats.org/officeDocument/2006/relationships/oleObject" Target="embeddings/oleObject4.bin"/><Relationship Id="rId36" Type="http://schemas.openxmlformats.org/officeDocument/2006/relationships/image" Target="media/image16.wmf"/><Relationship Id="rId35" Type="http://schemas.openxmlformats.org/officeDocument/2006/relationships/oleObject" Target="embeddings/oleObject3.bin"/><Relationship Id="rId34" Type="http://schemas.openxmlformats.org/officeDocument/2006/relationships/image" Target="media/image15.wmf"/><Relationship Id="rId33" Type="http://schemas.openxmlformats.org/officeDocument/2006/relationships/oleObject" Target="embeddings/oleObject2.bin"/><Relationship Id="rId32" Type="http://schemas.openxmlformats.org/officeDocument/2006/relationships/image" Target="media/image14.wmf"/><Relationship Id="rId31" Type="http://schemas.openxmlformats.org/officeDocument/2006/relationships/oleObject" Target="embeddings/oleObject1.bin"/><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jpeg"/><Relationship Id="rId23" Type="http://schemas.openxmlformats.org/officeDocument/2006/relationships/image" Target="media/image6.jpeg"/><Relationship Id="rId22" Type="http://schemas.openxmlformats.org/officeDocument/2006/relationships/image" Target="media/image5.jpeg"/><Relationship Id="rId21" Type="http://schemas.openxmlformats.org/officeDocument/2006/relationships/image" Target="media/image4.jpe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3BC13C-48E5-42BB-95C1-B7459CA54645}">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47</Pages>
  <Words>9709</Words>
  <Characters>10195</Characters>
  <Lines>899</Lines>
  <Paragraphs>253</Paragraphs>
  <TotalTime>1</TotalTime>
  <ScaleCrop>false</ScaleCrop>
  <LinksUpToDate>false</LinksUpToDate>
  <CharactersWithSpaces>10412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2021-04-28T11:56:00Z</dcterms:created>
  <dc:creator>微软中国</dc:creator>
  <cp:lastModifiedBy>晨</cp:lastModifiedBy>
  <cp:lastPrinted>2024-06-25T21:54:00Z</cp:lastPrinted>
  <dcterms:modified xsi:type="dcterms:W3CDTF">2026-09-29T16:13:49Z</dcterms:modified>
  <dc:title>分类号</dc:title>
  <cp:revision>730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id="fwOWf7Ts"/&gt;&lt;style id="http://www.zotero.org/styles/university-of-electronic-science-and-technology-of-china" hasBibliography="1" bibliographyStyleHasBeenSet="1"/&gt;&lt;prefs&gt;&lt;pref name="fieldType" val</vt:lpwstr>
  </property>
  <property fmtid="{D5CDD505-2E9C-101B-9397-08002B2CF9AE}" pid="3" name="ZOTERO_PREF_2">
    <vt:lpwstr>ue="Field"/&gt;&lt;pref name="dontAskDelayCitationUpdates" value="true"/&gt;&lt;/prefs&gt;&lt;/data&gt;</vt:lpwstr>
  </property>
  <property fmtid="{D5CDD505-2E9C-101B-9397-08002B2CF9AE}" pid="4" name="KSOProductBuildVer">
    <vt:lpwstr>2052-12.1.28496.28496</vt:lpwstr>
  </property>
  <property fmtid="{D5CDD505-2E9C-101B-9397-08002B2CF9AE}" pid="5" name="ICV">
    <vt:lpwstr>AFCC709AFE3140F89E524A07AE7456DE_12</vt:lpwstr>
  </property>
  <property fmtid="{D5CDD505-2E9C-101B-9397-08002B2CF9AE}" pid="6" name="KSOTemplateDocerSaveRecord">
    <vt:lpwstr>eyJoZGlkIjoiYmRhN2M2MjJlZTBiM2JhYTFmNjIzNjEzNDExZjU0ZGQiLCJ1c2VySWQiOiIxMTQ3NjM2NjY2In0=</vt:lpwstr>
  </property>
</Properties>
</file>