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智能建造大模型预测技术说明</w:t>
      </w:r>
    </w:p>
    <w:p>
      <w:pPr>
        <w:pStyle w:val="Subtitle"/>
      </w:pPr>
      <w:r>
        <w:t xml:space="preserve">预测链路、LangChain / LangGraph 与 RAG 落地方案</w:t>
      </w:r>
    </w:p>
    <w:p>
      <w:pPr>
        <w:pStyle w:val="Normal"/>
      </w:pPr>
      <w:r>
        <w:t xml:space="preserve">整理日期：2026 年 9 月 30 日</w:t>
      </w:r>
    </w:p>
    <w:p>
      <w:pPr>
        <w:pStyle w:val="Normal"/>
      </w:pPr>
      <w:r>
        <w:t xml:space="preserve">文档依据：当前项目代码梳理及本次技术讨论。本文区分当前主链路、仓库已有模块与后续建设建议；不代表已经完成真实数据预测效果验证。</w:t>
      </w:r>
    </w:p>
    <w:p>
      <w:pPr>
        <w:pStyle w:val="Heading1"/>
      </w:pPr>
      <w:r>
        <w:t xml:space="preserve">一、系统定位与实现边界</w:t>
      </w:r>
    </w:p>
    <w:p>
      <w:pPr>
        <w:pStyle w:val="Normal"/>
      </w:pPr>
      <w:r>
        <w:t xml:space="preserve">系统以智能建造技术主题和 IPC 专利演化证据为输入，通过 LangGraph 编排大模型完成预测、评审、修正、路线图与综合分析。后续通过 RAG 接入可追溯的论文、专利与项目材料，并结合独立定量模型增强预测的证据基础。</w:t>
      </w:r>
    </w:p>
    <w:p>
      <w:pPr>
        <w:pStyle w:val="Normal"/>
      </w:pPr>
      <w:r>
        <w:t xml:space="preserve">当前页面调用简化版预测链路。仓库还保留传统三轮预测、LangChain 适配器、证据检索和研究工作流模块，但这些能力没有全部接入当前 API。README 中描述的能力不能直接等同于当前页面已经启用的能力。</w:t>
      </w:r>
    </w:p>
    <w:tbl>
      <w:tblPr>
        <w:tblW w:w="9360" w:type="dxa"/>
        <w:tblInd w:w="120" w:type="dxa"/>
        <w:tblLayout w:type="fixed"/>
        <w:tblBorders>
          <w:top w:val="single" w:sz="4" w:color="CDD5DF"/>
          <w:left w:val="single" w:sz="4" w:color="CDD5DF"/>
          <w:bottom w:val="single" w:sz="4" w:color="CDD5DF"/>
          <w:right w:val="single" w:sz="4" w:color="CDD5DF"/>
          <w:insideH w:val="single" w:sz="4" w:color="CDD5DF"/>
          <w:insideV w:val="single" w:sz="4" w:color="CDD5DF"/>
        </w:tblBorders>
        <w:tblCellMar>
          <w:top w:w="80" w:type="dxa"/>
          <w:bottom w:w="80" w:type="dxa"/>
          <w:start w:w="120" w:type="dxa"/>
          <w:end w:w="120" w:type="dxa"/>
        </w:tblCellMar>
      </w:tblPr>
      <w:tblGrid>
        <w:gridCol w:w="2400"/>
        <w:gridCol w:w="3000"/>
        <w:gridCol w:w="3960"/>
      </w:tblGrid>
      <w:tr>
        <w:trPr>
          <w:cantSplit/>
          <w:tblHeader/>
        </w:trPr>
        <w:tc>
          <w:tcPr>
            <w:tcW w:w="2400" w:type="dxa"/>
            <w:vAlign w:val="center"/>
            <w:shd w:fill="E8EEF5"/>
          </w:tcPr>
          <w:p>
            <w:pPr>
              <w:pStyle w:val="TableHead"/>
            </w:pPr>
            <w:r>
              <w:t xml:space="preserve">能力层次</w:t>
            </w:r>
          </w:p>
        </w:tc>
        <w:tc>
          <w:tcPr>
            <w:tcW w:w="3000" w:type="dxa"/>
            <w:vAlign w:val="center"/>
            <w:shd w:fill="E8EEF5"/>
          </w:tcPr>
          <w:p>
            <w:pPr>
              <w:pStyle w:val="TableHead"/>
            </w:pPr>
            <w:r>
              <w:t xml:space="preserve">当前状态</w:t>
            </w:r>
          </w:p>
        </w:tc>
        <w:tc>
          <w:tcPr>
            <w:tcW w:w="3960" w:type="dxa"/>
            <w:vAlign w:val="center"/>
            <w:shd w:fill="E8EEF5"/>
          </w:tcPr>
          <w:p>
            <w:pPr>
              <w:pStyle w:val="TableHead"/>
            </w:pPr>
            <w:r>
              <w:t xml:space="preserve">说明</w:t>
            </w:r>
          </w:p>
        </w:tc>
      </w:tr>
      <w:tr>
        <w:trPr>
          <w:cantSplit/>
        </w:trPr>
        <w:tc>
          <w:tcPr>
            <w:tcW w:w="2400" w:type="dxa"/>
            <w:vAlign w:val="center"/>
          </w:tcPr>
          <w:p>
            <w:pPr>
              <w:pStyle w:val="TableBody"/>
            </w:pPr>
            <w:r>
              <w:t xml:space="preserve">当前页面主链路</w:t>
            </w:r>
          </w:p>
        </w:tc>
        <w:tc>
          <w:tcPr>
            <w:tcW w:w="3000" w:type="dxa"/>
            <w:vAlign w:val="center"/>
          </w:tcPr>
          <w:p>
            <w:pPr>
              <w:pStyle w:val="TableBody"/>
            </w:pPr>
            <w:r>
              <w:t xml:space="preserve">已接通</w:t>
            </w:r>
          </w:p>
        </w:tc>
        <w:tc>
          <w:tcPr>
            <w:tcW w:w="3960" w:type="dxa"/>
            <w:vAlign w:val="center"/>
          </w:tcPr>
          <w:p>
            <w:pPr>
              <w:pStyle w:val="TableBody"/>
            </w:pPr>
            <w:r>
              <w:t xml:space="preserve">固定主题证据摘要 → 预测 → 评审 → 修正 → 路线图 → 综合</w:t>
            </w:r>
          </w:p>
        </w:tc>
      </w:tr>
      <w:tr>
        <w:trPr>
          <w:cantSplit/>
        </w:trPr>
        <w:tc>
          <w:tcPr>
            <w:tcW w:w="2400" w:type="dxa"/>
            <w:vAlign w:val="center"/>
          </w:tcPr>
          <w:p>
            <w:pPr>
              <w:pStyle w:val="TableBody"/>
            </w:pPr>
            <w:r>
              <w:t xml:space="preserve">传统三轮预测</w:t>
            </w:r>
          </w:p>
        </w:tc>
        <w:tc>
          <w:tcPr>
            <w:tcW w:w="3000" w:type="dxa"/>
            <w:vAlign w:val="center"/>
          </w:tcPr>
          <w:p>
            <w:pPr>
              <w:pStyle w:val="TableBody"/>
            </w:pPr>
            <w:r>
              <w:t xml:space="preserve">仓库保留</w:t>
            </w:r>
          </w:p>
        </w:tc>
        <w:tc>
          <w:tcPr>
            <w:tcW w:w="3960" w:type="dxa"/>
            <w:vAlign w:val="center"/>
          </w:tcPr>
          <w:p>
            <w:pPr>
              <w:pStyle w:val="TableBody"/>
            </w:pPr>
            <w:r>
              <w:t xml:space="preserve">src/main.py 组织主题演化、新范式与路线图预测</w:t>
            </w:r>
          </w:p>
        </w:tc>
      </w:tr>
      <w:tr>
        <w:trPr>
          <w:cantSplit/>
        </w:trPr>
        <w:tc>
          <w:tcPr>
            <w:tcW w:w="2400" w:type="dxa"/>
            <w:vAlign w:val="center"/>
          </w:tcPr>
          <w:p>
            <w:pPr>
              <w:pStyle w:val="TableBody"/>
            </w:pPr>
            <w:r>
              <w:t xml:space="preserve">LangChain 适配与研究工作流</w:t>
            </w:r>
          </w:p>
        </w:tc>
        <w:tc>
          <w:tcPr>
            <w:tcW w:w="3000" w:type="dxa"/>
            <w:vAlign w:val="center"/>
          </w:tcPr>
          <w:p>
            <w:pPr>
              <w:pStyle w:val="TableBody"/>
            </w:pPr>
            <w:r>
              <w:t xml:space="preserve">仓库已有模块</w:t>
            </w:r>
          </w:p>
        </w:tc>
        <w:tc>
          <w:tcPr>
            <w:tcW w:w="3960" w:type="dxa"/>
            <w:vAlign w:val="center"/>
          </w:tcPr>
          <w:p>
            <w:pPr>
              <w:pStyle w:val="TableBody"/>
            </w:pPr>
            <w:r>
              <w:t xml:space="preserve">包括模型适配、证据约束、版本清单及检查点逻辑</w:t>
            </w:r>
          </w:p>
        </w:tc>
      </w:tr>
      <w:tr>
        <w:trPr>
          <w:cantSplit/>
        </w:trPr>
        <w:tc>
          <w:tcPr>
            <w:tcW w:w="2400" w:type="dxa"/>
            <w:vAlign w:val="center"/>
          </w:tcPr>
          <w:p>
            <w:pPr>
              <w:pStyle w:val="TableBody"/>
            </w:pPr>
            <w:r>
              <w:t xml:space="preserve">证据检索服务</w:t>
            </w:r>
          </w:p>
        </w:tc>
        <w:tc>
          <w:tcPr>
            <w:tcW w:w="3000" w:type="dxa"/>
            <w:vAlign w:val="center"/>
          </w:tcPr>
          <w:p>
            <w:pPr>
              <w:pStyle w:val="TableBody"/>
            </w:pPr>
            <w:r>
              <w:t xml:space="preserve">仓库已有模块</w:t>
            </w:r>
          </w:p>
        </w:tc>
        <w:tc>
          <w:tcPr>
            <w:tcW w:w="3960" w:type="dxa"/>
            <w:vAlign w:val="center"/>
          </w:tcPr>
          <w:p>
            <w:pPr>
              <w:pStyle w:val="TableBody"/>
            </w:pPr>
            <w:r>
              <w:t xml:space="preserve">可查询 IPC、论文、项目材料及阶段分析</w:t>
            </w:r>
          </w:p>
        </w:tc>
      </w:tr>
      <w:tr>
        <w:trPr>
          <w:cantSplit/>
        </w:trPr>
        <w:tc>
          <w:tcPr>
            <w:tcW w:w="2400" w:type="dxa"/>
            <w:vAlign w:val="center"/>
          </w:tcPr>
          <w:p>
            <w:pPr>
              <w:pStyle w:val="TableBody"/>
            </w:pPr>
            <w:r>
              <w:t xml:space="preserve">完整 RAG 预测闭环</w:t>
            </w:r>
          </w:p>
        </w:tc>
        <w:tc>
          <w:tcPr>
            <w:tcW w:w="3000" w:type="dxa"/>
            <w:vAlign w:val="center"/>
          </w:tcPr>
          <w:p>
            <w:pPr>
              <w:pStyle w:val="TableBody"/>
            </w:pPr>
            <w:r>
              <w:t xml:space="preserve">后续建设</w:t>
            </w:r>
          </w:p>
        </w:tc>
        <w:tc>
          <w:tcPr>
            <w:tcW w:w="3960" w:type="dxa"/>
            <w:vAlign w:val="center"/>
          </w:tcPr>
          <w:p>
            <w:pPr>
              <w:pStyle w:val="TableBody"/>
            </w:pPr>
            <w:r>
              <w:t xml:space="preserve">需接通动态检索、逐条引用、补检索和评估</w:t>
            </w:r>
          </w:p>
        </w:tc>
      </w:tr>
    </w:tbl>
    <w:p>
      <w:pPr>
        <w:pStyle w:val="TableAfter"/>
      </w:pPr>
      <w:r>
        <w:t xml:space="preserve"/>
      </w:r>
    </w:p>
    <w:p>
      <w:pPr>
        <w:pStyle w:val="Heading1"/>
      </w:pPr>
      <w:r>
        <w:t xml:space="preserve">二、当前实际运行的端到端链路</w:t>
      </w:r>
    </w:p>
    <w:p>
      <w:pPr>
        <w:pStyle w:val="Heading2"/>
      </w:pPr>
      <w:r>
        <w:t xml:space="preserve">2.1 总体流程与技术栈</w:t>
      </w:r>
    </w:p>
    <w:p>
      <w:pPr>
        <w:pStyle w:val="Normal"/>
      </w:pPr>
      <w:r>
        <w:t xml:space="preserve">React 前端发起预测 → FastAPI 创建任务 → 后台线程读取主题证据 → LangGraph 执行预测与评审 → 按需修正 → 生成路线图与综合结论 → 保存 JSON → 前端轮询展示。</w:t>
      </w:r>
    </w:p>
    <w:tbl>
      <w:tblPr>
        <w:tblW w:w="9360" w:type="dxa"/>
        <w:tblInd w:w="120" w:type="dxa"/>
        <w:tblLayout w:type="fixed"/>
        <w:tblBorders>
          <w:top w:val="single" w:sz="4" w:color="CDD5DF"/>
          <w:left w:val="single" w:sz="4" w:color="CDD5DF"/>
          <w:bottom w:val="single" w:sz="4" w:color="CDD5DF"/>
          <w:right w:val="single" w:sz="4" w:color="CDD5DF"/>
          <w:insideH w:val="single" w:sz="4" w:color="CDD5DF"/>
          <w:insideV w:val="single" w:sz="4" w:color="CDD5DF"/>
        </w:tblBorders>
        <w:tblCellMar>
          <w:top w:w="80" w:type="dxa"/>
          <w:bottom w:w="80" w:type="dxa"/>
          <w:start w:w="120" w:type="dxa"/>
          <w:end w:w="120" w:type="dxa"/>
        </w:tblCellMar>
      </w:tblPr>
      <w:tblGrid>
        <w:gridCol w:w="2400"/>
        <w:gridCol w:w="3000"/>
        <w:gridCol w:w="3960"/>
      </w:tblGrid>
      <w:tr>
        <w:trPr>
          <w:cantSplit/>
          <w:tblHeader/>
        </w:trPr>
        <w:tc>
          <w:tcPr>
            <w:tcW w:w="2400" w:type="dxa"/>
            <w:vAlign w:val="center"/>
            <w:shd w:fill="E8EEF5"/>
          </w:tcPr>
          <w:p>
            <w:pPr>
              <w:pStyle w:val="TableHead"/>
            </w:pPr>
            <w:r>
              <w:t xml:space="preserve">层次</w:t>
            </w:r>
          </w:p>
        </w:tc>
        <w:tc>
          <w:tcPr>
            <w:tcW w:w="3000" w:type="dxa"/>
            <w:vAlign w:val="center"/>
            <w:shd w:fill="E8EEF5"/>
          </w:tcPr>
          <w:p>
            <w:pPr>
              <w:pStyle w:val="TableHead"/>
            </w:pPr>
            <w:r>
              <w:t xml:space="preserve">实现技术</w:t>
            </w:r>
          </w:p>
        </w:tc>
        <w:tc>
          <w:tcPr>
            <w:tcW w:w="3960" w:type="dxa"/>
            <w:vAlign w:val="center"/>
            <w:shd w:fill="E8EEF5"/>
          </w:tcPr>
          <w:p>
            <w:pPr>
              <w:pStyle w:val="TableHead"/>
            </w:pPr>
            <w:r>
              <w:t xml:space="preserve">作用</w:t>
            </w:r>
          </w:p>
        </w:tc>
      </w:tr>
      <w:tr>
        <w:trPr>
          <w:cantSplit/>
        </w:trPr>
        <w:tc>
          <w:tcPr>
            <w:tcW w:w="2400" w:type="dxa"/>
            <w:vAlign w:val="center"/>
          </w:tcPr>
          <w:p>
            <w:pPr>
              <w:pStyle w:val="TableBody"/>
            </w:pPr>
            <w:r>
              <w:t xml:space="preserve">前端</w:t>
            </w:r>
          </w:p>
        </w:tc>
        <w:tc>
          <w:tcPr>
            <w:tcW w:w="3000" w:type="dxa"/>
            <w:vAlign w:val="center"/>
          </w:tcPr>
          <w:p>
            <w:pPr>
              <w:pStyle w:val="TableBody"/>
            </w:pPr>
            <w:r>
              <w:t xml:space="preserve">React、TypeScript、Vite</w:t>
            </w:r>
          </w:p>
        </w:tc>
        <w:tc>
          <w:tcPr>
            <w:tcW w:w="3960" w:type="dxa"/>
            <w:vAlign w:val="center"/>
          </w:tcPr>
          <w:p>
            <w:pPr>
              <w:pStyle w:val="TableBody"/>
            </w:pPr>
            <w:r>
              <w:t xml:space="preserve">启动任务、轮询状态、展示结果</w:t>
            </w:r>
          </w:p>
        </w:tc>
      </w:tr>
      <w:tr>
        <w:trPr>
          <w:cantSplit/>
        </w:trPr>
        <w:tc>
          <w:tcPr>
            <w:tcW w:w="2400" w:type="dxa"/>
            <w:vAlign w:val="center"/>
          </w:tcPr>
          <w:p>
            <w:pPr>
              <w:pStyle w:val="TableBody"/>
            </w:pPr>
            <w:r>
              <w:t xml:space="preserve">API</w:t>
            </w:r>
          </w:p>
        </w:tc>
        <w:tc>
          <w:tcPr>
            <w:tcW w:w="3000" w:type="dxa"/>
            <w:vAlign w:val="center"/>
          </w:tcPr>
          <w:p>
            <w:pPr>
              <w:pStyle w:val="TableBody"/>
            </w:pPr>
            <w:r>
              <w:t xml:space="preserve">FastAPI</w:t>
            </w:r>
          </w:p>
        </w:tc>
        <w:tc>
          <w:tcPr>
            <w:tcW w:w="3960" w:type="dxa"/>
            <w:vAlign w:val="center"/>
          </w:tcPr>
          <w:p>
            <w:pPr>
              <w:pStyle w:val="TableBody"/>
            </w:pPr>
            <w:r>
              <w:t xml:space="preserve">提供主题、任务创建、状态和结果接口</w:t>
            </w:r>
          </w:p>
        </w:tc>
      </w:tr>
      <w:tr>
        <w:trPr>
          <w:cantSplit/>
        </w:trPr>
        <w:tc>
          <w:tcPr>
            <w:tcW w:w="2400" w:type="dxa"/>
            <w:vAlign w:val="center"/>
          </w:tcPr>
          <w:p>
            <w:pPr>
              <w:pStyle w:val="TableBody"/>
            </w:pPr>
            <w:r>
              <w:t xml:space="preserve">任务管理</w:t>
            </w:r>
          </w:p>
        </w:tc>
        <w:tc>
          <w:tcPr>
            <w:tcW w:w="3000" w:type="dxa"/>
            <w:vAlign w:val="center"/>
          </w:tcPr>
          <w:p>
            <w:pPr>
              <w:pStyle w:val="TableBody"/>
            </w:pPr>
            <w:r>
              <w:t xml:space="preserve">Python 后台线程、文件存储</w:t>
            </w:r>
          </w:p>
        </w:tc>
        <w:tc>
          <w:tcPr>
            <w:tcW w:w="3960" w:type="dxa"/>
            <w:vAlign w:val="center"/>
          </w:tcPr>
          <w:p>
            <w:pPr>
              <w:pStyle w:val="TableBody"/>
            </w:pPr>
            <w:r>
              <w:t xml:space="preserve">执行任务并保存状态</w:t>
            </w:r>
          </w:p>
        </w:tc>
      </w:tr>
      <w:tr>
        <w:trPr>
          <w:cantSplit/>
        </w:trPr>
        <w:tc>
          <w:tcPr>
            <w:tcW w:w="2400" w:type="dxa"/>
            <w:vAlign w:val="center"/>
          </w:tcPr>
          <w:p>
            <w:pPr>
              <w:pStyle w:val="TableBody"/>
            </w:pPr>
            <w:r>
              <w:t xml:space="preserve">工作流</w:t>
            </w:r>
          </w:p>
        </w:tc>
        <w:tc>
          <w:tcPr>
            <w:tcW w:w="3000" w:type="dxa"/>
            <w:vAlign w:val="center"/>
          </w:tcPr>
          <w:p>
            <w:pPr>
              <w:pStyle w:val="TableBody"/>
            </w:pPr>
            <w:r>
              <w:t xml:space="preserve">LangGraph StateGraph</w:t>
            </w:r>
          </w:p>
        </w:tc>
        <w:tc>
          <w:tcPr>
            <w:tcW w:w="3960" w:type="dxa"/>
            <w:vAlign w:val="center"/>
          </w:tcPr>
          <w:p>
            <w:pPr>
              <w:pStyle w:val="TableBody"/>
            </w:pPr>
            <w:r>
              <w:t xml:space="preserve">管理节点、条件分支和共享状态</w:t>
            </w:r>
          </w:p>
        </w:tc>
      </w:tr>
      <w:tr>
        <w:trPr>
          <w:cantSplit/>
        </w:trPr>
        <w:tc>
          <w:tcPr>
            <w:tcW w:w="2400" w:type="dxa"/>
            <w:vAlign w:val="center"/>
          </w:tcPr>
          <w:p>
            <w:pPr>
              <w:pStyle w:val="TableBody"/>
            </w:pPr>
            <w:r>
              <w:t xml:space="preserve">模型调用</w:t>
            </w:r>
          </w:p>
        </w:tc>
        <w:tc>
          <w:tcPr>
            <w:tcW w:w="3000" w:type="dxa"/>
            <w:vAlign w:val="center"/>
          </w:tcPr>
          <w:p>
            <w:pPr>
              <w:pStyle w:val="TableBody"/>
            </w:pPr>
            <w:r>
              <w:t xml:space="preserve">requests、兼容接口</w:t>
            </w:r>
          </w:p>
        </w:tc>
        <w:tc>
          <w:tcPr>
            <w:tcW w:w="3960" w:type="dxa"/>
            <w:vAlign w:val="center"/>
          </w:tcPr>
          <w:p>
            <w:pPr>
              <w:pStyle w:val="TableBody"/>
            </w:pPr>
            <w:r>
              <w:t xml:space="preserve">调用配置的 DeepSeek 模型</w:t>
            </w:r>
          </w:p>
        </w:tc>
      </w:tr>
      <w:tr>
        <w:trPr>
          <w:cantSplit/>
        </w:trPr>
        <w:tc>
          <w:tcPr>
            <w:tcW w:w="2400" w:type="dxa"/>
            <w:vAlign w:val="center"/>
          </w:tcPr>
          <w:p>
            <w:pPr>
              <w:pStyle w:val="TableBody"/>
            </w:pPr>
            <w:r>
              <w:t xml:space="preserve">输出约束</w:t>
            </w:r>
          </w:p>
        </w:tc>
        <w:tc>
          <w:tcPr>
            <w:tcW w:w="3000" w:type="dxa"/>
            <w:vAlign w:val="center"/>
          </w:tcPr>
          <w:p>
            <w:pPr>
              <w:pStyle w:val="TableBody"/>
            </w:pPr>
            <w:r>
              <w:t xml:space="preserve">JSON、Pydantic</w:t>
            </w:r>
          </w:p>
        </w:tc>
        <w:tc>
          <w:tcPr>
            <w:tcW w:w="3960" w:type="dxa"/>
            <w:vAlign w:val="center"/>
          </w:tcPr>
          <w:p>
            <w:pPr>
              <w:pStyle w:val="TableBody"/>
            </w:pPr>
            <w:r>
              <w:t xml:space="preserve">检查字段、类型与数值范围</w:t>
            </w:r>
          </w:p>
        </w:tc>
      </w:tr>
      <w:tr>
        <w:trPr>
          <w:cantSplit/>
        </w:trPr>
        <w:tc>
          <w:tcPr>
            <w:tcW w:w="2400" w:type="dxa"/>
            <w:vAlign w:val="center"/>
          </w:tcPr>
          <w:p>
            <w:pPr>
              <w:pStyle w:val="TableBody"/>
            </w:pPr>
            <w:r>
              <w:t xml:space="preserve">结果存储</w:t>
            </w:r>
          </w:p>
        </w:tc>
        <w:tc>
          <w:tcPr>
            <w:tcW w:w="3000" w:type="dxa"/>
            <w:vAlign w:val="center"/>
          </w:tcPr>
          <w:p>
            <w:pPr>
              <w:pStyle w:val="TableBody"/>
            </w:pPr>
            <w:r>
              <w:t xml:space="preserve">job.json、result.json</w:t>
            </w:r>
          </w:p>
        </w:tc>
        <w:tc>
          <w:tcPr>
            <w:tcW w:w="3960" w:type="dxa"/>
            <w:vAlign w:val="center"/>
          </w:tcPr>
          <w:p>
            <w:pPr>
              <w:pStyle w:val="TableBody"/>
            </w:pPr>
            <w:r>
              <w:t xml:space="preserve">保存任务状态与结构化产物</w:t>
            </w:r>
          </w:p>
        </w:tc>
      </w:tr>
    </w:tbl>
    <w:p>
      <w:pPr>
        <w:pStyle w:val="TableAfter"/>
      </w:pPr>
      <w:r>
        <w:t xml:space="preserve"/>
      </w:r>
    </w:p>
    <w:p>
      <w:pPr>
        <w:pStyle w:val="Normal"/>
      </w:pPr>
      <w:r>
        <w:t xml:space="preserve">主要入口：src/api/app.py、src/forecast/service.py、src/forecast/graph.py。</w:t>
      </w:r>
    </w:p>
    <w:p>
      <w:pPr>
        <w:pStyle w:val="Heading2"/>
      </w:pPr>
      <w:r>
        <w:t xml:space="preserve">2.2 输入阶段：读取预先整理的证据</w:t>
      </w:r>
    </w:p>
    <w:p>
      <w:pPr>
        <w:pStyle w:val="Normal"/>
      </w:pPr>
      <w:r>
        <w:t xml:space="preserve">当前 API 创建任务时不接收自定义研究材料，而是读取 data/seed/topics.json。每个主题主要包含 topic_name（技术主题）、keywords（关键词）、example（典型场景）和 ipc_trend（IPC 专利网络演化摘要）。</w:t>
      </w:r>
    </w:p>
    <w:p>
      <w:pPr>
        <w:pStyle w:val="Normal"/>
      </w:pPr>
      <w:r>
        <w:t xml:space="preserve">例如，“机器人集群协同”的摘要已写入机器人相关 IPC 的中心度变化、共现关系和潜在融合方向。当前大模型使用的是已经整理好的摘要文本，主链路不会在执行时重新读取原始专利、计算网络指标或检索论文。</w:t>
      </w:r>
    </w:p>
    <w:p>
      <w:pPr>
        <w:pStyle w:val="Normal"/>
      </w:pPr>
      <w:r>
        <w:t xml:space="preserve">因此，预测质量首先取决于摘要是否准确、完整、及时，以及是否能追溯到原始数据。</w:t>
      </w:r>
    </w:p>
    <w:p>
      <w:pPr>
        <w:pStyle w:val="Heading2"/>
      </w:pPr>
      <w:r>
        <w:t xml:space="preserve">2.3 Execute：逐主题预测</w:t>
      </w:r>
    </w:p>
    <w:p>
      <w:pPr>
        <w:pStyle w:val="Normal"/>
      </w:pPr>
      <w:r>
        <w:t xml:space="preserve">执行器将主题、关键词、场景和 IPC 摘要填入提示词，要求输出驱动因素、2030—2035 年关键瓶颈、到 2040 年可能实现的突破、使能技术、置信度和不确定性。</w:t>
      </w:r>
    </w:p>
    <w:p>
      <w:pPr>
        <w:pStyle w:val="Normal"/>
      </w:pPr>
      <w:r>
        <w:t xml:space="preserve">各主题独立调用模型，最多使用 5 个线程并行执行。该方式适合相对独立的主题分析，能够减少等待时间并保留各主题的结构化产物。</w:t>
      </w:r>
    </w:p>
    <w:p>
      <w:pPr>
        <w:pStyle w:val="Heading2"/>
      </w:pPr>
      <w:r>
        <w:t xml:space="preserve">2.4 Think：科学评审</w:t>
      </w:r>
    </w:p>
    <w:p>
      <w:pPr>
        <w:pStyle w:val="Normal"/>
      </w:pPr>
      <w:r>
        <w:t xml:space="preserve">评审节点接收原始证据摘要和初次预测，检查证据是否被过度外推、是否存在绝对化表述、瓶颈与突破是否可信，以及置信度是否合理。输出包括问题列表、严重程度和修正建议。</w:t>
      </w:r>
    </w:p>
    <w:p>
      <w:pPr>
        <w:pStyle w:val="Normal"/>
      </w:pPr>
      <w:r>
        <w:t xml:space="preserve">Execute、Think 等角色主要通过不同提示词实现，当前调用相同模型配置，不能理解为多个独立训练的专家模型。</w:t>
      </w:r>
    </w:p>
    <w:p>
      <w:pPr>
        <w:pStyle w:val="Heading2"/>
      </w:pPr>
      <w:r>
        <w:t xml:space="preserve">2.5 Revise：有限次数修正</w:t>
      </w:r>
    </w:p>
    <w:p>
      <w:pPr>
        <w:pStyle w:val="Normal"/>
      </w:pPr>
      <w:r>
        <w:t xml:space="preserve">任何主题出现 medium 或 high 严重程度问题时，流程进入修正节点。当前触发修正后会重新生成全部主题预测，最多修正一次；修正后直接进入路线图节点，不再次评审。</w:t>
      </w:r>
    </w:p>
    <w:p>
      <w:pPr>
        <w:pStyle w:val="Normal"/>
      </w:pPr>
      <w:r>
        <w:t xml:space="preserve">目前形成的是有界的一轮评审与修正机制，尚未形成持续补充证据并反复验证的完整闭环。</w:t>
      </w:r>
    </w:p>
    <w:p>
      <w:pPr>
        <w:pStyle w:val="Heading2"/>
      </w:pPr>
      <w:r>
        <w:t xml:space="preserve">2.6 Roadmap：生成分阶段路线图</w:t>
      </w:r>
    </w:p>
    <w:p>
      <w:pPr>
        <w:pStyle w:val="Normal"/>
      </w:pPr>
      <w:r>
        <w:t xml:space="preserve">每个主题生成 2030、2035、2040 三个阶段的里程碑，附带 TRL 技术成熟度（1—9）、不确定性等级、里程碑说明及终期成熟度。</w:t>
      </w:r>
    </w:p>
    <w:p>
      <w:pPr>
        <w:pStyle w:val="Normal"/>
      </w:pPr>
      <w:r>
        <w:t xml:space="preserve">TRL 当前由模型依据材料判断。正式研究应说明每一等级对应的实验、示范或产业化证据，不能仅依据模型输出确认成熟度。</w:t>
      </w:r>
    </w:p>
    <w:p>
      <w:pPr>
        <w:pStyle w:val="Heading2"/>
      </w:pPr>
      <w:r>
        <w:t xml:space="preserve">2.7 Synthesize：跨主题综合</w:t>
      </w:r>
    </w:p>
    <w:p>
      <w:pPr>
        <w:pStyle w:val="Normal"/>
      </w:pPr>
      <w:r>
        <w:t xml:space="preserve">综合节点汇总各主题的突破、置信度和不确定性，提炼智能建造新范式、跨主题融合方向、重大挑战与综合结论。</w:t>
      </w:r>
    </w:p>
    <w:p>
      <w:pPr>
        <w:pStyle w:val="Normal"/>
      </w:pPr>
      <w:r>
        <w:t xml:space="preserve">当前实际输入为主题预测摘要，未包含前一步完整路线图。若希望识别跨主题里程碑依赖，需补充路线图输入。</w:t>
      </w:r>
    </w:p>
    <w:p>
      <w:pPr>
        <w:pStyle w:val="Heading2"/>
      </w:pPr>
      <w:r>
        <w:t xml:space="preserve">2.8 任务状态与持久化</w:t>
      </w:r>
    </w:p>
    <w:p>
      <w:pPr>
        <w:pStyle w:val="Normal"/>
      </w:pPr>
      <w:r>
        <w:t xml:space="preserve">后端保存任务状态和最终结果，前端轮询获取。任务服务主要在开始、完成和失败时写状态，图内各节点进度尚未逐步同步到任务文件。</w:t>
      </w:r>
    </w:p>
    <w:p>
      <w:pPr>
        <w:pStyle w:val="Normal"/>
      </w:pPr>
      <w:r>
        <w:t xml:space="preserve">当前预测图未配置持久化 checkpointer，因此当前页面链路不具备完整的节点级恢复能力。其他研究模块中的检查点实现需要单独接入和验证。</w:t>
      </w:r>
    </w:p>
    <w:p>
      <w:pPr>
        <w:pStyle w:val="Heading1"/>
      </w:pPr>
      <w:r>
        <w:t xml:space="preserve">三、预测方法与关键技术</w:t>
      </w:r>
    </w:p>
    <w:p>
      <w:pPr>
        <w:pStyle w:val="Heading2"/>
      </w:pPr>
      <w:r>
        <w:t xml:space="preserve">3.1 三类计算的职责</w:t>
      </w:r>
    </w:p>
    <w:tbl>
      <w:tblPr>
        <w:tblW w:w="9360" w:type="dxa"/>
        <w:tblInd w:w="120" w:type="dxa"/>
        <w:tblLayout w:type="fixed"/>
        <w:tblBorders>
          <w:top w:val="single" w:sz="4" w:color="CDD5DF"/>
          <w:left w:val="single" w:sz="4" w:color="CDD5DF"/>
          <w:bottom w:val="single" w:sz="4" w:color="CDD5DF"/>
          <w:right w:val="single" w:sz="4" w:color="CDD5DF"/>
          <w:insideH w:val="single" w:sz="4" w:color="CDD5DF"/>
          <w:insideV w:val="single" w:sz="4" w:color="CDD5DF"/>
        </w:tblBorders>
        <w:tblCellMar>
          <w:top w:w="80" w:type="dxa"/>
          <w:bottom w:w="80" w:type="dxa"/>
          <w:start w:w="120" w:type="dxa"/>
          <w:end w:w="120" w:type="dxa"/>
        </w:tblCellMar>
      </w:tblPr>
      <w:tblGrid>
        <w:gridCol w:w="2400"/>
        <w:gridCol w:w="3000"/>
        <w:gridCol w:w="3960"/>
      </w:tblGrid>
      <w:tr>
        <w:trPr>
          <w:cantSplit/>
          <w:tblHeader/>
        </w:trPr>
        <w:tc>
          <w:tcPr>
            <w:tcW w:w="2400" w:type="dxa"/>
            <w:vAlign w:val="center"/>
            <w:shd w:fill="E8EEF5"/>
          </w:tcPr>
          <w:p>
            <w:pPr>
              <w:pStyle w:val="TableHead"/>
            </w:pPr>
            <w:r>
              <w:t xml:space="preserve">类型</w:t>
            </w:r>
          </w:p>
        </w:tc>
        <w:tc>
          <w:tcPr>
            <w:tcW w:w="3000" w:type="dxa"/>
            <w:vAlign w:val="center"/>
            <w:shd w:fill="E8EEF5"/>
          </w:tcPr>
          <w:p>
            <w:pPr>
              <w:pStyle w:val="TableHead"/>
            </w:pPr>
            <w:r>
              <w:t xml:space="preserve">解决的问题</w:t>
            </w:r>
          </w:p>
        </w:tc>
        <w:tc>
          <w:tcPr>
            <w:tcW w:w="3960" w:type="dxa"/>
            <w:vAlign w:val="center"/>
            <w:shd w:fill="E8EEF5"/>
          </w:tcPr>
          <w:p>
            <w:pPr>
              <w:pStyle w:val="TableHead"/>
            </w:pPr>
            <w:r>
              <w:t xml:space="preserve">仓库位置</w:t>
            </w:r>
          </w:p>
        </w:tc>
      </w:tr>
      <w:tr>
        <w:trPr>
          <w:cantSplit/>
        </w:trPr>
        <w:tc>
          <w:tcPr>
            <w:tcW w:w="2400" w:type="dxa"/>
            <w:vAlign w:val="center"/>
          </w:tcPr>
          <w:p>
            <w:pPr>
              <w:pStyle w:val="TableBody"/>
            </w:pPr>
            <w:r>
              <w:t xml:space="preserve">大模型情景预测</w:t>
            </w:r>
          </w:p>
        </w:tc>
        <w:tc>
          <w:tcPr>
            <w:tcW w:w="3000" w:type="dxa"/>
            <w:vAlign w:val="center"/>
          </w:tcPr>
          <w:p>
            <w:pPr>
              <w:pStyle w:val="TableBody"/>
            </w:pPr>
            <w:r>
              <w:t xml:space="preserve">技术如何发展、有哪些瓶颈与突破</w:t>
            </w:r>
          </w:p>
        </w:tc>
        <w:tc>
          <w:tcPr>
            <w:tcW w:w="3960" w:type="dxa"/>
            <w:vAlign w:val="center"/>
          </w:tcPr>
          <w:p>
            <w:pPr>
              <w:pStyle w:val="TableBody"/>
            </w:pPr>
            <w:r>
              <w:t xml:space="preserve">src/forecast/</w:t>
            </w:r>
          </w:p>
        </w:tc>
      </w:tr>
      <w:tr>
        <w:trPr>
          <w:cantSplit/>
        </w:trPr>
        <w:tc>
          <w:tcPr>
            <w:tcW w:w="2400" w:type="dxa"/>
            <w:vAlign w:val="center"/>
          </w:tcPr>
          <w:p>
            <w:pPr>
              <w:pStyle w:val="TableBody"/>
            </w:pPr>
            <w:r>
              <w:t xml:space="preserve">IPC 网络与融合预测</w:t>
            </w:r>
          </w:p>
        </w:tc>
        <w:tc>
          <w:tcPr>
            <w:tcW w:w="3000" w:type="dxa"/>
            <w:vAlign w:val="center"/>
          </w:tcPr>
          <w:p>
            <w:pPr>
              <w:pStyle w:val="TableBody"/>
            </w:pPr>
            <w:r>
              <w:t xml:space="preserve">哪些技术组合可能首次出现或显著增强</w:t>
            </w:r>
          </w:p>
        </w:tc>
        <w:tc>
          <w:tcPr>
            <w:tcW w:w="3960" w:type="dxa"/>
            <w:vAlign w:val="center"/>
          </w:tcPr>
          <w:p>
            <w:pPr>
              <w:pStyle w:val="TableBody"/>
            </w:pPr>
            <w:r>
              <w:t xml:space="preserve">src/research/</w:t>
            </w:r>
          </w:p>
        </w:tc>
      </w:tr>
      <w:tr>
        <w:trPr>
          <w:cantSplit/>
        </w:trPr>
        <w:tc>
          <w:tcPr>
            <w:tcW w:w="2400" w:type="dxa"/>
            <w:vAlign w:val="center"/>
          </w:tcPr>
          <w:p>
            <w:pPr>
              <w:pStyle w:val="TableBody"/>
            </w:pPr>
            <w:r>
              <w:t xml:space="preserve">证据检索与综合</w:t>
            </w:r>
          </w:p>
        </w:tc>
        <w:tc>
          <w:tcPr>
            <w:tcW w:w="3000" w:type="dxa"/>
            <w:vAlign w:val="center"/>
          </w:tcPr>
          <w:p>
            <w:pPr>
              <w:pStyle w:val="TableBody"/>
            </w:pPr>
            <w:r>
              <w:t xml:space="preserve">哪些材料支持或反驳预测</w:t>
            </w:r>
          </w:p>
        </w:tc>
        <w:tc>
          <w:tcPr>
            <w:tcW w:w="3960" w:type="dxa"/>
            <w:vAlign w:val="center"/>
          </w:tcPr>
          <w:p>
            <w:pPr>
              <w:pStyle w:val="TableBody"/>
            </w:pPr>
            <w:r>
              <w:t xml:space="preserve">src/retrieval/ 等</w:t>
            </w:r>
          </w:p>
        </w:tc>
      </w:tr>
    </w:tbl>
    <w:p>
      <w:pPr>
        <w:pStyle w:val="TableAfter"/>
      </w:pPr>
      <w:r>
        <w:t xml:space="preserve"/>
      </w:r>
    </w:p>
    <w:p>
      <w:pPr>
        <w:pStyle w:val="Normal"/>
      </w:pPr>
      <w:r>
        <w:t xml:space="preserve">大模型擅长组织技术语义。例如，从机器人与感知、通信技术联系增加，解释多机器人协作的技术基础，再识别非结构化环境、安全和调度瓶颈，形成阶段性情景。但从“共现增加”到“未来实现突破”包含假设，必须明确标注。</w:t>
      </w:r>
    </w:p>
    <w:p>
      <w:pPr>
        <w:pStyle w:val="Heading2"/>
      </w:pPr>
      <w:r>
        <w:t xml:space="preserve">3.2 定量融合预测</w:t>
      </w:r>
    </w:p>
    <w:p>
      <w:pPr>
        <w:pStyle w:val="Normal"/>
      </w:pPr>
      <w:r>
        <w:t xml:space="preserve">研究模块的计算链路为：专利—IPC 归属数据 → 按时间构建 IPC 共现网络 → 构建候选 IPC 对 → 提取特征 → 训练模型、比较基线并进行时间验证 → 输出排名、校准概率和不确定性。</w:t>
      </w:r>
    </w:p>
    <w:p>
      <w:pPr>
        <w:pStyle w:val="Normal"/>
      </w:pPr>
      <w:r>
        <w:t xml:space="preserve">特征包括共同邻居、Adamic–Adar、资源分配指标、优先连接、节点度变化、边强度变化，以及专利和论文信号。模型模块包含逻辑回归、决策桩、基线比较与 Platt 校准相关实现。</w:t>
      </w:r>
    </w:p>
    <w:p>
      <w:pPr>
        <w:pStyle w:val="Normal"/>
      </w:pPr>
      <w:r>
        <w:t xml:space="preserve">相关代码为 src/research/features.py 和 src/research/models.py。当前简化 API 未调用这条链路。模块存在不代表已经在真实数据上取得有效预测成绩，仍需检查训练、验证和校准产物。</w:t>
      </w:r>
    </w:p>
    <w:p>
      <w:pPr>
        <w:pStyle w:val="Normal"/>
      </w:pPr>
      <w:r>
        <w:t xml:space="preserve">建议职责分工：定量模型给出受数据约束的分数、排名和概率；大模型解释技术含义，并生成带有假设和边界的情景。大模型不能随意改写定量结果。</w:t>
      </w:r>
    </w:p>
    <w:p>
      <w:pPr>
        <w:pStyle w:val="Heading2"/>
      </w:pPr>
      <w:r>
        <w:t xml:space="preserve">3.3 置信度必须区分含义</w:t>
      </w:r>
    </w:p>
    <w:tbl>
      <w:tblPr>
        <w:tblW w:w="9360" w:type="dxa"/>
        <w:tblInd w:w="120" w:type="dxa"/>
        <w:tblLayout w:type="fixed"/>
        <w:tblBorders>
          <w:top w:val="single" w:sz="4" w:color="CDD5DF"/>
          <w:left w:val="single" w:sz="4" w:color="CDD5DF"/>
          <w:bottom w:val="single" w:sz="4" w:color="CDD5DF"/>
          <w:right w:val="single" w:sz="4" w:color="CDD5DF"/>
          <w:insideH w:val="single" w:sz="4" w:color="CDD5DF"/>
          <w:insideV w:val="single" w:sz="4" w:color="CDD5DF"/>
        </w:tblBorders>
        <w:tblCellMar>
          <w:top w:w="80" w:type="dxa"/>
          <w:bottom w:w="80" w:type="dxa"/>
          <w:start w:w="120" w:type="dxa"/>
          <w:end w:w="120" w:type="dxa"/>
        </w:tblCellMar>
      </w:tblPr>
      <w:tblGrid>
        <w:gridCol w:w="2400"/>
        <w:gridCol w:w="3000"/>
        <w:gridCol w:w="3960"/>
      </w:tblGrid>
      <w:tr>
        <w:trPr>
          <w:cantSplit/>
          <w:tblHeader/>
        </w:trPr>
        <w:tc>
          <w:tcPr>
            <w:tcW w:w="2400" w:type="dxa"/>
            <w:vAlign w:val="center"/>
            <w:shd w:fill="E8EEF5"/>
          </w:tcPr>
          <w:p>
            <w:pPr>
              <w:pStyle w:val="TableHead"/>
            </w:pPr>
            <w:r>
              <w:t xml:space="preserve">指标</w:t>
            </w:r>
          </w:p>
        </w:tc>
        <w:tc>
          <w:tcPr>
            <w:tcW w:w="3000" w:type="dxa"/>
            <w:vAlign w:val="center"/>
            <w:shd w:fill="E8EEF5"/>
          </w:tcPr>
          <w:p>
            <w:pPr>
              <w:pStyle w:val="TableHead"/>
            </w:pPr>
            <w:r>
              <w:t xml:space="preserve">含义</w:t>
            </w:r>
          </w:p>
        </w:tc>
        <w:tc>
          <w:tcPr>
            <w:tcW w:w="3960" w:type="dxa"/>
            <w:vAlign w:val="center"/>
            <w:shd w:fill="E8EEF5"/>
          </w:tcPr>
          <w:p>
            <w:pPr>
              <w:pStyle w:val="TableHead"/>
            </w:pPr>
            <w:r>
              <w:t xml:space="preserve">解释边界</w:t>
            </w:r>
          </w:p>
        </w:tc>
      </w:tr>
      <w:tr>
        <w:trPr>
          <w:cantSplit/>
        </w:trPr>
        <w:tc>
          <w:tcPr>
            <w:tcW w:w="2400" w:type="dxa"/>
            <w:vAlign w:val="center"/>
          </w:tcPr>
          <w:p>
            <w:pPr>
              <w:pStyle w:val="TableBody"/>
            </w:pPr>
            <w:r>
              <w:t xml:space="preserve">模型自评分</w:t>
            </w:r>
          </w:p>
        </w:tc>
        <w:tc>
          <w:tcPr>
            <w:tcW w:w="3000" w:type="dxa"/>
            <w:vAlign w:val="center"/>
          </w:tcPr>
          <w:p>
            <w:pPr>
              <w:pStyle w:val="TableBody"/>
            </w:pPr>
            <w:r>
              <w:t xml:space="preserve">模型对自身结论的主观评价</w:t>
            </w:r>
          </w:p>
        </w:tc>
        <w:tc>
          <w:tcPr>
            <w:tcW w:w="3960" w:type="dxa"/>
            <w:vAlign w:val="center"/>
          </w:tcPr>
          <w:p>
            <w:pPr>
              <w:pStyle w:val="TableBody"/>
            </w:pPr>
            <w:r>
              <w:t xml:space="preserve">不等于预测准确率</w:t>
            </w:r>
          </w:p>
        </w:tc>
      </w:tr>
      <w:tr>
        <w:trPr>
          <w:cantSplit/>
        </w:trPr>
        <w:tc>
          <w:tcPr>
            <w:tcW w:w="2400" w:type="dxa"/>
            <w:vAlign w:val="center"/>
          </w:tcPr>
          <w:p>
            <w:pPr>
              <w:pStyle w:val="TableBody"/>
            </w:pPr>
            <w:r>
              <w:t xml:space="preserve">多次生成一致性</w:t>
            </w:r>
          </w:p>
        </w:tc>
        <w:tc>
          <w:tcPr>
            <w:tcW w:w="3000" w:type="dxa"/>
            <w:vAlign w:val="center"/>
          </w:tcPr>
          <w:p>
            <w:pPr>
              <w:pStyle w:val="TableBody"/>
            </w:pPr>
            <w:r>
              <w:t xml:space="preserve">改变采样后输出的稳定程度</w:t>
            </w:r>
          </w:p>
        </w:tc>
        <w:tc>
          <w:tcPr>
            <w:tcW w:w="3960" w:type="dxa"/>
            <w:vAlign w:val="center"/>
          </w:tcPr>
          <w:p>
            <w:pPr>
              <w:pStyle w:val="TableBody"/>
            </w:pPr>
            <w:r>
              <w:t xml:space="preserve">一致不代表真实</w:t>
            </w:r>
          </w:p>
        </w:tc>
      </w:tr>
      <w:tr>
        <w:trPr>
          <w:cantSplit/>
        </w:trPr>
        <w:tc>
          <w:tcPr>
            <w:tcW w:w="2400" w:type="dxa"/>
            <w:vAlign w:val="center"/>
          </w:tcPr>
          <w:p>
            <w:pPr>
              <w:pStyle w:val="TableBody"/>
            </w:pPr>
            <w:r>
              <w:t xml:space="preserve">证据支持度</w:t>
            </w:r>
          </w:p>
        </w:tc>
        <w:tc>
          <w:tcPr>
            <w:tcW w:w="3000" w:type="dxa"/>
            <w:vAlign w:val="center"/>
          </w:tcPr>
          <w:p>
            <w:pPr>
              <w:pStyle w:val="TableBody"/>
            </w:pPr>
            <w:r>
              <w:t xml:space="preserve">来源是否充分、可靠且支持结论</w:t>
            </w:r>
          </w:p>
        </w:tc>
        <w:tc>
          <w:tcPr>
            <w:tcW w:w="3960" w:type="dxa"/>
            <w:vAlign w:val="center"/>
          </w:tcPr>
          <w:p>
            <w:pPr>
              <w:pStyle w:val="TableBody"/>
            </w:pPr>
            <w:r>
              <w:t xml:space="preserve">需检查独立来源与反证</w:t>
            </w:r>
          </w:p>
        </w:tc>
      </w:tr>
      <w:tr>
        <w:trPr>
          <w:cantSplit/>
        </w:trPr>
        <w:tc>
          <w:tcPr>
            <w:tcW w:w="2400" w:type="dxa"/>
            <w:vAlign w:val="center"/>
          </w:tcPr>
          <w:p>
            <w:pPr>
              <w:pStyle w:val="TableBody"/>
            </w:pPr>
            <w:r>
              <w:t xml:space="preserve">校准概率</w:t>
            </w:r>
          </w:p>
        </w:tc>
        <w:tc>
          <w:tcPr>
            <w:tcW w:w="3000" w:type="dxa"/>
            <w:vAlign w:val="center"/>
          </w:tcPr>
          <w:p>
            <w:pPr>
              <w:pStyle w:val="TableBody"/>
            </w:pPr>
            <w:r>
              <w:t xml:space="preserve">明确事件定义下估计的发生概率</w:t>
            </w:r>
          </w:p>
        </w:tc>
        <w:tc>
          <w:tcPr>
            <w:tcW w:w="3960" w:type="dxa"/>
            <w:vAlign w:val="center"/>
          </w:tcPr>
          <w:p>
            <w:pPr>
              <w:pStyle w:val="TableBody"/>
            </w:pPr>
            <w:r>
              <w:t xml:space="preserve">需有效历史验证与校准</w:t>
            </w:r>
          </w:p>
        </w:tc>
      </w:tr>
    </w:tbl>
    <w:p>
      <w:pPr>
        <w:pStyle w:val="TableAfter"/>
      </w:pPr>
      <w:r>
        <w:t xml:space="preserve"/>
      </w:r>
    </w:p>
    <w:p>
      <w:pPr>
        <w:pStyle w:val="Normal"/>
      </w:pPr>
      <w:r>
        <w:t xml:space="preserve">当前主链路 confidence 是模型生成的 0—100 数值。旧版自洽性模块使用多次输出的相似程度计算一致性，其中包含文本相似度方法。这两者都不能直接解释为未来发生概率，不能将“自评分 85”表述为“准确率 85%”。</w:t>
      </w:r>
    </w:p>
    <w:p>
      <w:pPr>
        <w:pStyle w:val="Heading1"/>
      </w:pPr>
      <w:r>
        <w:t xml:space="preserve">四、LangChain 与 LangGraph 的作用</w:t>
      </w:r>
    </w:p>
    <w:p>
      <w:pPr>
        <w:pStyle w:val="Heading2"/>
      </w:pPr>
      <w:r>
        <w:t xml:space="preserve">4.1 两者的分工</w:t>
      </w:r>
    </w:p>
    <w:p>
      <w:pPr>
        <w:pStyle w:val="Normal"/>
      </w:pPr>
      <w:r>
        <w:t xml:space="preserve">LangChain 主要解决组件组合，统一提示词、模型接口、检索器和结构化输出。LangGraph 主要解决流程与状态管理，用节点、边和共享状态表达多步骤任务；持久化恢复仍需配置检查点机制。[1]</w:t>
      </w:r>
    </w:p>
    <w:tbl>
      <w:tblPr>
        <w:tblW w:w="9360" w:type="dxa"/>
        <w:tblInd w:w="120" w:type="dxa"/>
        <w:tblLayout w:type="fixed"/>
        <w:tblBorders>
          <w:top w:val="single" w:sz="4" w:color="CDD5DF"/>
          <w:left w:val="single" w:sz="4" w:color="CDD5DF"/>
          <w:bottom w:val="single" w:sz="4" w:color="CDD5DF"/>
          <w:right w:val="single" w:sz="4" w:color="CDD5DF"/>
          <w:insideH w:val="single" w:sz="4" w:color="CDD5DF"/>
          <w:insideV w:val="single" w:sz="4" w:color="CDD5DF"/>
        </w:tblBorders>
        <w:tblCellMar>
          <w:top w:w="80" w:type="dxa"/>
          <w:bottom w:w="80" w:type="dxa"/>
          <w:start w:w="120" w:type="dxa"/>
          <w:end w:w="120" w:type="dxa"/>
        </w:tblCellMar>
      </w:tblPr>
      <w:tblGrid>
        <w:gridCol w:w="3600"/>
        <w:gridCol w:w="5760"/>
      </w:tblGrid>
      <w:tr>
        <w:trPr>
          <w:cantSplit/>
          <w:tblHeader/>
        </w:trPr>
        <w:tc>
          <w:tcPr>
            <w:tcW w:w="3600" w:type="dxa"/>
            <w:vAlign w:val="center"/>
            <w:shd w:fill="E8EEF5"/>
          </w:tcPr>
          <w:p>
            <w:pPr>
              <w:pStyle w:val="TableHead"/>
            </w:pPr>
            <w:r>
              <w:t xml:space="preserve">能力</w:t>
            </w:r>
          </w:p>
        </w:tc>
        <w:tc>
          <w:tcPr>
            <w:tcW w:w="5760" w:type="dxa"/>
            <w:vAlign w:val="center"/>
            <w:shd w:fill="E8EEF5"/>
          </w:tcPr>
          <w:p>
            <w:pPr>
              <w:pStyle w:val="TableHead"/>
            </w:pPr>
            <w:r>
              <w:t xml:space="preserve">项目用途</w:t>
            </w:r>
          </w:p>
        </w:tc>
      </w:tr>
      <w:tr>
        <w:trPr>
          <w:cantSplit/>
        </w:trPr>
        <w:tc>
          <w:tcPr>
            <w:tcW w:w="3600" w:type="dxa"/>
            <w:vAlign w:val="center"/>
          </w:tcPr>
          <w:p>
            <w:pPr>
              <w:pStyle w:val="TableBody"/>
            </w:pPr>
            <w:r>
              <w:t xml:space="preserve">Prompt Template</w:t>
            </w:r>
          </w:p>
        </w:tc>
        <w:tc>
          <w:tcPr>
            <w:tcW w:w="5760" w:type="dxa"/>
            <w:vAlign w:val="center"/>
          </w:tcPr>
          <w:p>
            <w:pPr>
              <w:pStyle w:val="TableBody"/>
            </w:pPr>
            <w:r>
              <w:t xml:space="preserve">按主题、证据和角色生成提示词</w:t>
            </w:r>
          </w:p>
        </w:tc>
      </w:tr>
      <w:tr>
        <w:trPr>
          <w:cantSplit/>
        </w:trPr>
        <w:tc>
          <w:tcPr>
            <w:tcW w:w="3600" w:type="dxa"/>
            <w:vAlign w:val="center"/>
          </w:tcPr>
          <w:p>
            <w:pPr>
              <w:pStyle w:val="TableBody"/>
            </w:pPr>
            <w:r>
              <w:t xml:space="preserve">Chat Model</w:t>
            </w:r>
          </w:p>
        </w:tc>
        <w:tc>
          <w:tcPr>
            <w:tcW w:w="5760" w:type="dxa"/>
            <w:vAlign w:val="center"/>
          </w:tcPr>
          <w:p>
            <w:pPr>
              <w:pStyle w:val="TableBody"/>
            </w:pPr>
            <w:r>
              <w:t xml:space="preserve">统一模型提供方的调用接口</w:t>
            </w:r>
          </w:p>
        </w:tc>
      </w:tr>
      <w:tr>
        <w:trPr>
          <w:cantSplit/>
        </w:trPr>
        <w:tc>
          <w:tcPr>
            <w:tcW w:w="3600" w:type="dxa"/>
            <w:vAlign w:val="center"/>
          </w:tcPr>
          <w:p>
            <w:pPr>
              <w:pStyle w:val="TableBody"/>
            </w:pPr>
            <w:r>
              <w:t xml:space="preserve">Runnable</w:t>
            </w:r>
          </w:p>
        </w:tc>
        <w:tc>
          <w:tcPr>
            <w:tcW w:w="5760" w:type="dxa"/>
            <w:vAlign w:val="center"/>
          </w:tcPr>
          <w:p>
            <w:pPr>
              <w:pStyle w:val="TableBody"/>
            </w:pPr>
            <w:r>
              <w:t xml:space="preserve">组合格式转换、提示词、模型和输出处理</w:t>
            </w:r>
          </w:p>
        </w:tc>
      </w:tr>
      <w:tr>
        <w:trPr>
          <w:cantSplit/>
        </w:trPr>
        <w:tc>
          <w:tcPr>
            <w:tcW w:w="3600" w:type="dxa"/>
            <w:vAlign w:val="center"/>
          </w:tcPr>
          <w:p>
            <w:pPr>
              <w:pStyle w:val="TableBody"/>
            </w:pPr>
            <w:r>
              <w:t xml:space="preserve">Structured Output</w:t>
            </w:r>
          </w:p>
        </w:tc>
        <w:tc>
          <w:tcPr>
            <w:tcW w:w="5760" w:type="dxa"/>
            <w:vAlign w:val="center"/>
          </w:tcPr>
          <w:p>
            <w:pPr>
              <w:pStyle w:val="TableBody"/>
            </w:pPr>
            <w:r>
              <w:t xml:space="preserve">将输出转成约定数据结构</w:t>
            </w:r>
          </w:p>
        </w:tc>
      </w:tr>
      <w:tr>
        <w:trPr>
          <w:cantSplit/>
        </w:trPr>
        <w:tc>
          <w:tcPr>
            <w:tcW w:w="3600" w:type="dxa"/>
            <w:vAlign w:val="center"/>
          </w:tcPr>
          <w:p>
            <w:pPr>
              <w:pStyle w:val="TableBody"/>
            </w:pPr>
            <w:r>
              <w:t xml:space="preserve">Retriever</w:t>
            </w:r>
          </w:p>
        </w:tc>
        <w:tc>
          <w:tcPr>
            <w:tcW w:w="5760" w:type="dxa"/>
            <w:vAlign w:val="center"/>
          </w:tcPr>
          <w:p>
            <w:pPr>
              <w:pStyle w:val="TableBody"/>
            </w:pPr>
            <w:r>
              <w:t xml:space="preserve">检索相关论文、专利与材料</w:t>
            </w:r>
          </w:p>
        </w:tc>
      </w:tr>
      <w:tr>
        <w:trPr>
          <w:cantSplit/>
        </w:trPr>
        <w:tc>
          <w:tcPr>
            <w:tcW w:w="3600" w:type="dxa"/>
            <w:vAlign w:val="center"/>
          </w:tcPr>
          <w:p>
            <w:pPr>
              <w:pStyle w:val="TableBody"/>
            </w:pPr>
            <w:r>
              <w:t xml:space="preserve">LangGraph State</w:t>
            </w:r>
          </w:p>
        </w:tc>
        <w:tc>
          <w:tcPr>
            <w:tcW w:w="5760" w:type="dxa"/>
            <w:vAlign w:val="center"/>
          </w:tcPr>
          <w:p>
            <w:pPr>
              <w:pStyle w:val="TableBody"/>
            </w:pPr>
            <w:r>
              <w:t xml:space="preserve">保存证据、预测、评审和路线图</w:t>
            </w:r>
          </w:p>
        </w:tc>
      </w:tr>
      <w:tr>
        <w:trPr>
          <w:cantSplit/>
        </w:trPr>
        <w:tc>
          <w:tcPr>
            <w:tcW w:w="3600" w:type="dxa"/>
            <w:vAlign w:val="center"/>
          </w:tcPr>
          <w:p>
            <w:pPr>
              <w:pStyle w:val="TableBody"/>
            </w:pPr>
            <w:r>
              <w:t xml:space="preserve">Conditional Edge</w:t>
            </w:r>
          </w:p>
        </w:tc>
        <w:tc>
          <w:tcPr>
            <w:tcW w:w="5760" w:type="dxa"/>
            <w:vAlign w:val="center"/>
          </w:tcPr>
          <w:p>
            <w:pPr>
              <w:pStyle w:val="TableBody"/>
            </w:pPr>
            <w:r>
              <w:t xml:space="preserve">决定继续、修正、补检索或人工复核</w:t>
            </w:r>
          </w:p>
        </w:tc>
      </w:tr>
      <w:tr>
        <w:trPr>
          <w:cantSplit/>
        </w:trPr>
        <w:tc>
          <w:tcPr>
            <w:tcW w:w="3600" w:type="dxa"/>
            <w:vAlign w:val="center"/>
          </w:tcPr>
          <w:p>
            <w:pPr>
              <w:pStyle w:val="TableBody"/>
            </w:pPr>
            <w:r>
              <w:t xml:space="preserve">Checkpointer</w:t>
            </w:r>
          </w:p>
        </w:tc>
        <w:tc>
          <w:tcPr>
            <w:tcW w:w="5760" w:type="dxa"/>
            <w:vAlign w:val="center"/>
          </w:tcPr>
          <w:p>
            <w:pPr>
              <w:pStyle w:val="TableBody"/>
            </w:pPr>
            <w:r>
              <w:t xml:space="preserve">保存执行状态以支持中断和恢复</w:t>
            </w:r>
          </w:p>
        </w:tc>
      </w:tr>
    </w:tbl>
    <w:p>
      <w:pPr>
        <w:pStyle w:val="TableAfter"/>
      </w:pPr>
      <w:r>
        <w:t xml:space="preserve"/>
      </w:r>
    </w:p>
    <w:p>
      <w:pPr>
        <w:pStyle w:val="Normal"/>
      </w:pPr>
      <w:r>
        <w:t xml:space="preserve">项目锁定 langchain-core==0.3.84、langgraph==0.2.55。后续接入应按这组依赖检查兼容性，不能直接假设新版示例可原样运行。</w:t>
      </w:r>
    </w:p>
    <w:p>
      <w:pPr>
        <w:pStyle w:val="Heading2"/>
      </w:pPr>
      <w:r>
        <w:t xml:space="preserve">4.2 当前接入方式</w:t>
      </w:r>
    </w:p>
    <w:p>
      <w:pPr>
        <w:pStyle w:val="Normal"/>
      </w:pPr>
      <w:r>
        <w:t xml:space="preserve">src/forecast/graph.py 直接使用 StateGraph、节点函数、条件分支和 ForecastState。模型调用仍由 requests 完成，没有经过仓库中的 LangChain 适配器。</w:t>
      </w:r>
    </w:p>
    <w:p>
      <w:pPr>
        <w:pStyle w:val="Normal"/>
      </w:pPr>
      <w:r>
        <w:t xml:space="preserve">准确表述是：当前系统使用 LangGraph 编排预测流程，使用自定义 HTTP 客户端调用大模型。</w:t>
      </w:r>
    </w:p>
    <w:p>
      <w:pPr>
        <w:pStyle w:val="Heading2"/>
      </w:pPr>
      <w:r>
        <w:t xml:space="preserve">4.3 已有 LangChain 适配器</w:t>
      </w:r>
    </w:p>
    <w:p>
      <w:pPr>
        <w:pStyle w:val="Normal"/>
      </w:pPr>
      <w:r>
        <w:t xml:space="preserve">src/research/langchain_adapter.py 将原有客户端封装为 BaseChatModel，利用 ChatPromptTemplate 加载角色提示词，通过 RunnableLambda 实现结构化输出降级处理，并保存提示词版本、校验和及模型配置清单。</w:t>
      </w:r>
    </w:p>
    <w:p>
      <w:pPr>
        <w:pStyle w:val="Normal"/>
      </w:pPr>
      <w:r>
        <w:t xml:space="preserve">适配器还校验证据 ID、IPC、预测年份与科学措辞，对输出错误执行有限次数纠正，可作为后续整合基础。</w:t>
      </w:r>
    </w:p>
    <w:p>
      <w:pPr>
        <w:pStyle w:val="Normal"/>
      </w:pPr>
      <w:r>
        <w:t xml:space="preserve">重新接入前需核对配置是否真正传递给底层客户端：当前默认构造 LLMClient()，清单中的模型名不自动等于实际调用的模型名。</w:t>
      </w:r>
    </w:p>
    <w:p>
      <w:pPr>
        <w:pStyle w:val="Heading2"/>
      </w:pPr>
      <w:r>
        <w:t xml:space="preserve">4.4 结构化输出的边界</w:t>
      </w:r>
    </w:p>
    <w:p>
      <w:pPr>
        <w:pStyle w:val="Normal"/>
      </w:pPr>
      <w:r>
        <w:t xml:space="preserve">当前主链路采用“请求 JSON → 解析 JSON → Pydantic 校验”。这可以检查字段、类型和范围，但不能证明内容真实。</w:t>
      </w:r>
    </w:p>
    <w:p>
      <w:pPr>
        <w:pStyle w:val="Normal"/>
      </w:pPr>
      <w:r>
        <w:t xml:space="preserve">目前提示词未完整注入输出 Schema。模型可能返回合法 JSON，却因缺少字段而校验失败。后续应明确提供字段说明或 JSON Schema，并保留业务校验。提供方原生结构化输出和工具调用等策略的可用性取决于具体模型与集成实现。[2]</w:t>
      </w:r>
    </w:p>
    <w:p>
      <w:pPr>
        <w:pStyle w:val="Heading1"/>
      </w:pPr>
      <w:r>
        <w:t xml:space="preserve">五、现有检索能力与 RAG 差距</w:t>
      </w:r>
    </w:p>
    <w:p>
      <w:pPr>
        <w:pStyle w:val="Normal"/>
      </w:pPr>
      <w:r>
        <w:t xml:space="preserve">RAG（检索增强生成）的核心是：针对任务检索外部证据 → 将证据放入上下文 → 模型基于证据生成结果。RAG 不要求所有数据进入向量库，已有 SQL 数据库也可以成为检索来源；向量检索主要用于语义相关文本召回。[3]</w:t>
      </w:r>
    </w:p>
    <w:p>
      <w:pPr>
        <w:pStyle w:val="Heading2"/>
      </w:pPr>
      <w:r>
        <w:t xml:space="preserve">5.1 已有证据检索服务</w:t>
      </w:r>
    </w:p>
    <w:p>
      <w:pPr>
        <w:pStyle w:val="Normal"/>
      </w:pPr>
      <w:r>
        <w:t xml:space="preserve">src/retrieval/service.py 的 EvidenceRetrievalService 能从主题和材料提取 IPC，按项目范围选择数据集，查询 IPC 年度指标和融合记录，搜索论文，并合并项目材料与阶段分析结果。服务会为证据生成稳定 ID，形成证据包并检查质量。</w:t>
      </w:r>
    </w:p>
    <w:p>
      <w:pPr>
        <w:pStyle w:val="Normal"/>
      </w:pPr>
      <w:r>
        <w:t xml:space="preserve">当前论文搜索主要通过 SQL LIKE 匹配标题、摘要、关键词和作者，再由检索服务排序。它还不是完整的全文语义检索路径。</w:t>
      </w:r>
    </w:p>
    <w:p>
      <w:pPr>
        <w:pStyle w:val="Heading2"/>
      </w:pPr>
      <w:r>
        <w:t xml:space="preserve">5.2 待补齐的环节</w:t>
      </w:r>
    </w:p>
    <w:tbl>
      <w:tblPr>
        <w:tblW w:w="9360" w:type="dxa"/>
        <w:tblInd w:w="120" w:type="dxa"/>
        <w:tblLayout w:type="fixed"/>
        <w:tblBorders>
          <w:top w:val="single" w:sz="4" w:color="CDD5DF"/>
          <w:left w:val="single" w:sz="4" w:color="CDD5DF"/>
          <w:bottom w:val="single" w:sz="4" w:color="CDD5DF"/>
          <w:right w:val="single" w:sz="4" w:color="CDD5DF"/>
          <w:insideH w:val="single" w:sz="4" w:color="CDD5DF"/>
          <w:insideV w:val="single" w:sz="4" w:color="CDD5DF"/>
        </w:tblBorders>
        <w:tblCellMar>
          <w:top w:w="80" w:type="dxa"/>
          <w:bottom w:w="80" w:type="dxa"/>
          <w:start w:w="120" w:type="dxa"/>
          <w:end w:w="120" w:type="dxa"/>
        </w:tblCellMar>
      </w:tblPr>
      <w:tblGrid>
        <w:gridCol w:w="3600"/>
        <w:gridCol w:w="5760"/>
      </w:tblGrid>
      <w:tr>
        <w:trPr>
          <w:cantSplit/>
          <w:tblHeader/>
        </w:trPr>
        <w:tc>
          <w:tcPr>
            <w:tcW w:w="3600" w:type="dxa"/>
            <w:vAlign w:val="center"/>
            <w:shd w:fill="E8EEF5"/>
          </w:tcPr>
          <w:p>
            <w:pPr>
              <w:pStyle w:val="TableHead"/>
            </w:pPr>
            <w:r>
              <w:t xml:space="preserve">环节</w:t>
            </w:r>
          </w:p>
        </w:tc>
        <w:tc>
          <w:tcPr>
            <w:tcW w:w="5760" w:type="dxa"/>
            <w:vAlign w:val="center"/>
            <w:shd w:fill="E8EEF5"/>
          </w:tcPr>
          <w:p>
            <w:pPr>
              <w:pStyle w:val="TableHead"/>
            </w:pPr>
            <w:r>
              <w:t xml:space="preserve">当前情况</w:t>
            </w:r>
          </w:p>
        </w:tc>
      </w:tr>
      <w:tr>
        <w:trPr>
          <w:cantSplit/>
        </w:trPr>
        <w:tc>
          <w:tcPr>
            <w:tcW w:w="3600" w:type="dxa"/>
            <w:vAlign w:val="center"/>
          </w:tcPr>
          <w:p>
            <w:pPr>
              <w:pStyle w:val="TableBody"/>
            </w:pPr>
            <w:r>
              <w:t xml:space="preserve">预测前自动检索</w:t>
            </w:r>
          </w:p>
        </w:tc>
        <w:tc>
          <w:tcPr>
            <w:tcW w:w="5760" w:type="dxa"/>
            <w:vAlign w:val="center"/>
          </w:tcPr>
          <w:p>
            <w:pPr>
              <w:pStyle w:val="TableBody"/>
            </w:pPr>
            <w:r>
              <w:t xml:space="preserve">未接入简化主链路</w:t>
            </w:r>
          </w:p>
        </w:tc>
      </w:tr>
      <w:tr>
        <w:trPr>
          <w:cantSplit/>
        </w:trPr>
        <w:tc>
          <w:tcPr>
            <w:tcW w:w="3600" w:type="dxa"/>
            <w:vAlign w:val="center"/>
          </w:tcPr>
          <w:p>
            <w:pPr>
              <w:pStyle w:val="TableBody"/>
            </w:pPr>
            <w:r>
              <w:t xml:space="preserve">语义向量检索</w:t>
            </w:r>
          </w:p>
        </w:tc>
        <w:tc>
          <w:tcPr>
            <w:tcW w:w="5760" w:type="dxa"/>
            <w:vAlign w:val="center"/>
          </w:tcPr>
          <w:p>
            <w:pPr>
              <w:pStyle w:val="TableBody"/>
            </w:pPr>
            <w:r>
              <w:t xml:space="preserve">当前检索路径未实现</w:t>
            </w:r>
          </w:p>
        </w:tc>
      </w:tr>
      <w:tr>
        <w:trPr>
          <w:cantSplit/>
        </w:trPr>
        <w:tc>
          <w:tcPr>
            <w:tcW w:w="3600" w:type="dxa"/>
            <w:vAlign w:val="center"/>
          </w:tcPr>
          <w:p>
            <w:pPr>
              <w:pStyle w:val="TableBody"/>
            </w:pPr>
            <w:r>
              <w:t xml:space="preserve">全文片段级召回</w:t>
            </w:r>
          </w:p>
        </w:tc>
        <w:tc>
          <w:tcPr>
            <w:tcW w:w="5760" w:type="dxa"/>
            <w:vAlign w:val="center"/>
          </w:tcPr>
          <w:p>
            <w:pPr>
              <w:pStyle w:val="TableBody"/>
            </w:pPr>
            <w:r>
              <w:t xml:space="preserve">现有路径主要返回摘要</w:t>
            </w:r>
          </w:p>
        </w:tc>
      </w:tr>
      <w:tr>
        <w:trPr>
          <w:cantSplit/>
        </w:trPr>
        <w:tc>
          <w:tcPr>
            <w:tcW w:w="3600" w:type="dxa"/>
            <w:vAlign w:val="center"/>
          </w:tcPr>
          <w:p>
            <w:pPr>
              <w:pStyle w:val="TableBody"/>
            </w:pPr>
            <w:r>
              <w:t xml:space="preserve">语义重排</w:t>
            </w:r>
          </w:p>
        </w:tc>
        <w:tc>
          <w:tcPr>
            <w:tcW w:w="5760" w:type="dxa"/>
            <w:vAlign w:val="center"/>
          </w:tcPr>
          <w:p>
            <w:pPr>
              <w:pStyle w:val="TableBody"/>
            </w:pPr>
            <w:r>
              <w:t xml:space="preserve">尚未形成独立阶段</w:t>
            </w:r>
          </w:p>
        </w:tc>
      </w:tr>
      <w:tr>
        <w:trPr>
          <w:cantSplit/>
        </w:trPr>
        <w:tc>
          <w:tcPr>
            <w:tcW w:w="3600" w:type="dxa"/>
            <w:vAlign w:val="center"/>
          </w:tcPr>
          <w:p>
            <w:pPr>
              <w:pStyle w:val="TableBody"/>
            </w:pPr>
            <w:r>
              <w:t xml:space="preserve">逐条预测绑定证据</w:t>
            </w:r>
          </w:p>
        </w:tc>
        <w:tc>
          <w:tcPr>
            <w:tcW w:w="5760" w:type="dxa"/>
            <w:vAlign w:val="center"/>
          </w:tcPr>
          <w:p>
            <w:pPr>
              <w:pStyle w:val="TableBody"/>
            </w:pPr>
            <w:r>
              <w:t xml:space="preserve">当前预测 Schema 缺少对应结构</w:t>
            </w:r>
          </w:p>
        </w:tc>
      </w:tr>
      <w:tr>
        <w:trPr>
          <w:cantSplit/>
        </w:trPr>
        <w:tc>
          <w:tcPr>
            <w:tcW w:w="3600" w:type="dxa"/>
            <w:vAlign w:val="center"/>
          </w:tcPr>
          <w:p>
            <w:pPr>
              <w:pStyle w:val="TableBody"/>
            </w:pPr>
            <w:r>
              <w:t xml:space="preserve">评审后补充检索</w:t>
            </w:r>
          </w:p>
        </w:tc>
        <w:tc>
          <w:tcPr>
            <w:tcW w:w="5760" w:type="dxa"/>
            <w:vAlign w:val="center"/>
          </w:tcPr>
          <w:p>
            <w:pPr>
              <w:pStyle w:val="TableBody"/>
            </w:pPr>
            <w:r>
              <w:t xml:space="preserve">当前修正沿用原有摘要</w:t>
            </w:r>
          </w:p>
        </w:tc>
      </w:tr>
      <w:tr>
        <w:trPr>
          <w:cantSplit/>
        </w:trPr>
        <w:tc>
          <w:tcPr>
            <w:tcW w:w="3600" w:type="dxa"/>
            <w:vAlign w:val="center"/>
          </w:tcPr>
          <w:p>
            <w:pPr>
              <w:pStyle w:val="TableBody"/>
            </w:pPr>
            <w:r>
              <w:t xml:space="preserve">快照绑定预测任务</w:t>
            </w:r>
          </w:p>
        </w:tc>
        <w:tc>
          <w:tcPr>
            <w:tcW w:w="5760" w:type="dxa"/>
            <w:vAlign w:val="center"/>
          </w:tcPr>
          <w:p>
            <w:pPr>
              <w:pStyle w:val="TableBody"/>
            </w:pPr>
            <w:r>
              <w:t xml:space="preserve">其他模块已有基础，需整合</w:t>
            </w:r>
          </w:p>
        </w:tc>
      </w:tr>
    </w:tbl>
    <w:p>
      <w:pPr>
        <w:pStyle w:val="TableAfter"/>
      </w:pPr>
      <w:r>
        <w:t xml:space="preserve"/>
      </w:r>
    </w:p>
    <w:p>
      <w:pPr>
        <w:pStyle w:val="Normal"/>
      </w:pPr>
      <w:r>
        <w:t xml:space="preserve">优先让预测真正使用现有证据库并建立引用关系，再优化语义检索效果。</w:t>
      </w:r>
    </w:p>
    <w:p>
      <w:pPr>
        <w:pStyle w:val="Heading1"/>
      </w:pPr>
      <w:r>
        <w:t xml:space="preserve">六、RAG 落地方案</w:t>
      </w:r>
    </w:p>
    <w:p>
      <w:pPr>
        <w:pStyle w:val="Normal"/>
      </w:pPr>
      <w:r>
        <w:t xml:space="preserve">以下内容是针对项目的建设建议，不是当前已完成功能。建议采用“结构化查询＋文本混合检索＋证据评审”的架构。</w:t>
      </w:r>
    </w:p>
    <w:p>
      <w:pPr>
        <w:pStyle w:val="Heading2"/>
      </w:pPr>
      <w:r>
        <w:t xml:space="preserve">6.1 离线与在线两条链路</w:t>
      </w:r>
    </w:p>
    <w:p>
      <w:pPr>
        <w:pStyle w:val="Normal"/>
      </w:pPr>
      <w:r>
        <w:t xml:space="preserve">离线入库：论文、专利全文和材料 → 解析清洗 → 保留来源与时间 → 语义切分 → 关键词索引与向量索引。IPC 指标和模型产物分别进入结构化数据库。</w:t>
      </w:r>
    </w:p>
    <w:p>
      <w:pPr>
        <w:pStyle w:val="Normal"/>
      </w:pPr>
      <w:r>
        <w:t xml:space="preserve">在线预测：研究主题、截止时间和技术范围 → 查询规划 → 多路召回 → 去重与重排 → 定量和文本证据包 → 质量检查与冻结 → 预测 → 引用及科学评审 → 按需补检索 → 路线图与报告。</w:t>
      </w:r>
    </w:p>
    <w:p>
      <w:pPr>
        <w:pStyle w:val="Heading2"/>
      </w:pPr>
      <w:r>
        <w:t xml:space="preserve">6.2 数据入库与元数据</w:t>
      </w:r>
    </w:p>
    <w:tbl>
      <w:tblPr>
        <w:tblW w:w="9360" w:type="dxa"/>
        <w:tblInd w:w="120" w:type="dxa"/>
        <w:tblLayout w:type="fixed"/>
        <w:tblBorders>
          <w:top w:val="single" w:sz="4" w:color="CDD5DF"/>
          <w:left w:val="single" w:sz="4" w:color="CDD5DF"/>
          <w:bottom w:val="single" w:sz="4" w:color="CDD5DF"/>
          <w:right w:val="single" w:sz="4" w:color="CDD5DF"/>
          <w:insideH w:val="single" w:sz="4" w:color="CDD5DF"/>
          <w:insideV w:val="single" w:sz="4" w:color="CDD5DF"/>
        </w:tblBorders>
        <w:tblCellMar>
          <w:top w:w="80" w:type="dxa"/>
          <w:bottom w:w="80" w:type="dxa"/>
          <w:start w:w="120" w:type="dxa"/>
          <w:end w:w="120" w:type="dxa"/>
        </w:tblCellMar>
      </w:tblPr>
      <w:tblGrid>
        <w:gridCol w:w="2400"/>
        <w:gridCol w:w="3000"/>
        <w:gridCol w:w="3960"/>
      </w:tblGrid>
      <w:tr>
        <w:trPr>
          <w:cantSplit/>
          <w:tblHeader/>
        </w:trPr>
        <w:tc>
          <w:tcPr>
            <w:tcW w:w="2400" w:type="dxa"/>
            <w:vAlign w:val="center"/>
            <w:shd w:fill="E8EEF5"/>
          </w:tcPr>
          <w:p>
            <w:pPr>
              <w:pStyle w:val="TableHead"/>
            </w:pPr>
            <w:r>
              <w:t xml:space="preserve">数据类型</w:t>
            </w:r>
          </w:p>
        </w:tc>
        <w:tc>
          <w:tcPr>
            <w:tcW w:w="3000" w:type="dxa"/>
            <w:vAlign w:val="center"/>
            <w:shd w:fill="E8EEF5"/>
          </w:tcPr>
          <w:p>
            <w:pPr>
              <w:pStyle w:val="TableHead"/>
            </w:pPr>
            <w:r>
              <w:t xml:space="preserve">示例</w:t>
            </w:r>
          </w:p>
        </w:tc>
        <w:tc>
          <w:tcPr>
            <w:tcW w:w="3960" w:type="dxa"/>
            <w:vAlign w:val="center"/>
            <w:shd w:fill="E8EEF5"/>
          </w:tcPr>
          <w:p>
            <w:pPr>
              <w:pStyle w:val="TableHead"/>
            </w:pPr>
            <w:r>
              <w:t xml:space="preserve">处理方式</w:t>
            </w:r>
          </w:p>
        </w:tc>
      </w:tr>
      <w:tr>
        <w:trPr>
          <w:cantSplit/>
        </w:trPr>
        <w:tc>
          <w:tcPr>
            <w:tcW w:w="2400" w:type="dxa"/>
            <w:vAlign w:val="center"/>
          </w:tcPr>
          <w:p>
            <w:pPr>
              <w:pStyle w:val="TableBody"/>
            </w:pPr>
            <w:r>
              <w:t xml:space="preserve">结构化数据</w:t>
            </w:r>
          </w:p>
        </w:tc>
        <w:tc>
          <w:tcPr>
            <w:tcW w:w="3000" w:type="dxa"/>
            <w:vAlign w:val="center"/>
          </w:tcPr>
          <w:p>
            <w:pPr>
              <w:pStyle w:val="TableBody"/>
            </w:pPr>
            <w:r>
              <w:t xml:space="preserve">年份、IPC、专利数、网络指标</w:t>
            </w:r>
          </w:p>
        </w:tc>
        <w:tc>
          <w:tcPr>
            <w:tcW w:w="3960" w:type="dxa"/>
            <w:vAlign w:val="center"/>
          </w:tcPr>
          <w:p>
            <w:pPr>
              <w:pStyle w:val="TableBody"/>
            </w:pPr>
            <w:r>
              <w:t xml:space="preserve">SQL 查询与确定性计算</w:t>
            </w:r>
          </w:p>
        </w:tc>
      </w:tr>
      <w:tr>
        <w:trPr>
          <w:cantSplit/>
        </w:trPr>
        <w:tc>
          <w:tcPr>
            <w:tcW w:w="2400" w:type="dxa"/>
            <w:vAlign w:val="center"/>
          </w:tcPr>
          <w:p>
            <w:pPr>
              <w:pStyle w:val="TableBody"/>
            </w:pPr>
            <w:r>
              <w:t xml:space="preserve">非结构化文本</w:t>
            </w:r>
          </w:p>
        </w:tc>
        <w:tc>
          <w:tcPr>
            <w:tcW w:w="3000" w:type="dxa"/>
            <w:vAlign w:val="center"/>
          </w:tcPr>
          <w:p>
            <w:pPr>
              <w:pStyle w:val="TableBody"/>
            </w:pPr>
            <w:r>
              <w:t xml:space="preserve">论文、专利摘要、项目材料</w:t>
            </w:r>
          </w:p>
        </w:tc>
        <w:tc>
          <w:tcPr>
            <w:tcW w:w="3960" w:type="dxa"/>
            <w:vAlign w:val="center"/>
          </w:tcPr>
          <w:p>
            <w:pPr>
              <w:pStyle w:val="TableBody"/>
            </w:pPr>
            <w:r>
              <w:t xml:space="preserve">解析、切分和文本检索</w:t>
            </w:r>
          </w:p>
        </w:tc>
      </w:tr>
      <w:tr>
        <w:trPr>
          <w:cantSplit/>
        </w:trPr>
        <w:tc>
          <w:tcPr>
            <w:tcW w:w="2400" w:type="dxa"/>
            <w:vAlign w:val="center"/>
          </w:tcPr>
          <w:p>
            <w:pPr>
              <w:pStyle w:val="TableBody"/>
            </w:pPr>
            <w:r>
              <w:t xml:space="preserve">派生产物</w:t>
            </w:r>
          </w:p>
        </w:tc>
        <w:tc>
          <w:tcPr>
            <w:tcW w:w="3000" w:type="dxa"/>
            <w:vAlign w:val="center"/>
          </w:tcPr>
          <w:p>
            <w:pPr>
              <w:pStyle w:val="TableBody"/>
            </w:pPr>
            <w:r>
              <w:t xml:space="preserve">排名、验证结果、阶段趋势</w:t>
            </w:r>
          </w:p>
        </w:tc>
        <w:tc>
          <w:tcPr>
            <w:tcW w:w="3960" w:type="dxa"/>
            <w:vAlign w:val="center"/>
          </w:tcPr>
          <w:p>
            <w:pPr>
              <w:pStyle w:val="TableBody"/>
            </w:pPr>
            <w:r>
              <w:t xml:space="preserve">保留输入版本与计算方法</w:t>
            </w:r>
          </w:p>
        </w:tc>
      </w:tr>
    </w:tbl>
    <w:p>
      <w:pPr>
        <w:pStyle w:val="TableAfter"/>
      </w:pPr>
      <w:r>
        <w:t xml:space="preserve"/>
      </w:r>
    </w:p>
    <w:p>
      <w:pPr>
        <w:pStyle w:val="Normal"/>
      </w:pPr>
      <w:r>
        <w:t xml:space="preserve">文件处理建议为：上传 → 去重 → 文本提取 → 质量检查 → 必要时 OCR → 章节和页码识别 → 切分 → 建索引。</w:t>
      </w:r>
    </w:p>
    <w:p>
      <w:pPr>
        <w:pStyle w:val="Normal"/>
      </w:pPr>
      <w:r>
        <w:t xml:space="preserve">每个片段至少保留 document_id、chunk_id、source_type、title、DOI 或专利标识、published_at、available_at、page、section、ipc_codes、technology_ids、dataset_id、dataset_version、content_hash 和 text。</w:t>
      </w:r>
    </w:p>
    <w:p>
      <w:pPr>
        <w:pStyle w:val="Normal"/>
      </w:pPr>
      <w:r>
        <w:t xml:space="preserve">published_at 表示发表时间，available_at 表示实际可获得时间。历史预测必须按当时可获得的信息截断。</w:t>
      </w:r>
    </w:p>
    <w:p>
      <w:pPr>
        <w:pStyle w:val="Heading2"/>
      </w:pPr>
      <w:r>
        <w:t xml:space="preserve">6.3 切分策略</w:t>
      </w:r>
    </w:p>
    <w:p>
      <w:pPr>
        <w:pStyle w:val="Normal"/>
      </w:pPr>
      <w:r>
        <w:t xml:space="preserve">论文按章节与段落切分，保留实验结果和局限性。专利区分摘要、权利要求和实施方式，避免将权利要求覆盖范围等同于已实现性能。表格保留表头、单位、年份及注释，防止数字与含义脱离。</w:t>
      </w:r>
    </w:p>
    <w:p>
      <w:pPr>
        <w:pStyle w:val="Normal"/>
      </w:pPr>
      <w:r>
        <w:t xml:space="preserve">可从每块约 400—800 tokens、少量重叠开始实验，再按检索评估调整。这是初始配置，不是固定最优值。</w:t>
      </w:r>
    </w:p>
    <w:p>
      <w:pPr>
        <w:pStyle w:val="Heading2"/>
      </w:pPr>
      <w:r>
        <w:t xml:space="preserve">6.4 查询规划</w:t>
      </w:r>
    </w:p>
    <w:p>
      <w:pPr>
        <w:pStyle w:val="Normal"/>
      </w:pPr>
      <w:r>
        <w:t xml:space="preserve">以“机器人集群协同”为例，应把预测任务拆为证据问题，而不只搜索主题名称。</w:t>
      </w:r>
    </w:p>
    <w:tbl>
      <w:tblPr>
        <w:tblW w:w="9360" w:type="dxa"/>
        <w:tblInd w:w="120" w:type="dxa"/>
        <w:tblLayout w:type="fixed"/>
        <w:tblBorders>
          <w:top w:val="single" w:sz="4" w:color="CDD5DF"/>
          <w:left w:val="single" w:sz="4" w:color="CDD5DF"/>
          <w:bottom w:val="single" w:sz="4" w:color="CDD5DF"/>
          <w:right w:val="single" w:sz="4" w:color="CDD5DF"/>
          <w:insideH w:val="single" w:sz="4" w:color="CDD5DF"/>
          <w:insideV w:val="single" w:sz="4" w:color="CDD5DF"/>
        </w:tblBorders>
        <w:tblCellMar>
          <w:top w:w="80" w:type="dxa"/>
          <w:bottom w:w="80" w:type="dxa"/>
          <w:start w:w="120" w:type="dxa"/>
          <w:end w:w="120" w:type="dxa"/>
        </w:tblCellMar>
      </w:tblPr>
      <w:tblGrid>
        <w:gridCol w:w="3600"/>
        <w:gridCol w:w="5760"/>
      </w:tblGrid>
      <w:tr>
        <w:trPr>
          <w:cantSplit/>
          <w:tblHeader/>
        </w:trPr>
        <w:tc>
          <w:tcPr>
            <w:tcW w:w="3600" w:type="dxa"/>
            <w:vAlign w:val="center"/>
            <w:shd w:fill="E8EEF5"/>
          </w:tcPr>
          <w:p>
            <w:pPr>
              <w:pStyle w:val="TableHead"/>
            </w:pPr>
            <w:r>
              <w:t xml:space="preserve">证据问题</w:t>
            </w:r>
          </w:p>
        </w:tc>
        <w:tc>
          <w:tcPr>
            <w:tcW w:w="5760" w:type="dxa"/>
            <w:vAlign w:val="center"/>
            <w:shd w:fill="E8EEF5"/>
          </w:tcPr>
          <w:p>
            <w:pPr>
              <w:pStyle w:val="TableHead"/>
            </w:pPr>
            <w:r>
              <w:t xml:space="preserve">查询方向</w:t>
            </w:r>
          </w:p>
        </w:tc>
      </w:tr>
      <w:tr>
        <w:trPr>
          <w:cantSplit/>
        </w:trPr>
        <w:tc>
          <w:tcPr>
            <w:tcW w:w="3600" w:type="dxa"/>
            <w:vAlign w:val="center"/>
          </w:tcPr>
          <w:p>
            <w:pPr>
              <w:pStyle w:val="TableBody"/>
            </w:pPr>
            <w:r>
              <w:t xml:space="preserve">技术基础</w:t>
            </w:r>
          </w:p>
        </w:tc>
        <w:tc>
          <w:tcPr>
            <w:tcW w:w="5760" w:type="dxa"/>
            <w:vAlign w:val="center"/>
          </w:tcPr>
          <w:p>
            <w:pPr>
              <w:pStyle w:val="TableBody"/>
            </w:pPr>
            <w:r>
              <w:t xml:space="preserve">多机器人施工、协同定位、任务分配</w:t>
            </w:r>
          </w:p>
        </w:tc>
      </w:tr>
      <w:tr>
        <w:trPr>
          <w:cantSplit/>
        </w:trPr>
        <w:tc>
          <w:tcPr>
            <w:tcW w:w="3600" w:type="dxa"/>
            <w:vAlign w:val="center"/>
          </w:tcPr>
          <w:p>
            <w:pPr>
              <w:pStyle w:val="TableBody"/>
            </w:pPr>
            <w:r>
              <w:t xml:space="preserve">主要瓶颈</w:t>
            </w:r>
          </w:p>
        </w:tc>
        <w:tc>
          <w:tcPr>
            <w:tcW w:w="5760" w:type="dxa"/>
            <w:vAlign w:val="center"/>
          </w:tcPr>
          <w:p>
            <w:pPr>
              <w:pStyle w:val="TableBody"/>
            </w:pPr>
            <w:r>
              <w:t xml:space="preserve">非结构化环境、安全、人机协作</w:t>
            </w:r>
          </w:p>
        </w:tc>
      </w:tr>
      <w:tr>
        <w:trPr>
          <w:cantSplit/>
        </w:trPr>
        <w:tc>
          <w:tcPr>
            <w:tcW w:w="3600" w:type="dxa"/>
            <w:vAlign w:val="center"/>
          </w:tcPr>
          <w:p>
            <w:pPr>
              <w:pStyle w:val="TableBody"/>
            </w:pPr>
            <w:r>
              <w:t xml:space="preserve">潜在融合</w:t>
            </w:r>
          </w:p>
        </w:tc>
        <w:tc>
          <w:tcPr>
            <w:tcW w:w="5760" w:type="dxa"/>
            <w:vAlign w:val="center"/>
          </w:tcPr>
          <w:p>
            <w:pPr>
              <w:pStyle w:val="TableBody"/>
            </w:pPr>
            <w:r>
              <w:t xml:space="preserve">感知、通信、导航、数字孪生</w:t>
            </w:r>
          </w:p>
        </w:tc>
      </w:tr>
      <w:tr>
        <w:trPr>
          <w:cantSplit/>
        </w:trPr>
        <w:tc>
          <w:tcPr>
            <w:tcW w:w="3600" w:type="dxa"/>
            <w:vAlign w:val="center"/>
          </w:tcPr>
          <w:p>
            <w:pPr>
              <w:pStyle w:val="TableBody"/>
            </w:pPr>
            <w:r>
              <w:t xml:space="preserve">落地证据</w:t>
            </w:r>
          </w:p>
        </w:tc>
        <w:tc>
          <w:tcPr>
            <w:tcW w:w="5760" w:type="dxa"/>
            <w:vAlign w:val="center"/>
          </w:tcPr>
          <w:p>
            <w:pPr>
              <w:pStyle w:val="TableBody"/>
            </w:pPr>
            <w:r>
              <w:t xml:space="preserve">现场试验、工程示范、成本、可靠性</w:t>
            </w:r>
          </w:p>
        </w:tc>
      </w:tr>
      <w:tr>
        <w:trPr>
          <w:cantSplit/>
        </w:trPr>
        <w:tc>
          <w:tcPr>
            <w:tcW w:w="3600" w:type="dxa"/>
            <w:vAlign w:val="center"/>
          </w:tcPr>
          <w:p>
            <w:pPr>
              <w:pStyle w:val="TableBody"/>
            </w:pPr>
            <w:r>
              <w:t xml:space="preserve">反例与限制</w:t>
            </w:r>
          </w:p>
        </w:tc>
        <w:tc>
          <w:tcPr>
            <w:tcW w:w="5760" w:type="dxa"/>
            <w:vAlign w:val="center"/>
          </w:tcPr>
          <w:p>
            <w:pPr>
              <w:pStyle w:val="TableBody"/>
            </w:pPr>
            <w:r>
              <w:t xml:space="preserve">失败案例、性能边界、扩展困难</w:t>
            </w:r>
          </w:p>
        </w:tc>
      </w:tr>
    </w:tbl>
    <w:p>
      <w:pPr>
        <w:pStyle w:val="TableAfter"/>
      </w:pPr>
      <w:r>
        <w:t xml:space="preserve"/>
      </w:r>
    </w:p>
    <w:p>
      <w:pPr>
        <w:pStyle w:val="Normal"/>
      </w:pPr>
      <w:r>
        <w:t xml:space="preserve">可扩展中英文同义词，但不得改变原定技术范围和时间范围。</w:t>
      </w:r>
    </w:p>
    <w:p>
      <w:pPr>
        <w:pStyle w:val="Heading2"/>
      </w:pPr>
      <w:r>
        <w:t xml:space="preserve">6.5 多路召回、融合与重排</w:t>
      </w:r>
    </w:p>
    <w:p>
      <w:pPr>
        <w:pStyle w:val="Normal"/>
      </w:pPr>
      <w:r>
        <w:t xml:space="preserve">结构化查询精确获取 IPC、年份、样本量、指标与模型结果；关键词检索处理编码、术语和精确短语；向量检索处理同义表达、跨语言与语义相近文本。三路结果汇总后去重、融合排名并重排。</w:t>
      </w:r>
    </w:p>
    <w:p>
      <w:pPr>
        <w:pStyle w:val="Normal"/>
      </w:pPr>
      <w:r>
        <w:t xml:space="preserve">可以从每路召回几十条、重排后保留少量高价值片段开始实验。最终上下文数量由相关性、覆盖度和 token 预算共同决定。</w:t>
      </w:r>
    </w:p>
    <w:p>
      <w:pPr>
        <w:pStyle w:val="Normal"/>
      </w:pPr>
      <w:r>
        <w:t xml:space="preserve">不能直接平均向量相似度、关键词得分与模型概率，它们的量纲与含义不同。可先使用基于名次的融合方法，再由评测决定是否采用更复杂策略。</w:t>
      </w:r>
    </w:p>
    <w:p>
      <w:pPr>
        <w:pStyle w:val="Heading2"/>
      </w:pPr>
      <w:r>
        <w:t xml:space="preserve">6.6 证据包与反证</w:t>
      </w:r>
    </w:p>
    <w:p>
      <w:pPr>
        <w:pStyle w:val="Normal"/>
      </w:pPr>
      <w:r>
        <w:t xml:space="preserve">证据包应围绕预测命题组织，同时包含 observed_trends、quantitative_results、supporting_evidence、contradicting_evidence、limitations 和 evidence_ids，并绑定主题与 cutoff_date。</w:t>
      </w:r>
    </w:p>
    <w:p>
      <w:pPr>
        <w:pStyle w:val="Normal"/>
      </w:pPr>
      <w:r>
        <w:t xml:space="preserve">必须区分观测事实、定量结果、支持材料、反证或限制以及未解决缺口。同一论文的多个片段不能视作多个独立来源，转载与重复摘要也要去重。</w:t>
      </w:r>
    </w:p>
    <w:p>
      <w:pPr>
        <w:pStyle w:val="Heading2"/>
      </w:pPr>
      <w:r>
        <w:t xml:space="preserve">6.7 逐条结论引用</w:t>
      </w:r>
    </w:p>
    <w:p>
      <w:pPr>
        <w:pStyle w:val="Normal"/>
      </w:pPr>
      <w:r>
        <w:t xml:space="preserve">建议将自由文本突破列表升级为命题结构：claim（结论）、claim_type（事实、外推或情景）、target_year、supporting_evidence_ids、contradicting_evidence_ids、assumptions 和 uncertainty。</w:t>
      </w:r>
    </w:p>
    <w:p>
      <w:pPr>
        <w:pStyle w:val="Normal"/>
      </w:pPr>
      <w:r>
        <w:t xml:space="preserve">例如：“在限定施工场景中，多机器人协同应用可能扩大”，可标记为 2035 年情景，绑定支持证据 E12、E31 与反证 E44，明确假设为现场定位和安全机制达到部署要求，不确定性为 high。此例仅用于说明结构，不代表已有实证结论。</w:t>
      </w:r>
    </w:p>
    <w:p>
      <w:pPr>
        <w:pStyle w:val="Normal"/>
      </w:pPr>
      <w:r>
        <w:t xml:space="preserve">前端可以从结论回溯原文，系统也能自动检查引用。输出应明确区分观测事实、合理外推、情景假设与证据不足。检索内容属于资料，不能用其中的指令覆盖系统预测规则。</w:t>
      </w:r>
    </w:p>
    <w:p>
      <w:pPr>
        <w:pStyle w:val="Heading2"/>
      </w:pPr>
      <w:r>
        <w:t xml:space="preserve">6.8 引用与科学性校验</w:t>
      </w:r>
    </w:p>
    <w:tbl>
      <w:tblPr>
        <w:tblW w:w="9360" w:type="dxa"/>
        <w:tblInd w:w="120" w:type="dxa"/>
        <w:tblLayout w:type="fixed"/>
        <w:tblBorders>
          <w:top w:val="single" w:sz="4" w:color="CDD5DF"/>
          <w:left w:val="single" w:sz="4" w:color="CDD5DF"/>
          <w:bottom w:val="single" w:sz="4" w:color="CDD5DF"/>
          <w:right w:val="single" w:sz="4" w:color="CDD5DF"/>
          <w:insideH w:val="single" w:sz="4" w:color="CDD5DF"/>
          <w:insideV w:val="single" w:sz="4" w:color="CDD5DF"/>
        </w:tblBorders>
        <w:tblCellMar>
          <w:top w:w="80" w:type="dxa"/>
          <w:bottom w:w="80" w:type="dxa"/>
          <w:start w:w="120" w:type="dxa"/>
          <w:end w:w="120" w:type="dxa"/>
        </w:tblCellMar>
      </w:tblPr>
      <w:tblGrid>
        <w:gridCol w:w="3600"/>
        <w:gridCol w:w="5760"/>
      </w:tblGrid>
      <w:tr>
        <w:trPr>
          <w:cantSplit/>
          <w:tblHeader/>
        </w:trPr>
        <w:tc>
          <w:tcPr>
            <w:tcW w:w="3600" w:type="dxa"/>
            <w:vAlign w:val="center"/>
            <w:shd w:fill="E8EEF5"/>
          </w:tcPr>
          <w:p>
            <w:pPr>
              <w:pStyle w:val="TableHead"/>
            </w:pPr>
            <w:r>
              <w:t xml:space="preserve">校验层次</w:t>
            </w:r>
          </w:p>
        </w:tc>
        <w:tc>
          <w:tcPr>
            <w:tcW w:w="5760" w:type="dxa"/>
            <w:vAlign w:val="center"/>
            <w:shd w:fill="E8EEF5"/>
          </w:tcPr>
          <w:p>
            <w:pPr>
              <w:pStyle w:val="TableHead"/>
            </w:pPr>
            <w:r>
              <w:t xml:space="preserve">检查内容</w:t>
            </w:r>
          </w:p>
        </w:tc>
      </w:tr>
      <w:tr>
        <w:trPr>
          <w:cantSplit/>
        </w:trPr>
        <w:tc>
          <w:tcPr>
            <w:tcW w:w="3600" w:type="dxa"/>
            <w:vAlign w:val="center"/>
          </w:tcPr>
          <w:p>
            <w:pPr>
              <w:pStyle w:val="TableBody"/>
            </w:pPr>
            <w:r>
              <w:t xml:space="preserve">确定性规则</w:t>
            </w:r>
          </w:p>
        </w:tc>
        <w:tc>
          <w:tcPr>
            <w:tcW w:w="5760" w:type="dxa"/>
            <w:vAlign w:val="center"/>
          </w:tcPr>
          <w:p>
            <w:pPr>
              <w:pStyle w:val="TableBody"/>
            </w:pPr>
            <w:r>
              <w:t xml:space="preserve">ID 存在、未超过截止日、IPC 在范围内、数值未改写</w:t>
            </w:r>
          </w:p>
        </w:tc>
      </w:tr>
      <w:tr>
        <w:trPr>
          <w:cantSplit/>
        </w:trPr>
        <w:tc>
          <w:tcPr>
            <w:tcW w:w="3600" w:type="dxa"/>
            <w:vAlign w:val="center"/>
          </w:tcPr>
          <w:p>
            <w:pPr>
              <w:pStyle w:val="TableBody"/>
            </w:pPr>
            <w:r>
              <w:t xml:space="preserve">语义及研究判断</w:t>
            </w:r>
          </w:p>
        </w:tc>
        <w:tc>
          <w:tcPr>
            <w:tcW w:w="5760" w:type="dxa"/>
            <w:vAlign w:val="center"/>
          </w:tcPr>
          <w:p>
            <w:pPr>
              <w:pStyle w:val="TableBody"/>
            </w:pPr>
            <w:r>
              <w:t xml:space="preserve">引文支持结论、未夸大实验结果、未忽略反证</w:t>
            </w:r>
          </w:p>
        </w:tc>
      </w:tr>
    </w:tbl>
    <w:p>
      <w:pPr>
        <w:pStyle w:val="TableAfter"/>
      </w:pPr>
      <w:r>
        <w:t xml:space="preserve"/>
      </w:r>
    </w:p>
    <w:p>
      <w:pPr>
        <w:pStyle w:val="Normal"/>
      </w:pPr>
      <w:r>
        <w:t xml:space="preserve">真实来源不一定支持当前结论，因此不能只检查引用 ID 存在。发现缺口时可允许最多一到两轮补检索，记录新旧证据快照；仍缺乏支持的结论应降级为情景假设或明确标记证据不足。</w:t>
      </w:r>
    </w:p>
    <w:p>
      <w:pPr>
        <w:pStyle w:val="Heading2"/>
      </w:pPr>
      <w:r>
        <w:t xml:space="preserve">6.9 接入现有 LangGraph</w:t>
      </w:r>
    </w:p>
    <w:p>
      <w:pPr>
        <w:pStyle w:val="Normal"/>
      </w:pPr>
      <w:r>
        <w:t xml:space="preserve">建议节点顺序为：prepare → plan_queries → retrieve → rerank → validate_evidence → freeze_snapshot → execute → think → 按需补检索或修正 → validate_claims → roadmap → synthesize → persist。</w:t>
      </w:r>
    </w:p>
    <w:tbl>
      <w:tblPr>
        <w:tblW w:w="9360" w:type="dxa"/>
        <w:tblInd w:w="120" w:type="dxa"/>
        <w:tblLayout w:type="fixed"/>
        <w:tblBorders>
          <w:top w:val="single" w:sz="4" w:color="CDD5DF"/>
          <w:left w:val="single" w:sz="4" w:color="CDD5DF"/>
          <w:bottom w:val="single" w:sz="4" w:color="CDD5DF"/>
          <w:right w:val="single" w:sz="4" w:color="CDD5DF"/>
          <w:insideH w:val="single" w:sz="4" w:color="CDD5DF"/>
          <w:insideV w:val="single" w:sz="4" w:color="CDD5DF"/>
        </w:tblBorders>
        <w:tblCellMar>
          <w:top w:w="80" w:type="dxa"/>
          <w:bottom w:w="80" w:type="dxa"/>
          <w:start w:w="120" w:type="dxa"/>
          <w:end w:w="120" w:type="dxa"/>
        </w:tblCellMar>
      </w:tblPr>
      <w:tblGrid>
        <w:gridCol w:w="3600"/>
        <w:gridCol w:w="5760"/>
      </w:tblGrid>
      <w:tr>
        <w:trPr>
          <w:cantSplit/>
          <w:tblHeader/>
        </w:trPr>
        <w:tc>
          <w:tcPr>
            <w:tcW w:w="3600" w:type="dxa"/>
            <w:vAlign w:val="center"/>
            <w:shd w:fill="E8EEF5"/>
          </w:tcPr>
          <w:p>
            <w:pPr>
              <w:pStyle w:val="TableHead"/>
            </w:pPr>
            <w:r>
              <w:t xml:space="preserve">模块</w:t>
            </w:r>
          </w:p>
        </w:tc>
        <w:tc>
          <w:tcPr>
            <w:tcW w:w="5760" w:type="dxa"/>
            <w:vAlign w:val="center"/>
            <w:shd w:fill="E8EEF5"/>
          </w:tcPr>
          <w:p>
            <w:pPr>
              <w:pStyle w:val="TableHead"/>
            </w:pPr>
            <w:r>
              <w:t xml:space="preserve">建议改动</w:t>
            </w:r>
          </w:p>
        </w:tc>
      </w:tr>
      <w:tr>
        <w:trPr>
          <w:cantSplit/>
        </w:trPr>
        <w:tc>
          <w:tcPr>
            <w:tcW w:w="3600" w:type="dxa"/>
            <w:vAlign w:val="center"/>
          </w:tcPr>
          <w:p>
            <w:pPr>
              <w:pStyle w:val="TableBody"/>
            </w:pPr>
            <w:r>
              <w:t xml:space="preserve">src/forecast/schemas.py</w:t>
            </w:r>
          </w:p>
        </w:tc>
        <w:tc>
          <w:tcPr>
            <w:tcW w:w="5760" w:type="dxa"/>
            <w:vAlign w:val="center"/>
          </w:tcPr>
          <w:p>
            <w:pPr>
              <w:pStyle w:val="TableBody"/>
            </w:pPr>
            <w:r>
              <w:t xml:space="preserve">增加来源、命题引用和假设字段</w:t>
            </w:r>
          </w:p>
        </w:tc>
      </w:tr>
      <w:tr>
        <w:trPr>
          <w:cantSplit/>
        </w:trPr>
        <w:tc>
          <w:tcPr>
            <w:tcW w:w="3600" w:type="dxa"/>
            <w:vAlign w:val="center"/>
          </w:tcPr>
          <w:p>
            <w:pPr>
              <w:pStyle w:val="TableBody"/>
            </w:pPr>
            <w:r>
              <w:t xml:space="preserve">src/forecast/graph.py</w:t>
            </w:r>
          </w:p>
        </w:tc>
        <w:tc>
          <w:tcPr>
            <w:tcW w:w="5760" w:type="dxa"/>
            <w:vAlign w:val="center"/>
          </w:tcPr>
          <w:p>
            <w:pPr>
              <w:pStyle w:val="TableBody"/>
            </w:pPr>
            <w:r>
              <w:t xml:space="preserve">增加检索、校验和补检索分支</w:t>
            </w:r>
          </w:p>
        </w:tc>
      </w:tr>
      <w:tr>
        <w:trPr>
          <w:cantSplit/>
        </w:trPr>
        <w:tc>
          <w:tcPr>
            <w:tcW w:w="3600" w:type="dxa"/>
            <w:vAlign w:val="center"/>
          </w:tcPr>
          <w:p>
            <w:pPr>
              <w:pStyle w:val="TableBody"/>
            </w:pPr>
            <w:r>
              <w:t xml:space="preserve">src/forecast/prompts.py</w:t>
            </w:r>
          </w:p>
        </w:tc>
        <w:tc>
          <w:tcPr>
            <w:tcW w:w="5760" w:type="dxa"/>
            <w:vAlign w:val="center"/>
          </w:tcPr>
          <w:p>
            <w:pPr>
              <w:pStyle w:val="TableBody"/>
            </w:pPr>
            <w:r>
              <w:t xml:space="preserve">注入完整 Schema 与证据规则</w:t>
            </w:r>
          </w:p>
        </w:tc>
      </w:tr>
      <w:tr>
        <w:trPr>
          <w:cantSplit/>
        </w:trPr>
        <w:tc>
          <w:tcPr>
            <w:tcW w:w="3600" w:type="dxa"/>
            <w:vAlign w:val="center"/>
          </w:tcPr>
          <w:p>
            <w:pPr>
              <w:pStyle w:val="TableBody"/>
            </w:pPr>
            <w:r>
              <w:t xml:space="preserve">src/retrieval/service.py</w:t>
            </w:r>
          </w:p>
        </w:tc>
        <w:tc>
          <w:tcPr>
            <w:tcW w:w="5760" w:type="dxa"/>
            <w:vAlign w:val="center"/>
          </w:tcPr>
          <w:p>
            <w:pPr>
              <w:pStyle w:val="TableBody"/>
            </w:pPr>
            <w:r>
              <w:t xml:space="preserve">升级为统一检索入口</w:t>
            </w:r>
          </w:p>
        </w:tc>
      </w:tr>
      <w:tr>
        <w:trPr>
          <w:cantSplit/>
        </w:trPr>
        <w:tc>
          <w:tcPr>
            <w:tcW w:w="3600" w:type="dxa"/>
            <w:vAlign w:val="center"/>
          </w:tcPr>
          <w:p>
            <w:pPr>
              <w:pStyle w:val="TableBody"/>
            </w:pPr>
            <w:r>
              <w:t xml:space="preserve">src/forecast/service.py</w:t>
            </w:r>
          </w:p>
        </w:tc>
        <w:tc>
          <w:tcPr>
            <w:tcW w:w="5760" w:type="dxa"/>
            <w:vAlign w:val="center"/>
          </w:tcPr>
          <w:p>
            <w:pPr>
              <w:pStyle w:val="TableBody"/>
            </w:pPr>
            <w:r>
              <w:t xml:space="preserve">绑定范围、截止日和证据快照</w:t>
            </w:r>
          </w:p>
        </w:tc>
      </w:tr>
      <w:tr>
        <w:trPr>
          <w:cantSplit/>
        </w:trPr>
        <w:tc>
          <w:tcPr>
            <w:tcW w:w="3600" w:type="dxa"/>
            <w:vAlign w:val="center"/>
          </w:tcPr>
          <w:p>
            <w:pPr>
              <w:pStyle w:val="TableBody"/>
            </w:pPr>
            <w:r>
              <w:t xml:space="preserve">LangChain 适配器</w:t>
            </w:r>
          </w:p>
        </w:tc>
        <w:tc>
          <w:tcPr>
            <w:tcW w:w="5760" w:type="dxa"/>
            <w:vAlign w:val="center"/>
          </w:tcPr>
          <w:p>
            <w:pPr>
              <w:pStyle w:val="TableBody"/>
            </w:pPr>
            <w:r>
              <w:t xml:space="preserve">整合模型接口、版本清单和纠错</w:t>
            </w:r>
          </w:p>
        </w:tc>
      </w:tr>
    </w:tbl>
    <w:p>
      <w:pPr>
        <w:pStyle w:val="TableAfter"/>
      </w:pPr>
      <w:r>
        <w:t xml:space="preserve"/>
      </w:r>
    </w:p>
    <w:p>
      <w:pPr>
        <w:pStyle w:val="Normal"/>
      </w:pPr>
      <w:r>
        <w:t xml:space="preserve">可从替换 ipc_trend 单一摘要输入开始，无需为了 RAG 重写整个项目。</w:t>
      </w:r>
    </w:p>
    <w:p>
      <w:pPr>
        <w:pStyle w:val="Heading1"/>
      </w:pPr>
      <w:r>
        <w:t xml:space="preserve">七、时间约束、评估与成本</w:t>
      </w:r>
    </w:p>
    <w:p>
      <w:pPr>
        <w:pStyle w:val="Heading2"/>
      </w:pPr>
      <w:r>
        <w:t xml:space="preserve">7.1 时间泄漏防控</w:t>
      </w:r>
    </w:p>
    <w:p>
      <w:pPr>
        <w:pStyle w:val="Normal"/>
      </w:pPr>
      <w:r>
        <w:t xml:space="preserve">技术预测只能使用预测时点已存在且可获得的证据。模拟在 2020 年预测时，检索不得返回后续材料，网络特征只能使用截止前的数据，IPC 映射、候选定义和数据版本应冻结。未知发表时间的材料不能自动成为合格历史证据。</w:t>
      </w:r>
    </w:p>
    <w:p>
      <w:pPr>
        <w:pStyle w:val="Normal"/>
      </w:pPr>
      <w:r>
        <w:t xml:space="preserve">现有论文查询允许 year IS NULL 记录进入结果，正式回溯中应单独复核或排除。</w:t>
      </w:r>
    </w:p>
    <w:p>
      <w:pPr>
        <w:pStyle w:val="Normal"/>
      </w:pPr>
      <w:r>
        <w:t xml:space="preserve">过滤检索库不能消除大模型参数中潜在的未来知识。使用新模型做历史回测时应披露这种污染可能，将严格定量回测与大模型解释质量分开报告，不能只凭提示词就宣称无时间泄漏。</w:t>
      </w:r>
    </w:p>
    <w:p>
      <w:pPr>
        <w:pStyle w:val="Normal"/>
      </w:pPr>
      <w:r>
        <w:t xml:space="preserve">仓库部分旧工作流采用 2026 基线，当前预测结果和研究 v3 采用 2025 基线。整合前应统一截止日、基线年、预测节点以及部分年度处理方法。</w:t>
      </w:r>
    </w:p>
    <w:p>
      <w:pPr>
        <w:pStyle w:val="Heading2"/>
      </w:pPr>
      <w:r>
        <w:t xml:space="preserve">7.2 三层评估体系</w:t>
      </w:r>
    </w:p>
    <w:tbl>
      <w:tblPr>
        <w:tblW w:w="9360" w:type="dxa"/>
        <w:tblInd w:w="120" w:type="dxa"/>
        <w:tblLayout w:type="fixed"/>
        <w:tblBorders>
          <w:top w:val="single" w:sz="4" w:color="CDD5DF"/>
          <w:left w:val="single" w:sz="4" w:color="CDD5DF"/>
          <w:bottom w:val="single" w:sz="4" w:color="CDD5DF"/>
          <w:right w:val="single" w:sz="4" w:color="CDD5DF"/>
          <w:insideH w:val="single" w:sz="4" w:color="CDD5DF"/>
          <w:insideV w:val="single" w:sz="4" w:color="CDD5DF"/>
        </w:tblBorders>
        <w:tblCellMar>
          <w:top w:w="80" w:type="dxa"/>
          <w:bottom w:w="80" w:type="dxa"/>
          <w:start w:w="120" w:type="dxa"/>
          <w:end w:w="120" w:type="dxa"/>
        </w:tblCellMar>
      </w:tblPr>
      <w:tblGrid>
        <w:gridCol w:w="3600"/>
        <w:gridCol w:w="5760"/>
      </w:tblGrid>
      <w:tr>
        <w:trPr>
          <w:cantSplit/>
          <w:tblHeader/>
        </w:trPr>
        <w:tc>
          <w:tcPr>
            <w:tcW w:w="3600" w:type="dxa"/>
            <w:vAlign w:val="center"/>
            <w:shd w:fill="E8EEF5"/>
          </w:tcPr>
          <w:p>
            <w:pPr>
              <w:pStyle w:val="TableHead"/>
            </w:pPr>
            <w:r>
              <w:t xml:space="preserve">层面</w:t>
            </w:r>
          </w:p>
        </w:tc>
        <w:tc>
          <w:tcPr>
            <w:tcW w:w="5760" w:type="dxa"/>
            <w:vAlign w:val="center"/>
            <w:shd w:fill="E8EEF5"/>
          </w:tcPr>
          <w:p>
            <w:pPr>
              <w:pStyle w:val="TableHead"/>
            </w:pPr>
            <w:r>
              <w:t xml:space="preserve">主要指标</w:t>
            </w:r>
          </w:p>
        </w:tc>
      </w:tr>
      <w:tr>
        <w:trPr>
          <w:cantSplit/>
        </w:trPr>
        <w:tc>
          <w:tcPr>
            <w:tcW w:w="3600" w:type="dxa"/>
            <w:vAlign w:val="center"/>
          </w:tcPr>
          <w:p>
            <w:pPr>
              <w:pStyle w:val="TableBody"/>
            </w:pPr>
            <w:r>
              <w:t xml:space="preserve">检索质量</w:t>
            </w:r>
          </w:p>
        </w:tc>
        <w:tc>
          <w:tcPr>
            <w:tcW w:w="5760" w:type="dxa"/>
            <w:vAlign w:val="center"/>
          </w:tcPr>
          <w:p>
            <w:pPr>
              <w:pStyle w:val="TableBody"/>
            </w:pPr>
            <w:r>
              <w:t xml:space="preserve">Recall@K、Precision@K、NDCG、反证覆盖、时间越界率</w:t>
            </w:r>
          </w:p>
        </w:tc>
      </w:tr>
      <w:tr>
        <w:trPr>
          <w:cantSplit/>
        </w:trPr>
        <w:tc>
          <w:tcPr>
            <w:tcW w:w="3600" w:type="dxa"/>
            <w:vAlign w:val="center"/>
          </w:tcPr>
          <w:p>
            <w:pPr>
              <w:pStyle w:val="TableBody"/>
            </w:pPr>
            <w:r>
              <w:t xml:space="preserve">生成质量</w:t>
            </w:r>
          </w:p>
        </w:tc>
        <w:tc>
          <w:tcPr>
            <w:tcW w:w="5760" w:type="dxa"/>
            <w:vAlign w:val="center"/>
          </w:tcPr>
          <w:p>
            <w:pPr>
              <w:pStyle w:val="TableBody"/>
            </w:pPr>
            <w:r>
              <w:t xml:space="preserve">引用正确率、结论有据率、无依据断言率、结构合法率</w:t>
            </w:r>
          </w:p>
        </w:tc>
      </w:tr>
      <w:tr>
        <w:trPr>
          <w:cantSplit/>
        </w:trPr>
        <w:tc>
          <w:tcPr>
            <w:tcW w:w="3600" w:type="dxa"/>
            <w:vAlign w:val="center"/>
          </w:tcPr>
          <w:p>
            <w:pPr>
              <w:pStyle w:val="TableBody"/>
            </w:pPr>
            <w:r>
              <w:t xml:space="preserve">预测质量</w:t>
            </w:r>
          </w:p>
        </w:tc>
        <w:tc>
          <w:tcPr>
            <w:tcW w:w="5760" w:type="dxa"/>
            <w:vAlign w:val="center"/>
          </w:tcPr>
          <w:p>
            <w:pPr>
              <w:pStyle w:val="TableBody"/>
            </w:pPr>
            <w:r>
              <w:t xml:space="preserve">时间回测、Precision@K、Recall@K、Brier、校准误差</w:t>
            </w:r>
          </w:p>
        </w:tc>
      </w:tr>
    </w:tbl>
    <w:p>
      <w:pPr>
        <w:pStyle w:val="TableAfter"/>
      </w:pPr>
      <w:r>
        <w:t xml:space="preserve"/>
      </w:r>
    </w:p>
    <w:p>
      <w:pPr>
        <w:pStyle w:val="Normal"/>
      </w:pPr>
      <w:r>
        <w:t xml:space="preserve">Brier 和概率校准适用于明确事件及概率输出，不适用于任意未来展望文本。</w:t>
      </w:r>
    </w:p>
    <w:p>
      <w:pPr>
        <w:pStyle w:val="Normal"/>
      </w:pPr>
      <w:r>
        <w:t xml:space="preserve">建议比较四组：A 为现有固定摘要；B 接入关键词检索；C 增加向量召回和重排；D 增加反证与受控补检索。在相同主题、截止时间和输出结构下，比较证据质量、专家评价、成本及延迟，识别真正贡献效果的环节。</w:t>
      </w:r>
    </w:p>
    <w:p>
      <w:pPr>
        <w:pStyle w:val="Heading2"/>
      </w:pPr>
      <w:r>
        <w:t xml:space="preserve">7.3 模型调用成本</w:t>
      </w:r>
    </w:p>
    <w:p>
      <w:pPr>
        <w:pStyle w:val="Normal"/>
      </w:pPr>
      <w:r>
        <w:t xml:space="preserve">不计重试时，N 个主题的当前调用量为：无修正 3N＋1 次（预测、评审、路线图各 N 次，综合 1 次）；触发修正 4N＋1 次。9 个主题约为 28—37 次。</w:t>
      </w:r>
    </w:p>
    <w:p>
      <w:pPr>
        <w:pStyle w:val="Normal"/>
      </w:pPr>
      <w:r>
        <w:t xml:space="preserve">接入 RAG 后应优先使用确定性检索、缓存和证据去重，仅对存在问题的主题追加调用，避免各阶段反复处理整份材料。</w:t>
      </w:r>
    </w:p>
    <w:p>
      <w:pPr>
        <w:pStyle w:val="Heading1"/>
      </w:pPr>
      <w:r>
        <w:t xml:space="preserve">八、分阶段实施路线</w:t>
      </w:r>
    </w:p>
    <w:tbl>
      <w:tblPr>
        <w:tblW w:w="9360" w:type="dxa"/>
        <w:tblInd w:w="120" w:type="dxa"/>
        <w:tblLayout w:type="fixed"/>
        <w:tblBorders>
          <w:top w:val="single" w:sz="4" w:color="CDD5DF"/>
          <w:left w:val="single" w:sz="4" w:color="CDD5DF"/>
          <w:bottom w:val="single" w:sz="4" w:color="CDD5DF"/>
          <w:right w:val="single" w:sz="4" w:color="CDD5DF"/>
          <w:insideH w:val="single" w:sz="4" w:color="CDD5DF"/>
          <w:insideV w:val="single" w:sz="4" w:color="CDD5DF"/>
        </w:tblBorders>
        <w:tblCellMar>
          <w:top w:w="80" w:type="dxa"/>
          <w:bottom w:w="80" w:type="dxa"/>
          <w:start w:w="120" w:type="dxa"/>
          <w:end w:w="120" w:type="dxa"/>
        </w:tblCellMar>
      </w:tblPr>
      <w:tblGrid>
        <w:gridCol w:w="2400"/>
        <w:gridCol w:w="3000"/>
        <w:gridCol w:w="3960"/>
      </w:tblGrid>
      <w:tr>
        <w:trPr>
          <w:cantSplit/>
          <w:tblHeader/>
        </w:trPr>
        <w:tc>
          <w:tcPr>
            <w:tcW w:w="2400" w:type="dxa"/>
            <w:vAlign w:val="center"/>
            <w:shd w:fill="E8EEF5"/>
          </w:tcPr>
          <w:p>
            <w:pPr>
              <w:pStyle w:val="TableHead"/>
            </w:pPr>
            <w:r>
              <w:t xml:space="preserve">阶段</w:t>
            </w:r>
          </w:p>
        </w:tc>
        <w:tc>
          <w:tcPr>
            <w:tcW w:w="3000" w:type="dxa"/>
            <w:vAlign w:val="center"/>
            <w:shd w:fill="E8EEF5"/>
          </w:tcPr>
          <w:p>
            <w:pPr>
              <w:pStyle w:val="TableHead"/>
            </w:pPr>
            <w:r>
              <w:t xml:space="preserve">工作重点</w:t>
            </w:r>
          </w:p>
        </w:tc>
        <w:tc>
          <w:tcPr>
            <w:tcW w:w="3960" w:type="dxa"/>
            <w:vAlign w:val="center"/>
            <w:shd w:fill="E8EEF5"/>
          </w:tcPr>
          <w:p>
            <w:pPr>
              <w:pStyle w:val="TableHead"/>
            </w:pPr>
            <w:r>
              <w:t xml:space="preserve">验收结果</w:t>
            </w:r>
          </w:p>
        </w:tc>
      </w:tr>
      <w:tr>
        <w:trPr>
          <w:cantSplit/>
        </w:trPr>
        <w:tc>
          <w:tcPr>
            <w:tcW w:w="2400" w:type="dxa"/>
            <w:vAlign w:val="center"/>
          </w:tcPr>
          <w:p>
            <w:pPr>
              <w:pStyle w:val="TableBody"/>
            </w:pPr>
            <w:r>
              <w:t xml:space="preserve">第一阶段</w:t>
            </w:r>
          </w:p>
        </w:tc>
        <w:tc>
          <w:tcPr>
            <w:tcW w:w="3000" w:type="dxa"/>
            <w:vAlign w:val="center"/>
          </w:tcPr>
          <w:p>
            <w:pPr>
              <w:pStyle w:val="TableBody"/>
            </w:pPr>
            <w:r>
              <w:t xml:space="preserve">接通证据库、扩展 Schema</w:t>
            </w:r>
          </w:p>
        </w:tc>
        <w:tc>
          <w:tcPr>
            <w:tcW w:w="3960" w:type="dxa"/>
            <w:vAlign w:val="center"/>
          </w:tcPr>
          <w:p>
            <w:pPr>
              <w:pStyle w:val="TableBody"/>
            </w:pPr>
            <w:r>
              <w:t xml:space="preserve">关键预测能回溯来源</w:t>
            </w:r>
          </w:p>
        </w:tc>
      </w:tr>
      <w:tr>
        <w:trPr>
          <w:cantSplit/>
        </w:trPr>
        <w:tc>
          <w:tcPr>
            <w:tcW w:w="2400" w:type="dxa"/>
            <w:vAlign w:val="center"/>
          </w:tcPr>
          <w:p>
            <w:pPr>
              <w:pStyle w:val="TableBody"/>
            </w:pPr>
            <w:r>
              <w:t xml:space="preserve">第二阶段</w:t>
            </w:r>
          </w:p>
        </w:tc>
        <w:tc>
          <w:tcPr>
            <w:tcW w:w="3000" w:type="dxa"/>
            <w:vAlign w:val="center"/>
          </w:tcPr>
          <w:p>
            <w:pPr>
              <w:pStyle w:val="TableBody"/>
            </w:pPr>
            <w:r>
              <w:t xml:space="preserve">完善解析、切分、混合检索和重排</w:t>
            </w:r>
          </w:p>
        </w:tc>
        <w:tc>
          <w:tcPr>
            <w:tcW w:w="3960" w:type="dxa"/>
            <w:vAlign w:val="center"/>
          </w:tcPr>
          <w:p>
            <w:pPr>
              <w:pStyle w:val="TableBody"/>
            </w:pPr>
            <w:r>
              <w:t xml:space="preserve">标注集效果优于现有搜索</w:t>
            </w:r>
          </w:p>
        </w:tc>
      </w:tr>
      <w:tr>
        <w:trPr>
          <w:cantSplit/>
        </w:trPr>
        <w:tc>
          <w:tcPr>
            <w:tcW w:w="2400" w:type="dxa"/>
            <w:vAlign w:val="center"/>
          </w:tcPr>
          <w:p>
            <w:pPr>
              <w:pStyle w:val="TableBody"/>
            </w:pPr>
            <w:r>
              <w:t xml:space="preserve">第三阶段</w:t>
            </w:r>
          </w:p>
        </w:tc>
        <w:tc>
          <w:tcPr>
            <w:tcW w:w="3000" w:type="dxa"/>
            <w:vAlign w:val="center"/>
          </w:tcPr>
          <w:p>
            <w:pPr>
              <w:pStyle w:val="TableBody"/>
            </w:pPr>
            <w:r>
              <w:t xml:space="preserve">接入定量模型和时间约束</w:t>
            </w:r>
          </w:p>
        </w:tc>
        <w:tc>
          <w:tcPr>
            <w:tcW w:w="3960" w:type="dxa"/>
            <w:vAlign w:val="center"/>
          </w:tcPr>
          <w:p>
            <w:pPr>
              <w:pStyle w:val="TableBody"/>
            </w:pPr>
            <w:r>
              <w:t xml:space="preserve">排名、概率、解释各有来源</w:t>
            </w:r>
          </w:p>
        </w:tc>
      </w:tr>
      <w:tr>
        <w:trPr>
          <w:cantSplit/>
        </w:trPr>
        <w:tc>
          <w:tcPr>
            <w:tcW w:w="2400" w:type="dxa"/>
            <w:vAlign w:val="center"/>
          </w:tcPr>
          <w:p>
            <w:pPr>
              <w:pStyle w:val="TableBody"/>
            </w:pPr>
            <w:r>
              <w:t xml:space="preserve">第四阶段</w:t>
            </w:r>
          </w:p>
        </w:tc>
        <w:tc>
          <w:tcPr>
            <w:tcW w:w="3000" w:type="dxa"/>
            <w:vAlign w:val="center"/>
          </w:tcPr>
          <w:p>
            <w:pPr>
              <w:pStyle w:val="TableBody"/>
            </w:pPr>
            <w:r>
              <w:t xml:space="preserve">反证、补检索与人工复核</w:t>
            </w:r>
          </w:p>
        </w:tc>
        <w:tc>
          <w:tcPr>
            <w:tcW w:w="3960" w:type="dxa"/>
            <w:vAlign w:val="center"/>
          </w:tcPr>
          <w:p>
            <w:pPr>
              <w:pStyle w:val="TableBody"/>
            </w:pPr>
            <w:r>
              <w:t xml:space="preserve">缺证据时可降级、修正或暂停</w:t>
            </w:r>
          </w:p>
        </w:tc>
      </w:tr>
      <w:tr>
        <w:trPr>
          <w:cantSplit/>
        </w:trPr>
        <w:tc>
          <w:tcPr>
            <w:tcW w:w="2400" w:type="dxa"/>
            <w:vAlign w:val="center"/>
          </w:tcPr>
          <w:p>
            <w:pPr>
              <w:pStyle w:val="TableBody"/>
            </w:pPr>
            <w:r>
              <w:t xml:space="preserve">第五阶段</w:t>
            </w:r>
          </w:p>
        </w:tc>
        <w:tc>
          <w:tcPr>
            <w:tcW w:w="3000" w:type="dxa"/>
            <w:vAlign w:val="center"/>
          </w:tcPr>
          <w:p>
            <w:pPr>
              <w:pStyle w:val="TableBody"/>
            </w:pPr>
            <w:r>
              <w:t xml:space="preserve">检查点、版本清单和任务恢复</w:t>
            </w:r>
          </w:p>
        </w:tc>
        <w:tc>
          <w:tcPr>
            <w:tcW w:w="3960" w:type="dxa"/>
            <w:vAlign w:val="center"/>
          </w:tcPr>
          <w:p>
            <w:pPr>
              <w:pStyle w:val="TableBody"/>
            </w:pPr>
            <w:r>
              <w:t xml:space="preserve">冻结输入可审计、可恢复、可复查</w:t>
            </w:r>
          </w:p>
        </w:tc>
      </w:tr>
    </w:tbl>
    <w:p>
      <w:pPr>
        <w:pStyle w:val="TableAfter"/>
      </w:pPr>
      <w:r>
        <w:t xml:space="preserve"/>
      </w:r>
    </w:p>
    <w:p>
      <w:pPr>
        <w:pStyle w:val="Normal"/>
      </w:pPr>
      <w:r>
        <w:t xml:space="preserve">项目介绍或论文可采用以下表述：系统采用证据约束的多阶段技术预测方法，以 IPC 网络演化与领域文献为信息基础，利用 LangGraph 编排主题预测、科学评审、修正与路线图生成。后续通过 RAG 将可追溯外部证据动态注入预测上下文，并结合独立技术融合模型、时间回溯验证及人工复核，评估预测结论的依据、边界与不确定性。</w:t>
      </w:r>
    </w:p>
    <w:p>
      <w:pPr>
        <w:pStyle w:val="Normal"/>
      </w:pPr>
      <w:r>
        <w:t xml:space="preserve">在 RAG、定量模型和持久化研究流程接入当前主链路并完成验证前，应将其明确标注为后续建设内容。</w:t>
      </w:r>
    </w:p>
    <w:p>
      <w:pPr>
        <w:pStyle w:val="Heading1"/>
      </w:pPr>
      <w:r>
        <w:t xml:space="preserve">附录：代码与参考资料</w:t>
      </w:r>
    </w:p>
    <w:p>
      <w:pPr>
        <w:pStyle w:val="Normal"/>
      </w:pPr>
      <w:r>
        <w:t xml:space="preserve">代码定位均相对于 construction-agent-project 仓库根目录。</w:t>
      </w:r>
    </w:p>
    <w:tbl>
      <w:tblPr>
        <w:tblW w:w="9360" w:type="dxa"/>
        <w:tblInd w:w="120" w:type="dxa"/>
        <w:tblLayout w:type="fixed"/>
        <w:tblBorders>
          <w:top w:val="single" w:sz="4" w:color="CDD5DF"/>
          <w:left w:val="single" w:sz="4" w:color="CDD5DF"/>
          <w:bottom w:val="single" w:sz="4" w:color="CDD5DF"/>
          <w:right w:val="single" w:sz="4" w:color="CDD5DF"/>
          <w:insideH w:val="single" w:sz="4" w:color="CDD5DF"/>
          <w:insideV w:val="single" w:sz="4" w:color="CDD5DF"/>
        </w:tblBorders>
        <w:tblCellMar>
          <w:top w:w="80" w:type="dxa"/>
          <w:bottom w:w="80" w:type="dxa"/>
          <w:start w:w="120" w:type="dxa"/>
          <w:end w:w="120" w:type="dxa"/>
        </w:tblCellMar>
      </w:tblPr>
      <w:tblGrid>
        <w:gridCol w:w="3600"/>
        <w:gridCol w:w="5760"/>
      </w:tblGrid>
      <w:tr>
        <w:trPr>
          <w:cantSplit/>
          <w:tblHeader/>
        </w:trPr>
        <w:tc>
          <w:tcPr>
            <w:tcW w:w="3600" w:type="dxa"/>
            <w:vAlign w:val="center"/>
            <w:shd w:fill="E8EEF5"/>
          </w:tcPr>
          <w:p>
            <w:pPr>
              <w:pStyle w:val="TableHead"/>
            </w:pPr>
            <w:r>
              <w:t xml:space="preserve">代码路径</w:t>
            </w:r>
          </w:p>
        </w:tc>
        <w:tc>
          <w:tcPr>
            <w:tcW w:w="5760" w:type="dxa"/>
            <w:vAlign w:val="center"/>
            <w:shd w:fill="E8EEF5"/>
          </w:tcPr>
          <w:p>
            <w:pPr>
              <w:pStyle w:val="TableHead"/>
            </w:pPr>
            <w:r>
              <w:t xml:space="preserve">用途</w:t>
            </w:r>
          </w:p>
        </w:tc>
      </w:tr>
      <w:tr>
        <w:trPr>
          <w:cantSplit/>
        </w:trPr>
        <w:tc>
          <w:tcPr>
            <w:tcW w:w="3600" w:type="dxa"/>
            <w:vAlign w:val="center"/>
          </w:tcPr>
          <w:p>
            <w:pPr>
              <w:pStyle w:val="TableBody"/>
            </w:pPr>
            <w:r>
              <w:t xml:space="preserve">src/api/app.py</w:t>
            </w:r>
          </w:p>
        </w:tc>
        <w:tc>
          <w:tcPr>
            <w:tcW w:w="5760" w:type="dxa"/>
            <w:vAlign w:val="center"/>
          </w:tcPr>
          <w:p>
            <w:pPr>
              <w:pStyle w:val="TableBody"/>
            </w:pPr>
            <w:r>
              <w:t xml:space="preserve">当前 API 入口</w:t>
            </w:r>
          </w:p>
        </w:tc>
      </w:tr>
      <w:tr>
        <w:trPr>
          <w:cantSplit/>
        </w:trPr>
        <w:tc>
          <w:tcPr>
            <w:tcW w:w="3600" w:type="dxa"/>
            <w:vAlign w:val="center"/>
          </w:tcPr>
          <w:p>
            <w:pPr>
              <w:pStyle w:val="TableBody"/>
            </w:pPr>
            <w:r>
              <w:t xml:space="preserve">src/forecast/service.py</w:t>
            </w:r>
          </w:p>
        </w:tc>
        <w:tc>
          <w:tcPr>
            <w:tcW w:w="5760" w:type="dxa"/>
            <w:vAlign w:val="center"/>
          </w:tcPr>
          <w:p>
            <w:pPr>
              <w:pStyle w:val="TableBody"/>
            </w:pPr>
            <w:r>
              <w:t xml:space="preserve">任务创建、执行和结果保存</w:t>
            </w:r>
          </w:p>
        </w:tc>
      </w:tr>
      <w:tr>
        <w:trPr>
          <w:cantSplit/>
        </w:trPr>
        <w:tc>
          <w:tcPr>
            <w:tcW w:w="3600" w:type="dxa"/>
            <w:vAlign w:val="center"/>
          </w:tcPr>
          <w:p>
            <w:pPr>
              <w:pStyle w:val="TableBody"/>
            </w:pPr>
            <w:r>
              <w:t xml:space="preserve">src/forecast/graph.py</w:t>
            </w:r>
          </w:p>
        </w:tc>
        <w:tc>
          <w:tcPr>
            <w:tcW w:w="5760" w:type="dxa"/>
            <w:vAlign w:val="center"/>
          </w:tcPr>
          <w:p>
            <w:pPr>
              <w:pStyle w:val="TableBody"/>
            </w:pPr>
            <w:r>
              <w:t xml:space="preserve">预测、评审、修正与综合图</w:t>
            </w:r>
          </w:p>
        </w:tc>
      </w:tr>
      <w:tr>
        <w:trPr>
          <w:cantSplit/>
        </w:trPr>
        <w:tc>
          <w:tcPr>
            <w:tcW w:w="3600" w:type="dxa"/>
            <w:vAlign w:val="center"/>
          </w:tcPr>
          <w:p>
            <w:pPr>
              <w:pStyle w:val="TableBody"/>
            </w:pPr>
            <w:r>
              <w:t xml:space="preserve">src/forecast/llm.py</w:t>
            </w:r>
          </w:p>
        </w:tc>
        <w:tc>
          <w:tcPr>
            <w:tcW w:w="5760" w:type="dxa"/>
            <w:vAlign w:val="center"/>
          </w:tcPr>
          <w:p>
            <w:pPr>
              <w:pStyle w:val="TableBody"/>
            </w:pPr>
            <w:r>
              <w:t xml:space="preserve">JSON 模型调用</w:t>
            </w:r>
          </w:p>
        </w:tc>
      </w:tr>
      <w:tr>
        <w:trPr>
          <w:cantSplit/>
        </w:trPr>
        <w:tc>
          <w:tcPr>
            <w:tcW w:w="3600" w:type="dxa"/>
            <w:vAlign w:val="center"/>
          </w:tcPr>
          <w:p>
            <w:pPr>
              <w:pStyle w:val="TableBody"/>
            </w:pPr>
            <w:r>
              <w:t xml:space="preserve">src/forecast/schemas.py</w:t>
            </w:r>
          </w:p>
        </w:tc>
        <w:tc>
          <w:tcPr>
            <w:tcW w:w="5760" w:type="dxa"/>
            <w:vAlign w:val="center"/>
          </w:tcPr>
          <w:p>
            <w:pPr>
              <w:pStyle w:val="TableBody"/>
            </w:pPr>
            <w:r>
              <w:t xml:space="preserve">结构化结果定义</w:t>
            </w:r>
          </w:p>
        </w:tc>
      </w:tr>
      <w:tr>
        <w:trPr>
          <w:cantSplit/>
        </w:trPr>
        <w:tc>
          <w:tcPr>
            <w:tcW w:w="3600" w:type="dxa"/>
            <w:vAlign w:val="center"/>
          </w:tcPr>
          <w:p>
            <w:pPr>
              <w:pStyle w:val="TableBody"/>
            </w:pPr>
            <w:r>
              <w:t xml:space="preserve">src/forecast/prompts.py</w:t>
            </w:r>
          </w:p>
        </w:tc>
        <w:tc>
          <w:tcPr>
            <w:tcW w:w="5760" w:type="dxa"/>
            <w:vAlign w:val="center"/>
          </w:tcPr>
          <w:p>
            <w:pPr>
              <w:pStyle w:val="TableBody"/>
            </w:pPr>
            <w:r>
              <w:t xml:space="preserve">当前各角色提示词</w:t>
            </w:r>
          </w:p>
        </w:tc>
      </w:tr>
      <w:tr>
        <w:trPr>
          <w:cantSplit/>
        </w:trPr>
        <w:tc>
          <w:tcPr>
            <w:tcW w:w="3600" w:type="dxa"/>
            <w:vAlign w:val="center"/>
          </w:tcPr>
          <w:p>
            <w:pPr>
              <w:pStyle w:val="TableBody"/>
            </w:pPr>
            <w:r>
              <w:t xml:space="preserve">data/seed/topics.json</w:t>
            </w:r>
          </w:p>
        </w:tc>
        <w:tc>
          <w:tcPr>
            <w:tcW w:w="5760" w:type="dxa"/>
            <w:vAlign w:val="center"/>
          </w:tcPr>
          <w:p>
            <w:pPr>
              <w:pStyle w:val="TableBody"/>
            </w:pPr>
            <w:r>
              <w:t xml:space="preserve">固定主题与 IPC 证据摘要</w:t>
            </w:r>
          </w:p>
        </w:tc>
      </w:tr>
      <w:tr>
        <w:trPr>
          <w:cantSplit/>
        </w:trPr>
        <w:tc>
          <w:tcPr>
            <w:tcW w:w="3600" w:type="dxa"/>
            <w:vAlign w:val="center"/>
          </w:tcPr>
          <w:p>
            <w:pPr>
              <w:pStyle w:val="TableBody"/>
            </w:pPr>
            <w:r>
              <w:t xml:space="preserve">src/research/langchain_adapter.py</w:t>
            </w:r>
          </w:p>
        </w:tc>
        <w:tc>
          <w:tcPr>
            <w:tcW w:w="5760" w:type="dxa"/>
            <w:vAlign w:val="center"/>
          </w:tcPr>
          <w:p>
            <w:pPr>
              <w:pStyle w:val="TableBody"/>
            </w:pPr>
            <w:r>
              <w:t xml:space="preserve">LangChain 适配与输出校验</w:t>
            </w:r>
          </w:p>
        </w:tc>
      </w:tr>
      <w:tr>
        <w:trPr>
          <w:cantSplit/>
        </w:trPr>
        <w:tc>
          <w:tcPr>
            <w:tcW w:w="3600" w:type="dxa"/>
            <w:vAlign w:val="center"/>
          </w:tcPr>
          <w:p>
            <w:pPr>
              <w:pStyle w:val="TableBody"/>
            </w:pPr>
            <w:r>
              <w:t xml:space="preserve">src/research/graph.py</w:t>
            </w:r>
          </w:p>
        </w:tc>
        <w:tc>
          <w:tcPr>
            <w:tcW w:w="5760" w:type="dxa"/>
            <w:vAlign w:val="center"/>
          </w:tcPr>
          <w:p>
            <w:pPr>
              <w:pStyle w:val="TableBody"/>
            </w:pPr>
            <w:r>
              <w:t xml:space="preserve">研究工作流与检查点模块</w:t>
            </w:r>
          </w:p>
        </w:tc>
      </w:tr>
      <w:tr>
        <w:trPr>
          <w:cantSplit/>
        </w:trPr>
        <w:tc>
          <w:tcPr>
            <w:tcW w:w="3600" w:type="dxa"/>
            <w:vAlign w:val="center"/>
          </w:tcPr>
          <w:p>
            <w:pPr>
              <w:pStyle w:val="TableBody"/>
            </w:pPr>
            <w:r>
              <w:t xml:space="preserve">src/research/features.py、models.py</w:t>
            </w:r>
          </w:p>
        </w:tc>
        <w:tc>
          <w:tcPr>
            <w:tcW w:w="5760" w:type="dxa"/>
            <w:vAlign w:val="center"/>
          </w:tcPr>
          <w:p>
            <w:pPr>
              <w:pStyle w:val="TableBody"/>
            </w:pPr>
            <w:r>
              <w:t xml:space="preserve">融合特征、模型与校准</w:t>
            </w:r>
          </w:p>
        </w:tc>
      </w:tr>
      <w:tr>
        <w:trPr>
          <w:cantSplit/>
        </w:trPr>
        <w:tc>
          <w:tcPr>
            <w:tcW w:w="3600" w:type="dxa"/>
            <w:vAlign w:val="center"/>
          </w:tcPr>
          <w:p>
            <w:pPr>
              <w:pStyle w:val="TableBody"/>
            </w:pPr>
            <w:r>
              <w:t xml:space="preserve">src/retrieval/service.py</w:t>
            </w:r>
          </w:p>
        </w:tc>
        <w:tc>
          <w:tcPr>
            <w:tcW w:w="5760" w:type="dxa"/>
            <w:vAlign w:val="center"/>
          </w:tcPr>
          <w:p>
            <w:pPr>
              <w:pStyle w:val="TableBody"/>
            </w:pPr>
            <w:r>
              <w:t xml:space="preserve">证据检索服务</w:t>
            </w:r>
          </w:p>
        </w:tc>
      </w:tr>
      <w:tr>
        <w:trPr>
          <w:cantSplit/>
        </w:trPr>
        <w:tc>
          <w:tcPr>
            <w:tcW w:w="3600" w:type="dxa"/>
            <w:vAlign w:val="center"/>
          </w:tcPr>
          <w:p>
            <w:pPr>
              <w:pStyle w:val="TableBody"/>
            </w:pPr>
            <w:r>
              <w:t xml:space="preserve">src/library/repository.py</w:t>
            </w:r>
          </w:p>
        </w:tc>
        <w:tc>
          <w:tcPr>
            <w:tcW w:w="5760" w:type="dxa"/>
            <w:vAlign w:val="center"/>
          </w:tcPr>
          <w:p>
            <w:pPr>
              <w:pStyle w:val="TableBody"/>
            </w:pPr>
            <w:r>
              <w:t xml:space="preserve">数据查询与论文搜索</w:t>
            </w:r>
          </w:p>
        </w:tc>
      </w:tr>
      <w:tr>
        <w:trPr>
          <w:cantSplit/>
        </w:trPr>
        <w:tc>
          <w:tcPr>
            <w:tcW w:w="3600" w:type="dxa"/>
            <w:vAlign w:val="center"/>
          </w:tcPr>
          <w:p>
            <w:pPr>
              <w:pStyle w:val="TableBody"/>
            </w:pPr>
            <w:r>
              <w:t xml:space="preserve">src/main.py、src/llm_orchestrator/</w:t>
            </w:r>
          </w:p>
        </w:tc>
        <w:tc>
          <w:tcPr>
            <w:tcW w:w="5760" w:type="dxa"/>
            <w:vAlign w:val="center"/>
          </w:tcPr>
          <w:p>
            <w:pPr>
              <w:pStyle w:val="TableBody"/>
            </w:pPr>
            <w:r>
              <w:t xml:space="preserve">传统预测编排与增强模块</w:t>
            </w:r>
          </w:p>
        </w:tc>
      </w:tr>
    </w:tbl>
    <w:p>
      <w:pPr>
        <w:pStyle w:val="TableAfter"/>
      </w:pPr>
      <w:r>
        <w:t xml:space="preserve"/>
      </w:r>
    </w:p>
    <w:p>
      <w:pPr>
        <w:pStyle w:val="Normal"/>
      </w:pPr>
      <w:r>
        <w:t xml:space="preserve">[1] LangChain 官方文档：Persistence。https://docs.langchain.com/oss/python/langgraph/persistence</w:t>
      </w:r>
    </w:p>
    <w:p>
      <w:pPr>
        <w:pStyle w:val="Normal"/>
      </w:pPr>
      <w:r>
        <w:t xml:space="preserve">[2] LangChain 官方文档：Structured output。https://docs.langchain.com/oss/python/langchain/structured-output</w:t>
      </w:r>
    </w:p>
    <w:p>
      <w:pPr>
        <w:pStyle w:val="Normal"/>
      </w:pPr>
      <w:r>
        <w:t xml:space="preserve">[3] LangChain 官方文档：Retrieval。https://docs.langchain.com/oss/python/deepagents/retrieval</w:t>
      </w:r>
    </w:p>
    <w:p>
      <w:pPr>
        <w:pStyle w:val="Normal"/>
      </w:pPr>
      <w:r>
        <w:t xml:space="preserve">说明：官方文档用于概念和能力边界核对；实现时需进一步核对项目锁定版本的接口兼容性。本文为技术梳理与方案整理，不包含新功能实施或付费模型调用验证。</w:t>
      </w:r>
    </w:p>
    <w:sectPr>
      <w:headerReference w:type="default" r:id="rIdHeader"/>
      <w:footerReference w:type="default" r:id="rIdFooter"/>
      <w:pgSz w:w="12240" w:h="15840"/>
      <w:pgMar w:top="1440" w:right="1440" w:bottom="1440" w:left="1440" w:header="708" w:footer="708" w:gutter="0"/>
    </w:sectPr>
  </w:body>
</w:document>
</file>

<file path=word/footer1.xml><?xml version="1.0" encoding="utf-8"?>
<w:ftr xmlns:w="http://schemas.openxmlformats.org/wordprocessingml/2006/main" xmlns:r="http://schemas.openxmlformats.org/officeDocument/2006/relationships">
  <w:p>
    <w:pPr>
      <w:pStyle w:val="Furniture"/>
      <w:jc w:val="right"/>
    </w:pPr>
    <w:r>
      <w:t>第 </w:t>
    </w:r>
    <w:fldSimple w:instr="PAGE">
      <w:r>
        <w:t>1</w:t>
      </w:r>
    </w:fldSimple>
    <w:r>
      <w:t> 页</w:t>
    </w:r>
  </w:p>
</w:ftr>
</file>

<file path=word/header1.xml><?xml version="1.0" encoding="utf-8"?>
<w:hdr xmlns:w="http://schemas.openxmlformats.org/wordprocessingml/2006/main" xmlns:r="http://schemas.openxmlformats.org/officeDocument/2006/relationships">
  <w:p>
    <w:pPr>
      <w:pStyle w:val="Furniture"/>
    </w:pPr>
    <w:r>
      <w:t xml:space="preserve">智能建造 2040  |  大模型预测技术说明</w:t>
    </w:r>
  </w:p>
</w:hdr>
</file>

<file path=word/settings.xml><?xml version="1.0" encoding="utf-8"?>
<w:settings xmlns:w="http://schemas.openxmlformats.org/wordprocessingml/2006/main" xmlns:r="http://schemas.openxmlformats.org/officeDocument/2006/relationships">
  <w:defaultTabStop w:val="720"/>
  <w:updateFields w:val="true"/>
</w:settings>
</file>

<file path=word/styles.xml><?xml version="1.0" encoding="utf-8"?>
<w:styles xmlns:w="http://schemas.openxmlformats.org/wordprocessingml/2006/main" xmlns:r="http://schemas.openxmlformats.org/officeDocument/2006/relationships">
  <w:style w:type="paragraph" w:styleId="Normal">
    <w:name w:val="Normal"/>
    <w:pPr>
      <w:spacing w:before="0" w:after="120" w:line="300" w:lineRule="auto"/>
      <w:widowControl/>
    </w:pPr>
    <w:rPr>
      <w:rFonts w:ascii="Calibri" w:hAnsi="Calibri" w:eastAsia="宋体"/>
      <w:color w:val="222222"/>
      <w:sz w:val="22"/>
      <w:szCs w:val="22"/>
    </w:rPr>
  </w:style>
  <w:style w:type="paragraph" w:styleId="Title">
    <w:name w:val="Title"/>
    <w:basedOn w:val="Normal"/>
    <w:pPr>
      <w:spacing w:before="0" w:after="160" w:line="300" w:lineRule="auto"/>
      <w:widowControl/>
      <w:keepNext/>
      <w:keepLines/>
    </w:pPr>
    <w:rPr>
      <w:rFonts w:ascii="Calibri" w:hAnsi="Calibri" w:eastAsia="宋体"/>
      <w:color w:val="0B2545"/>
      <w:sz w:val="46"/>
      <w:szCs w:val="46"/>
      <w:b/>
    </w:rPr>
  </w:style>
  <w:style w:type="paragraph" w:styleId="Subtitle">
    <w:name w:val="Subtitle"/>
    <w:basedOn w:val="Normal"/>
    <w:pPr>
      <w:spacing w:before="0" w:after="240" w:line="300" w:lineRule="auto"/>
      <w:widowControl/>
      <w:keepNext/>
      <w:keepLines/>
    </w:pPr>
    <w:rPr>
      <w:rFonts w:ascii="Calibri" w:hAnsi="Calibri" w:eastAsia="宋体"/>
      <w:color w:val="596879"/>
      <w:sz w:val="26"/>
      <w:szCs w:val="26"/>
    </w:rPr>
  </w:style>
  <w:style w:type="paragraph" w:styleId="Heading1">
    <w:name w:val="heading 1"/>
    <w:basedOn w:val="Normal"/>
    <w:pPr>
      <w:spacing w:before="360" w:after="200" w:line="300" w:lineRule="auto"/>
      <w:widowControl/>
      <w:keepNext/>
      <w:keepLines/>
      <w:outlineLvl w:val="0"/>
    </w:pPr>
    <w:rPr>
      <w:rFonts w:ascii="Calibri" w:hAnsi="Calibri" w:eastAsia="宋体"/>
      <w:color w:val="2E74B5"/>
      <w:sz w:val="32"/>
      <w:szCs w:val="32"/>
      <w:b/>
    </w:rPr>
  </w:style>
  <w:style w:type="paragraph" w:styleId="Heading2">
    <w:name w:val="heading 2"/>
    <w:basedOn w:val="Normal"/>
    <w:pPr>
      <w:spacing w:before="280" w:after="140" w:line="300" w:lineRule="auto"/>
      <w:widowControl/>
      <w:keepNext/>
      <w:keepLines/>
      <w:outlineLvl w:val="1"/>
    </w:pPr>
    <w:rPr>
      <w:rFonts w:ascii="Calibri" w:hAnsi="Calibri" w:eastAsia="宋体"/>
      <w:color w:val="2E74B5"/>
      <w:sz w:val="26"/>
      <w:szCs w:val="26"/>
      <w:b/>
    </w:rPr>
  </w:style>
  <w:style w:type="paragraph" w:styleId="Heading3">
    <w:name w:val="heading 3"/>
    <w:basedOn w:val="Normal"/>
    <w:pPr>
      <w:spacing w:before="200" w:after="100" w:line="300" w:lineRule="auto"/>
      <w:widowControl/>
      <w:keepNext/>
      <w:keepLines/>
    </w:pPr>
    <w:rPr>
      <w:rFonts w:ascii="Calibri" w:hAnsi="Calibri" w:eastAsia="宋体"/>
      <w:color w:val="1F4D78"/>
      <w:sz w:val="24"/>
      <w:szCs w:val="24"/>
      <w:b/>
    </w:rPr>
  </w:style>
  <w:style w:type="paragraph" w:styleId="TableBody">
    <w:name w:val="Table Body"/>
    <w:basedOn w:val="Normal"/>
    <w:pPr>
      <w:spacing w:before="0" w:after="40" w:line="280" w:lineRule="auto"/>
      <w:widowControl/>
    </w:pPr>
    <w:rPr>
      <w:rFonts w:ascii="Calibri" w:hAnsi="Calibri" w:eastAsia="宋体"/>
      <w:color w:val="222222"/>
      <w:sz w:val="20"/>
      <w:szCs w:val="20"/>
    </w:rPr>
  </w:style>
  <w:style w:type="paragraph" w:styleId="TableHead">
    <w:name w:val="Table Header"/>
    <w:basedOn w:val="Normal"/>
    <w:pPr>
      <w:spacing w:before="0" w:after="40" w:line="280" w:lineRule="auto"/>
      <w:widowControl/>
    </w:pPr>
    <w:rPr>
      <w:rFonts w:ascii="Calibri" w:hAnsi="Calibri" w:eastAsia="宋体"/>
      <w:color w:val="1F4D78"/>
      <w:sz w:val="20"/>
      <w:szCs w:val="20"/>
      <w:b/>
    </w:rPr>
  </w:style>
  <w:style w:type="paragraph" w:styleId="TableAfter">
    <w:name w:val="Table After"/>
    <w:basedOn w:val="Normal"/>
    <w:pPr>
      <w:spacing w:before="0" w:after="80" w:line="240" w:lineRule="auto"/>
      <w:widowControl/>
    </w:pPr>
    <w:rPr>
      <w:rFonts w:ascii="Calibri" w:hAnsi="Calibri" w:eastAsia="宋体"/>
      <w:color w:val="222222"/>
      <w:sz w:val="4"/>
      <w:szCs w:val="4"/>
    </w:rPr>
  </w:style>
  <w:style w:type="paragraph" w:styleId="Furniture">
    <w:name w:val="Page Furniture"/>
    <w:basedOn w:val="Normal"/>
    <w:pPr>
      <w:spacing w:before="0" w:after="0" w:line="240" w:lineRule="auto"/>
      <w:widowControl/>
    </w:pPr>
    <w:rPr>
      <w:rFonts w:ascii="Calibri" w:hAnsi="Calibri" w:eastAsia="宋体"/>
      <w:color w:val="667085"/>
      <w:sz w:val="18"/>
      <w:szCs w:val="1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Settings" Type="http://schemas.openxmlformats.org/officeDocument/2006/relationships/settings" Target="settings.xml"/></Relationships>
</file>