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http://schemas.openxmlformats.org/wordprocessingml/2006/main">
      <w:pPr>
        <w:pStyle w:val="2"/>
        <w:numPr>
          <w:numId w:val="0"/>
        </w:numPr>
      </w:pPr>
      <w:r>
        <w:t xml:space="preserve">第4章 智能建造关键技术识别与动态演化分析</w:t>
      </w:r>
    </w:p>
    <w:p xmlns:w="http://schemas.openxmlformats.org/wordprocessingml/2006/main">
      <w:pPr>
        <w:spacing w:line="480" w:lineRule="auto"/>
        <w:ind w:firstLine="480" w:firstLineChars="200"/>
        <w:rPr>
          <w:rFonts w:ascii="宋体" w:hAnsi="宋体" w:eastAsia="宋体"/>
          <w:sz w:val="24"/>
          <w:szCs w:val="24"/>
        </w:rPr>
      </w:pPr>
      <w:r>
        <w:t xml:space="preserve">第三章从技术活动规模、生命周期背景和子领域分布说明了智能建造领域的发展态势，并为阶段性比较确定了专利范围与时间窗口。领域整体活动的增长尚不能回答具体技术在其中承担何种作用：某类技术可能随着样本规模扩大而增加专利数量，也可能在连接不同知识类别的过程中形成新的结构地位。识别关键技术因而需要将总体发展阶段落实到技术之间的关系，进一步考察这些关系所对应的工程内容。</w:t>
      </w:r>
    </w:p>
    <w:p xmlns:w="http://schemas.openxmlformats.org/wordprocessingml/2006/main">
      <w:pPr>
        <w:spacing w:line="480" w:lineRule="auto"/>
        <w:ind w:firstLine="480" w:firstLineChars="200"/>
        <w:rPr>
          <w:rFonts w:ascii="宋体" w:hAnsi="宋体" w:eastAsia="宋体"/>
          <w:sz w:val="24"/>
          <w:szCs w:val="24"/>
        </w:rPr>
      </w:pPr>
      <w:r>
        <w:t xml:space="preserve">本章以分阶段IPC共现网络为结构基础，通过技术节点影响力的跨期变化识别重点方向，再将分类信息映射至专利文本，利用BERTopic解释技术主题。网络轨迹与主题内容分别回答技术地位如何变化、这种变化涉及何种工程能力，两者结合后形成对演化路径与协同关系的解释。在对指标、主题和来源进行交叉核对的基础上，本章按技术对象组织演化证据包，为第五章的多智能体发展研判提供统一输入。其间，网络观测、语义关联与工程解释保留各自的证据属性，使前瞻性命题能够回溯至本章的具体结果。</w:t>
      </w:r>
    </w:p>
    <w:p xmlns:w="http://schemas.openxmlformats.org/wordprocessingml/2006/main">
      <w:pPr>
        <w:pStyle w:val="3"/>
        <w:numPr>
          <w:numId w:val="0"/>
        </w:numPr>
      </w:pPr>
      <w:r>
        <w:t xml:space="preserve">4.1 分阶段 IPC 共现网络构建</w:t>
      </w:r>
    </w:p>
    <w:p xmlns:w="http://schemas.openxmlformats.org/wordprocessingml/2006/main">
      <w:pPr>
        <w:pStyle w:val="4"/>
        <w:numPr>
          <w:numId w:val="0"/>
        </w:numPr>
      </w:pPr>
      <w:r>
        <w:t xml:space="preserve">4.1.1 技术节点与分类粒度确定</w:t>
      </w:r>
    </w:p>
    <w:p xmlns:w="http://schemas.openxmlformats.org/wordprocessingml/2006/main">
      <w:pPr>
        <w:spacing w:line="480" w:lineRule="auto"/>
        <w:ind w:firstLine="480" w:firstLineChars="200"/>
        <w:rPr>
          <w:rFonts w:ascii="宋体" w:hAnsi="宋体" w:eastAsia="宋体"/>
          <w:sz w:val="24"/>
          <w:szCs w:val="24"/>
        </w:rPr>
      </w:pPr>
      <w:r>
        <w:t xml:space="preserve">智能建造涉及工程知识与信息、制造、控制等知识的共同应用，同一技术方案通常包含多个功能单元。各单元在专利记录中对应不同的分类信息，其共现关系能够表征技术组合的类别结构；专利题名与摘要则说明这些组合面向何种对象、采用何种方法以及解决何种问题。两类信息分别提供结构化联系与技术语义，将其结合，有助于从领域整体关系进入具体技术内容，使关键技术识别具有可解释的工程基础。</w:t>
      </w:r>
    </w:p>
    <w:p xmlns:w="http://schemas.openxmlformats.org/wordprocessingml/2006/main">
      <w:pPr>
        <w:spacing w:line="480" w:lineRule="auto"/>
        <w:ind w:firstLine="480" w:firstLineChars="200"/>
        <w:rPr>
          <w:rFonts w:ascii="宋体" w:hAnsi="宋体" w:eastAsia="宋体"/>
          <w:sz w:val="24"/>
          <w:szCs w:val="24"/>
        </w:rPr>
      </w:pPr>
      <w:r>
        <w:t xml:space="preserve">纪亚琨（2023，第76—78页）在自动驾驶产业研究中采用动态网络与专利文本分析相结合的组织方式，由产业技术关系追踪进入主题层面的内容解释。本章参考这一分析逻辑，将其应用对象转为智能建造关键技术，并以BERTopic解读专利文本，形成“网络位置—跨期变化—文本主题”的识别过程。研究对象包括持续支撑建造活动的基础技术，以及随着跨领域联系增加而形成较强作用的新兴技术。两类对象共同反映技术体系的延续与调整，其关键性依据结构作用与工程功能加以讨论，不以产业范式替代作为必要条件。</w:t>
      </w:r>
    </w:p>
    <w:p xmlns:w="http://schemas.openxmlformats.org/wordprocessingml/2006/main">
      <w:pPr>
        <w:spacing w:line="480" w:lineRule="auto"/>
        <w:ind w:firstLine="480" w:firstLineChars="200"/>
        <w:rPr>
          <w:rFonts w:ascii="宋体" w:hAnsi="宋体" w:eastAsia="宋体"/>
          <w:sz w:val="24"/>
          <w:szCs w:val="24"/>
        </w:rPr>
      </w:pPr>
      <w:r>
        <w:t xml:space="preserve">IPC信息统一至大组层级，以兼顾技术类别的具体性和跨期比较的稳定性。原有资料中B25J11与B25J-011等写法指向同一大组，空格、连字符与补零形式属于表示差异，应在节点对应时统一。正文沿用表中带连字符的编号形式，技术名称则结合智能建造场景说明其应用含义。例如，将某一大组联系到机器人作业或工程设计，是对样本内容的解释，而非将该应用表述视为IPC大组的完整官方定义。分类版本调整与大组对应关系同样影响跨期比较，节点的首次出现应与编码变化、检索覆盖及样本积累共同考察。</w:t>
      </w:r>
    </w:p>
    <w:p xmlns:w="http://schemas.openxmlformats.org/wordprocessingml/2006/main">
      <w:pPr>
        <w:spacing w:line="480" w:lineRule="auto"/>
        <w:ind w:firstLine="480" w:firstLineChars="200"/>
        <w:rPr>
          <w:rFonts w:ascii="宋体" w:hAnsi="宋体" w:eastAsia="宋体"/>
          <w:sz w:val="24"/>
          <w:szCs w:val="24"/>
        </w:rPr>
      </w:pPr>
      <w:r>
        <w:t xml:space="preserve">大组粒度使节点保持相对明确的技术范围，同时避免将大量细分小组直接视为相互独立的技术。其输出是各阶段共享编码规范的节点集合，而不是预先命名的工程技术清单。例如，同属计算或测量大组的专利可以服务于设计、制造和施工等不同环节，节点名称只能提供识别入口，具体技术主题仍需由后续文本映射确定。对于阶段间新增或缺失的节点，本文将其记录为给定分类体系和样本覆盖下的出现情况，不将首次观测年份直接解释为技术发明年份。</w:t>
      </w:r>
    </w:p>
    <w:p xmlns:w="http://schemas.openxmlformats.org/wordprocessingml/2006/main">
      <w:pPr>
        <w:pStyle w:val="4"/>
        <w:numPr>
          <w:numId w:val="0"/>
        </w:numPr>
      </w:pPr>
      <w:r>
        <w:t xml:space="preserve">4.1.2 技术共现关系测度与网络构建</w:t>
      </w:r>
    </w:p>
    <w:p xmlns:w="http://schemas.openxmlformats.org/wordprocessingml/2006/main">
      <w:pPr>
        <w:spacing w:line="480" w:lineRule="auto"/>
        <w:ind w:firstLine="480" w:firstLineChars="200"/>
        <w:rPr>
          <w:rFonts w:ascii="宋体" w:hAnsi="宋体" w:eastAsia="宋体"/>
          <w:sz w:val="24"/>
          <w:szCs w:val="24"/>
        </w:rPr>
      </w:pPr>
      <w:r>
        <w:t xml:space="preserve">本章沿用第三章5926件专利的样本范围。既有共现统计显示，包含2个及以上IPC分类号的专利为5039件，约占样本总量的85.03%；包含3个及以上分类号的专利为3709件，占62.59%；单件专利所含分类号最多为27个，如图4-1所示。这表明样本中多分类记录具有普遍性，为分析知识类别间的组合提供了数据基础。分类数量反映专利涉及的类别范围，其对应的技术单元如何在工程中配合，仍需联系专利文本解释。</w:t>
      </w:r>
    </w:p>
    <w:p xmlns:w="http://schemas.openxmlformats.org/wordprocessingml/2006/main">
      <w:pPr>
        <w:spacing w:line="480" w:lineRule="auto"/>
        <w:ind w:firstLine="480" w:firstLineChars="200"/>
        <w:rPr>
          <w:rFonts w:ascii="宋体" w:hAnsi="宋体" w:eastAsia="宋体"/>
          <w:sz w:val="24"/>
          <w:szCs w:val="24"/>
        </w:rPr>
      </w:pPr>
      <w:r>
        <w:t xml:space="preserve">[图4-1 专利样本IPC分类号数量分布（待插入）]</w:t>
      </w:r>
    </w:p>
    <w:p xmlns:w="http://schemas.openxmlformats.org/wordprocessingml/2006/main">
      <w:pPr>
        <w:spacing w:line="480" w:lineRule="auto"/>
        <w:ind w:firstLine="480" w:firstLineChars="200"/>
        <w:rPr>
          <w:rFonts w:ascii="宋体" w:hAnsi="宋体" w:eastAsia="宋体"/>
          <w:sz w:val="24"/>
          <w:szCs w:val="24"/>
        </w:rPr>
      </w:pPr>
      <w:r>
        <w:t xml:space="preserve">承接第三章用于动态比较的时间组织，本章划分为2010—2014年、2015—2019年和2020—2025年三个阶段。该划分用于比较不同发展时期的知识关联，并保留后期专利活动扩展的特征。第三章数量变化描述中的2010—2013年和2014—2019年时段用于说明年度走势，本章采用2010—2014年和2015—2019年窗口组织网络比较，两种分段用途不同，不将年度趋势描述中的边界直接替换为网络划分。三个阶段分别构建网络，节点指标对应各自窗口内的关系，不将后期新增专利追溯计入早期网络。2025年数据受检索截止时间及专利公开时滞影响，阶段3表示观察期末已经进入样本的记录，其变化应结合这一覆盖条件理解。</w:t>
      </w:r>
    </w:p>
    <w:p xmlns:w="http://schemas.openxmlformats.org/wordprocessingml/2006/main">
      <w:pPr>
        <w:spacing w:line="480" w:lineRule="auto"/>
        <w:ind w:firstLine="480" w:firstLineChars="200"/>
        <w:rPr>
          <w:rFonts w:ascii="宋体" w:hAnsi="宋体" w:eastAsia="宋体"/>
          <w:sz w:val="24"/>
          <w:szCs w:val="24"/>
        </w:rPr>
      </w:pPr>
      <w:r>
        <w:t xml:space="preserve">共现网络的基本关系以单件专利为单位组织。当同一记录包含两个不同IPC大组时，两者形成一条无向连接；同一大组在该记录内重复出现时，不因重复标注增加其与自身的联系。共现频次可以表征某一类别组合在多件专利中的重复出现，连接是否存在则为无权中心度提供关系基础。现有度中心度公式采用二元连接变量，故本章对该指标的解释遵循无权连接含义；涉及“强联系”或共现频次变化的判断，则需相应边权记录支持，不由节点中心度代替。</w:t>
      </w:r>
    </w:p>
    <w:p xmlns:w="http://schemas.openxmlformats.org/wordprocessingml/2006/main">
      <w:pPr>
        <w:spacing w:line="480" w:lineRule="auto"/>
        <w:ind w:firstLine="480" w:firstLineChars="200"/>
        <w:rPr>
          <w:rFonts w:ascii="宋体" w:hAnsi="宋体" w:eastAsia="宋体"/>
          <w:sz w:val="24"/>
          <w:szCs w:val="24"/>
        </w:rPr>
      </w:pPr>
      <w:r>
        <w:t xml:space="preserve">原分析提及少量孤立节点和孤立节点对未纳入重点讨论。这些局部结构有助于认识知识联系的差异，但其是否计入中心度计算、是否单独按连通分量计算，会影响标准化分母与距离指标。为保持方法和结果之间的对应，本章保留既有指标及局部结构描述，将网络重建所需的清洗和连通规则作为复核条件。[待补充：各阶段专利清单、IPC分类号数量分布的原始频数表、IPC大组映射表、边表及共现频次、重复分类处理规则、孤立节点与连通分量处理记录；图4-4原图标注2020—2024年，须核实其数据截止年份与阶段3统计的一致性。]</w:t>
      </w:r>
    </w:p>
    <w:p xmlns:w="http://schemas.openxmlformats.org/wordprocessingml/2006/main">
      <w:pPr>
        <w:spacing w:line="480" w:lineRule="auto"/>
        <w:ind w:firstLine="480" w:firstLineChars="200"/>
        <w:rPr>
          <w:rFonts w:ascii="宋体" w:hAnsi="宋体" w:eastAsia="宋体"/>
          <w:sz w:val="24"/>
          <w:szCs w:val="24"/>
        </w:rPr>
      </w:pPr>
      <w:r>
        <w:t xml:space="preserve">每个窗口内的专利记录经大组归并后，可表示为该专利所含不同大组的集合。集合中的任意两个不同元素形成共现对，在阶段内汇总后得到边集合与共现频次。二元邻接矩阵保留关系的有无，共现频次矩阵保留重复组合的数量；二者对应的研究问题不同。本文的节点轨迹依据已报告中心度结果展开，尚未获得完整边权序列的组合仅作为关联线索，因此不由无权节点指标反推某一技术对的融合速度。</w:t>
      </w:r>
    </w:p>
    <w:p xmlns:w="http://schemas.openxmlformats.org/wordprocessingml/2006/main">
      <w:pPr>
        <w:spacing w:line="480" w:lineRule="auto"/>
        <w:ind w:firstLine="480" w:firstLineChars="200"/>
        <w:rPr>
          <w:rFonts w:ascii="宋体" w:hAnsi="宋体" w:eastAsia="宋体"/>
          <w:sz w:val="24"/>
          <w:szCs w:val="24"/>
        </w:rPr>
      </w:pPr>
      <w:r>
        <w:t xml:space="preserve">时间窗口承担的是同口径观察功能。阶段3包含2025年截至2025年10月1日进入检索范围的记录，后续公开的专利不在当期样本内；各阶段实际覆盖长度与公开时滞也不完全相同。标准化中心度有助于表达节点在各自网络中的相对位置，但不会自动消除专利覆盖差异。将其与第三章生命周期结果衔接时，本文使用领域发展背景解释关系扩展的环境，不依据网络窗口单独认定每项技术的萌芽、成长或成熟状态。</w:t>
      </w:r>
    </w:p>
    <w:p xmlns:w="http://schemas.openxmlformats.org/wordprocessingml/2006/main">
      <w:pPr>
        <w:pStyle w:val="4"/>
        <w:numPr>
          <w:numId w:val="0"/>
        </w:numPr>
      </w:pPr>
      <w:r>
        <w:t xml:space="preserve">4.1.3 网络结构特征及跨阶段比较</w:t>
      </w:r>
    </w:p>
    <w:p xmlns:w="http://schemas.openxmlformats.org/wordprocessingml/2006/main">
      <w:pPr>
        <w:spacing w:line="480" w:lineRule="auto"/>
        <w:ind w:firstLine="480" w:firstLineChars="200"/>
        <w:rPr>
          <w:rFonts w:ascii="宋体" w:hAnsi="宋体" w:eastAsia="宋体"/>
          <w:sz w:val="24"/>
          <w:szCs w:val="24"/>
        </w:rPr>
      </w:pPr>
      <w:r>
        <w:t xml:space="preserve">三幅阶段网络图分别标注最大连通分量包含43、451和919个节点，说明图示中的主要关联结构随观察窗口扩展而包含更多类别。该数量对应最大连通分量，与补充计算记录中75、518和979个节点的全表口径不同。图中节点大小表示度中心度，颜色表示中介中心度，边宽表示共现强度，但各阶段色标上限并不一致。因此，图形适合用于识别各自阶段内部的关联位置，跨阶段变化仍以数值轨迹为依据，不以相同颜色或视觉大小直接判定指标相等。</w:t>
      </w:r>
    </w:p>
    <w:p xmlns:w="http://schemas.openxmlformats.org/wordprocessingml/2006/main">
      <w:pPr>
        <w:spacing w:line="480" w:lineRule="auto"/>
        <w:ind w:firstLine="480" w:firstLineChars="200"/>
        <w:rPr>
          <w:rFonts w:ascii="宋体" w:hAnsi="宋体" w:eastAsia="宋体"/>
          <w:sz w:val="24"/>
          <w:szCs w:val="24"/>
        </w:rPr>
      </w:pPr>
      <w:r>
        <w:t xml:space="preserve">阶段1的网络围绕已有建造活动形成若干局部关联，整体呈现多中心、较分散的结构。表4-1显示，E04G-021的度中心度为0.1757、中介中心度为0.2140，E04B-001对应指标为0.0811和0.1238，二者在所列节点中具有较突出的桥接位置。E04B-002的度中心度与中介中心度分别为0.1216和0.1411，也体现了建筑结构相关知识在早期网络中的作用。B28B-001的度中心度为0.0541，而中介中心度仅为0.0001，说明其具有直接组合联系，但在跨节点最短路径上的作用较弱。由此，早期建造知识的基础性应区分广泛参与和结构桥接两个层次。</w:t>
      </w:r>
    </w:p>
    <w:p xmlns:w="http://schemas.openxmlformats.org/wordprocessingml/2006/main">
      <w:pPr>
        <w:spacing w:line="480" w:lineRule="auto"/>
        <w:ind w:firstLine="480" w:firstLineChars="200"/>
        <w:rPr>
          <w:rFonts w:ascii="宋体" w:hAnsi="宋体" w:eastAsia="宋体"/>
          <w:sz w:val="24"/>
          <w:szCs w:val="24"/>
        </w:rPr>
      </w:pPr>
      <w:r>
        <w:t xml:space="preserve">表4-1 阶段1（2010—2014年）IPC网络指标的部分计算结果</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ns1:paraId="24021F30">
        <w:trPr>
          <w:tblHeader/>
          <w:jc w:val="center"/>
        </w:trPr>
        <w:tc>
          <w:tcPr>
            <w:tcW w:w="1628" w:type="dxa"/>
            <w:tcBorders>
              <w:top w:val="single" w:color="auto" w:sz="12" w:space="0"/>
              <w:left w:val="nil"/>
              <w:bottom w:val="single" w:color="auto" w:sz="4" w:space="0"/>
              <w:right w:val="nil"/>
            </w:tcBorders>
            <w:vAlign w:val="center"/>
          </w:tcPr>
          <w:p ns1:paraId="3853A7F7">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ns1:paraId="7C5F8FFC">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ns1:paraId="7923ADE8">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ns1:paraId="68D384C1">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ns1:paraId="1598DA79">
            <w:pPr>
              <w:snapToGrid w:val="0"/>
              <w:spacing w:line="360" w:lineRule="auto"/>
              <w:jc w:val="center"/>
              <w:rPr>
                <w:rFonts w:ascii="宋体" w:hAnsi="宋体" w:eastAsia="宋体"/>
                <w:b/>
                <w:szCs w:val="21"/>
              </w:rPr>
            </w:pPr>
            <w:r>
              <w:rPr>
                <w:rFonts w:hint="eastAsia" w:ascii="宋体" w:hAnsi="宋体" w:eastAsia="宋体"/>
                <w:b/>
                <w:szCs w:val="21"/>
              </w:rPr>
              <w:t>偏心度</w:t>
            </w:r>
          </w:p>
        </w:tc>
      </w:tr>
      <w:tr ns1:paraId="77822C51">
        <w:trPr>
          <w:jc w:val="center"/>
        </w:trPr>
        <w:tc>
          <w:tcPr>
            <w:tcW w:w="1628" w:type="dxa"/>
            <w:tcBorders>
              <w:top w:val="single" w:color="auto" w:sz="4" w:space="0"/>
              <w:left w:val="nil"/>
              <w:bottom w:val="nil"/>
              <w:right w:val="nil"/>
            </w:tcBorders>
            <w:vAlign w:val="center"/>
          </w:tcPr>
          <w:p ns1:paraId="00733601">
            <w:pPr>
              <w:snapToGrid w:val="0"/>
              <w:spacing w:line="360" w:lineRule="auto"/>
              <w:jc w:val="center"/>
              <w:rPr>
                <w:rFonts w:ascii="宋体" w:hAnsi="宋体" w:eastAsia="宋体"/>
                <w:szCs w:val="21"/>
              </w:rPr>
            </w:pPr>
            <w:r>
              <w:rPr>
                <w:rFonts w:hint="eastAsia" w:ascii="宋体" w:hAnsi="宋体" w:eastAsia="宋体"/>
                <w:szCs w:val="21"/>
              </w:rPr>
              <w:t>B29C-067</w:t>
            </w:r>
          </w:p>
        </w:tc>
        <w:tc>
          <w:tcPr>
            <w:tcW w:w="1642" w:type="dxa"/>
            <w:tcBorders>
              <w:top w:val="single" w:color="auto" w:sz="4" w:space="0"/>
              <w:left w:val="nil"/>
              <w:bottom w:val="nil"/>
              <w:right w:val="nil"/>
            </w:tcBorders>
            <w:vAlign w:val="center"/>
          </w:tcPr>
          <w:p ns1:paraId="5EEB755D">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single" w:color="auto" w:sz="4" w:space="0"/>
              <w:left w:val="nil"/>
              <w:bottom w:val="nil"/>
              <w:right w:val="nil"/>
            </w:tcBorders>
            <w:vAlign w:val="center"/>
          </w:tcPr>
          <w:p ns1:paraId="0A02690D">
            <w:pPr>
              <w:snapToGrid w:val="0"/>
              <w:spacing w:line="360" w:lineRule="auto"/>
              <w:jc w:val="center"/>
              <w:rPr>
                <w:rFonts w:ascii="宋体" w:hAnsi="宋体" w:eastAsia="宋体"/>
                <w:szCs w:val="21"/>
              </w:rPr>
            </w:pPr>
            <w:r>
              <w:rPr>
                <w:rFonts w:hint="eastAsia" w:ascii="宋体" w:hAnsi="宋体" w:eastAsia="宋体"/>
                <w:szCs w:val="21"/>
              </w:rPr>
              <w:t>0.0296</w:t>
            </w:r>
          </w:p>
        </w:tc>
        <w:tc>
          <w:tcPr>
            <w:tcW w:w="1967" w:type="dxa"/>
            <w:tcBorders>
              <w:top w:val="single" w:color="auto" w:sz="4" w:space="0"/>
              <w:left w:val="nil"/>
              <w:bottom w:val="nil"/>
              <w:right w:val="nil"/>
            </w:tcBorders>
            <w:vAlign w:val="center"/>
          </w:tcPr>
          <w:p ns1:paraId="1984C4C2">
            <w:pPr>
              <w:snapToGrid w:val="0"/>
              <w:spacing w:line="360" w:lineRule="auto"/>
              <w:jc w:val="center"/>
              <w:rPr>
                <w:rFonts w:ascii="宋体" w:hAnsi="宋体" w:eastAsia="宋体"/>
                <w:szCs w:val="21"/>
              </w:rPr>
            </w:pPr>
            <w:r>
              <w:rPr>
                <w:rFonts w:hint="eastAsia" w:ascii="宋体" w:hAnsi="宋体" w:eastAsia="宋体"/>
                <w:szCs w:val="21"/>
              </w:rPr>
              <w:t>0.1970</w:t>
            </w:r>
          </w:p>
        </w:tc>
        <w:tc>
          <w:tcPr>
            <w:tcW w:w="1315" w:type="dxa"/>
            <w:tcBorders>
              <w:top w:val="single" w:color="auto" w:sz="4" w:space="0"/>
              <w:left w:val="nil"/>
              <w:bottom w:val="nil"/>
              <w:right w:val="nil"/>
            </w:tcBorders>
            <w:vAlign w:val="center"/>
          </w:tcPr>
          <w:p ns1:paraId="157D0053">
            <w:pPr>
              <w:snapToGrid w:val="0"/>
              <w:spacing w:line="360" w:lineRule="auto"/>
              <w:jc w:val="center"/>
              <w:rPr>
                <w:rFonts w:ascii="宋体" w:hAnsi="宋体" w:eastAsia="宋体"/>
                <w:szCs w:val="21"/>
              </w:rPr>
            </w:pPr>
            <w:r>
              <w:rPr>
                <w:rFonts w:hint="eastAsia" w:ascii="宋体" w:hAnsi="宋体" w:eastAsia="宋体"/>
                <w:szCs w:val="21"/>
              </w:rPr>
              <w:t>6</w:t>
            </w:r>
          </w:p>
        </w:tc>
      </w:tr>
      <w:tr ns1:paraId="1255E768">
        <w:trPr>
          <w:jc w:val="center"/>
        </w:trPr>
        <w:tc>
          <w:tcPr>
            <w:tcW w:w="1628" w:type="dxa"/>
            <w:tcBorders>
              <w:top w:val="nil"/>
              <w:left w:val="nil"/>
              <w:bottom w:val="nil"/>
              <w:right w:val="nil"/>
            </w:tcBorders>
            <w:vAlign w:val="center"/>
          </w:tcPr>
          <w:p ns1:paraId="57EB1A28">
            <w:pPr>
              <w:snapToGrid w:val="0"/>
              <w:spacing w:line="360" w:lineRule="auto"/>
              <w:jc w:val="center"/>
              <w:rPr>
                <w:rFonts w:ascii="宋体" w:hAnsi="宋体" w:eastAsia="宋体"/>
                <w:szCs w:val="21"/>
              </w:rPr>
            </w:pPr>
            <w:r>
              <w:rPr>
                <w:rFonts w:hint="eastAsia" w:ascii="宋体" w:hAnsi="宋体" w:eastAsia="宋体"/>
                <w:szCs w:val="21"/>
              </w:rPr>
              <w:t>C08F-220</w:t>
            </w:r>
          </w:p>
        </w:tc>
        <w:tc>
          <w:tcPr>
            <w:tcW w:w="1642" w:type="dxa"/>
            <w:tcBorders>
              <w:top w:val="nil"/>
              <w:left w:val="nil"/>
              <w:bottom w:val="nil"/>
              <w:right w:val="nil"/>
            </w:tcBorders>
            <w:vAlign w:val="center"/>
          </w:tcPr>
          <w:p ns1:paraId="71575EC0">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ns1:paraId="3FDACD0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ns1:paraId="47F796E0">
            <w:pPr>
              <w:snapToGrid w:val="0"/>
              <w:spacing w:line="360" w:lineRule="auto"/>
              <w:jc w:val="center"/>
              <w:rPr>
                <w:rFonts w:ascii="宋体" w:hAnsi="宋体" w:eastAsia="宋体"/>
                <w:szCs w:val="21"/>
              </w:rPr>
            </w:pPr>
            <w:r>
              <w:rPr>
                <w:rFonts w:hint="eastAsia" w:ascii="宋体" w:hAnsi="宋体" w:eastAsia="宋体"/>
                <w:szCs w:val="21"/>
              </w:rPr>
              <w:t>0.1481</w:t>
            </w:r>
          </w:p>
        </w:tc>
        <w:tc>
          <w:tcPr>
            <w:tcW w:w="1315" w:type="dxa"/>
            <w:tcBorders>
              <w:top w:val="nil"/>
              <w:left w:val="nil"/>
              <w:bottom w:val="nil"/>
              <w:right w:val="nil"/>
            </w:tcBorders>
            <w:vAlign w:val="center"/>
          </w:tcPr>
          <w:p ns1:paraId="0063DE5B">
            <w:pPr>
              <w:snapToGrid w:val="0"/>
              <w:spacing w:line="360" w:lineRule="auto"/>
              <w:jc w:val="center"/>
              <w:rPr>
                <w:rFonts w:ascii="宋体" w:hAnsi="宋体" w:eastAsia="宋体"/>
                <w:szCs w:val="21"/>
              </w:rPr>
            </w:pPr>
            <w:r>
              <w:rPr>
                <w:rFonts w:hint="eastAsia" w:ascii="宋体" w:hAnsi="宋体" w:eastAsia="宋体"/>
                <w:szCs w:val="21"/>
              </w:rPr>
              <w:t>7</w:t>
            </w:r>
          </w:p>
        </w:tc>
      </w:tr>
      <w:tr ns1:paraId="7044418B">
        <w:trPr>
          <w:jc w:val="center"/>
        </w:trPr>
        <w:tc>
          <w:tcPr>
            <w:tcW w:w="1628" w:type="dxa"/>
            <w:tcBorders>
              <w:top w:val="nil"/>
              <w:left w:val="nil"/>
              <w:bottom w:val="nil"/>
              <w:right w:val="nil"/>
            </w:tcBorders>
            <w:vAlign w:val="center"/>
          </w:tcPr>
          <w:p ns1:paraId="049B49EB">
            <w:pPr>
              <w:snapToGrid w:val="0"/>
              <w:spacing w:line="360" w:lineRule="auto"/>
              <w:jc w:val="center"/>
              <w:rPr>
                <w:rFonts w:ascii="宋体" w:hAnsi="宋体" w:eastAsia="宋体"/>
                <w:szCs w:val="21"/>
              </w:rPr>
            </w:pPr>
            <w:r>
              <w:rPr>
                <w:rFonts w:hint="eastAsia" w:ascii="宋体" w:hAnsi="宋体" w:eastAsia="宋体"/>
                <w:szCs w:val="21"/>
              </w:rPr>
              <w:t>E04B-001</w:t>
            </w:r>
          </w:p>
        </w:tc>
        <w:tc>
          <w:tcPr>
            <w:tcW w:w="1642" w:type="dxa"/>
            <w:tcBorders>
              <w:top w:val="nil"/>
              <w:left w:val="nil"/>
              <w:bottom w:val="nil"/>
              <w:right w:val="nil"/>
            </w:tcBorders>
            <w:vAlign w:val="center"/>
          </w:tcPr>
          <w:p ns1:paraId="546F62A4">
            <w:pPr>
              <w:snapToGrid w:val="0"/>
              <w:spacing w:line="360" w:lineRule="auto"/>
              <w:jc w:val="center"/>
              <w:rPr>
                <w:rFonts w:ascii="宋体" w:hAnsi="宋体" w:eastAsia="宋体"/>
                <w:szCs w:val="21"/>
              </w:rPr>
            </w:pPr>
            <w:r>
              <w:rPr>
                <w:rFonts w:hint="eastAsia" w:ascii="宋体" w:hAnsi="宋体" w:eastAsia="宋体"/>
                <w:szCs w:val="21"/>
              </w:rPr>
              <w:t>0.0811</w:t>
            </w:r>
          </w:p>
        </w:tc>
        <w:tc>
          <w:tcPr>
            <w:tcW w:w="1967" w:type="dxa"/>
            <w:tcBorders>
              <w:top w:val="nil"/>
              <w:left w:val="nil"/>
              <w:bottom w:val="nil"/>
              <w:right w:val="nil"/>
            </w:tcBorders>
            <w:vAlign w:val="center"/>
          </w:tcPr>
          <w:p ns1:paraId="5028084C">
            <w:pPr>
              <w:snapToGrid w:val="0"/>
              <w:spacing w:line="360" w:lineRule="auto"/>
              <w:jc w:val="center"/>
              <w:rPr>
                <w:rFonts w:ascii="宋体" w:hAnsi="宋体" w:eastAsia="宋体"/>
                <w:szCs w:val="21"/>
              </w:rPr>
            </w:pPr>
            <w:r>
              <w:rPr>
                <w:rFonts w:hint="eastAsia" w:ascii="宋体" w:hAnsi="宋体" w:eastAsia="宋体"/>
                <w:szCs w:val="21"/>
              </w:rPr>
              <w:t>0.1238</w:t>
            </w:r>
          </w:p>
        </w:tc>
        <w:tc>
          <w:tcPr>
            <w:tcW w:w="1967" w:type="dxa"/>
            <w:tcBorders>
              <w:top w:val="nil"/>
              <w:left w:val="nil"/>
              <w:bottom w:val="nil"/>
              <w:right w:val="nil"/>
            </w:tcBorders>
            <w:vAlign w:val="center"/>
          </w:tcPr>
          <w:p ns1:paraId="2AD32C0B">
            <w:pPr>
              <w:snapToGrid w:val="0"/>
              <w:spacing w:line="360" w:lineRule="auto"/>
              <w:jc w:val="center"/>
              <w:rPr>
                <w:rFonts w:ascii="宋体" w:hAnsi="宋体" w:eastAsia="宋体"/>
                <w:szCs w:val="21"/>
              </w:rPr>
            </w:pPr>
            <w:r>
              <w:rPr>
                <w:rFonts w:hint="eastAsia" w:ascii="宋体" w:hAnsi="宋体" w:eastAsia="宋体"/>
                <w:szCs w:val="21"/>
              </w:rPr>
              <w:t>0.2337</w:t>
            </w:r>
          </w:p>
        </w:tc>
        <w:tc>
          <w:tcPr>
            <w:tcW w:w="1315" w:type="dxa"/>
            <w:tcBorders>
              <w:top w:val="nil"/>
              <w:left w:val="nil"/>
              <w:bottom w:val="nil"/>
              <w:right w:val="nil"/>
            </w:tcBorders>
            <w:vAlign w:val="center"/>
          </w:tcPr>
          <w:p ns1:paraId="024D7313">
            <w:pPr>
              <w:snapToGrid w:val="0"/>
              <w:spacing w:line="360" w:lineRule="auto"/>
              <w:jc w:val="center"/>
              <w:rPr>
                <w:rFonts w:ascii="宋体" w:hAnsi="宋体" w:eastAsia="宋体"/>
                <w:szCs w:val="21"/>
              </w:rPr>
            </w:pPr>
            <w:r>
              <w:rPr>
                <w:rFonts w:hint="eastAsia" w:ascii="宋体" w:hAnsi="宋体" w:eastAsia="宋体"/>
                <w:szCs w:val="21"/>
              </w:rPr>
              <w:t>5</w:t>
            </w:r>
          </w:p>
        </w:tc>
      </w:tr>
      <w:tr ns1:paraId="534DEDFB">
        <w:trPr>
          <w:jc w:val="center"/>
        </w:trPr>
        <w:tc>
          <w:tcPr>
            <w:tcW w:w="1628" w:type="dxa"/>
            <w:tcBorders>
              <w:top w:val="nil"/>
              <w:left w:val="nil"/>
              <w:bottom w:val="nil"/>
              <w:right w:val="nil"/>
            </w:tcBorders>
            <w:vAlign w:val="center"/>
          </w:tcPr>
          <w:p ns1:paraId="059360B2">
            <w:pPr>
              <w:snapToGrid w:val="0"/>
              <w:spacing w:line="360" w:lineRule="auto"/>
              <w:jc w:val="center"/>
              <w:rPr>
                <w:rFonts w:ascii="宋体" w:hAnsi="宋体" w:eastAsia="宋体"/>
                <w:szCs w:val="21"/>
              </w:rPr>
            </w:pPr>
            <w:r>
              <w:rPr>
                <w:rFonts w:hint="eastAsia" w:ascii="宋体" w:hAnsi="宋体" w:eastAsia="宋体"/>
                <w:szCs w:val="21"/>
              </w:rPr>
              <w:t>E04C-003</w:t>
            </w:r>
          </w:p>
        </w:tc>
        <w:tc>
          <w:tcPr>
            <w:tcW w:w="1642" w:type="dxa"/>
            <w:tcBorders>
              <w:top w:val="nil"/>
              <w:left w:val="nil"/>
              <w:bottom w:val="nil"/>
              <w:right w:val="nil"/>
            </w:tcBorders>
            <w:vAlign w:val="center"/>
          </w:tcPr>
          <w:p ns1:paraId="01F1462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ns1:paraId="201C6C68">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ns1:paraId="7D779464">
            <w:pPr>
              <w:snapToGrid w:val="0"/>
              <w:spacing w:line="360" w:lineRule="auto"/>
              <w:jc w:val="center"/>
              <w:rPr>
                <w:rFonts w:ascii="宋体" w:hAnsi="宋体" w:eastAsia="宋体"/>
                <w:szCs w:val="21"/>
              </w:rPr>
            </w:pPr>
            <w:r>
              <w:rPr>
                <w:rFonts w:hint="eastAsia" w:ascii="宋体" w:hAnsi="宋体" w:eastAsia="宋体"/>
                <w:szCs w:val="21"/>
              </w:rPr>
              <w:t>0.1954</w:t>
            </w:r>
          </w:p>
        </w:tc>
        <w:tc>
          <w:tcPr>
            <w:tcW w:w="1315" w:type="dxa"/>
            <w:tcBorders>
              <w:top w:val="nil"/>
              <w:left w:val="nil"/>
              <w:bottom w:val="nil"/>
              <w:right w:val="nil"/>
            </w:tcBorders>
            <w:vAlign w:val="center"/>
          </w:tcPr>
          <w:p ns1:paraId="6F84C386">
            <w:pPr>
              <w:snapToGrid w:val="0"/>
              <w:spacing w:line="360" w:lineRule="auto"/>
              <w:jc w:val="center"/>
              <w:rPr>
                <w:rFonts w:ascii="宋体" w:hAnsi="宋体" w:eastAsia="宋体"/>
                <w:szCs w:val="21"/>
              </w:rPr>
            </w:pPr>
            <w:r>
              <w:rPr>
                <w:rFonts w:hint="eastAsia" w:ascii="宋体" w:hAnsi="宋体" w:eastAsia="宋体"/>
                <w:szCs w:val="21"/>
              </w:rPr>
              <w:t>6</w:t>
            </w:r>
          </w:p>
        </w:tc>
      </w:tr>
      <w:tr ns1:paraId="07C498F5">
        <w:trPr>
          <w:jc w:val="center"/>
        </w:trPr>
        <w:tc>
          <w:tcPr>
            <w:tcW w:w="1628" w:type="dxa"/>
            <w:tcBorders>
              <w:top w:val="nil"/>
              <w:left w:val="nil"/>
              <w:bottom w:val="nil"/>
              <w:right w:val="nil"/>
            </w:tcBorders>
            <w:vAlign w:val="center"/>
          </w:tcPr>
          <w:p ns1:paraId="6FAF8B3A">
            <w:pPr>
              <w:snapToGrid w:val="0"/>
              <w:spacing w:line="360" w:lineRule="auto"/>
              <w:jc w:val="center"/>
              <w:rPr>
                <w:rFonts w:ascii="宋体" w:hAnsi="宋体" w:eastAsia="宋体"/>
                <w:szCs w:val="21"/>
              </w:rPr>
            </w:pPr>
            <w:r>
              <w:rPr>
                <w:rFonts w:hint="eastAsia" w:ascii="宋体" w:hAnsi="宋体" w:eastAsia="宋体"/>
                <w:szCs w:val="21"/>
              </w:rPr>
              <w:t>E04B-002</w:t>
            </w:r>
          </w:p>
        </w:tc>
        <w:tc>
          <w:tcPr>
            <w:tcW w:w="1642" w:type="dxa"/>
            <w:tcBorders>
              <w:top w:val="nil"/>
              <w:left w:val="nil"/>
              <w:bottom w:val="nil"/>
              <w:right w:val="nil"/>
            </w:tcBorders>
            <w:vAlign w:val="center"/>
          </w:tcPr>
          <w:p ns1:paraId="3C7D1021">
            <w:pPr>
              <w:snapToGrid w:val="0"/>
              <w:spacing w:line="360" w:lineRule="auto"/>
              <w:jc w:val="center"/>
              <w:rPr>
                <w:rFonts w:ascii="宋体" w:hAnsi="宋体" w:eastAsia="宋体"/>
                <w:szCs w:val="21"/>
              </w:rPr>
            </w:pPr>
            <w:r>
              <w:rPr>
                <w:rFonts w:hint="eastAsia" w:ascii="宋体" w:hAnsi="宋体" w:eastAsia="宋体"/>
                <w:szCs w:val="21"/>
              </w:rPr>
              <w:t>0.1216</w:t>
            </w:r>
          </w:p>
        </w:tc>
        <w:tc>
          <w:tcPr>
            <w:tcW w:w="1967" w:type="dxa"/>
            <w:tcBorders>
              <w:top w:val="nil"/>
              <w:left w:val="nil"/>
              <w:bottom w:val="nil"/>
              <w:right w:val="nil"/>
            </w:tcBorders>
            <w:vAlign w:val="center"/>
          </w:tcPr>
          <w:p ns1:paraId="24E096BC">
            <w:pPr>
              <w:snapToGrid w:val="0"/>
              <w:spacing w:line="360" w:lineRule="auto"/>
              <w:jc w:val="center"/>
              <w:rPr>
                <w:rFonts w:ascii="宋体" w:hAnsi="宋体" w:eastAsia="宋体"/>
                <w:szCs w:val="21"/>
              </w:rPr>
            </w:pPr>
            <w:r>
              <w:rPr>
                <w:rFonts w:hint="eastAsia" w:ascii="宋体" w:hAnsi="宋体" w:eastAsia="宋体"/>
                <w:szCs w:val="21"/>
              </w:rPr>
              <w:t>0.1411</w:t>
            </w:r>
          </w:p>
        </w:tc>
        <w:tc>
          <w:tcPr>
            <w:tcW w:w="1967" w:type="dxa"/>
            <w:tcBorders>
              <w:top w:val="nil"/>
              <w:left w:val="nil"/>
              <w:bottom w:val="nil"/>
              <w:right w:val="nil"/>
            </w:tcBorders>
            <w:vAlign w:val="center"/>
          </w:tcPr>
          <w:p ns1:paraId="57036E7B">
            <w:pPr>
              <w:snapToGrid w:val="0"/>
              <w:spacing w:line="360" w:lineRule="auto"/>
              <w:jc w:val="center"/>
              <w:rPr>
                <w:rFonts w:ascii="宋体" w:hAnsi="宋体" w:eastAsia="宋体"/>
                <w:szCs w:val="21"/>
              </w:rPr>
            </w:pPr>
            <w:r>
              <w:rPr>
                <w:rFonts w:hint="eastAsia" w:ascii="宋体" w:hAnsi="宋体" w:eastAsia="宋体"/>
                <w:szCs w:val="21"/>
              </w:rPr>
              <w:t>0.2591</w:t>
            </w:r>
          </w:p>
        </w:tc>
        <w:tc>
          <w:tcPr>
            <w:tcW w:w="1315" w:type="dxa"/>
            <w:tcBorders>
              <w:top w:val="nil"/>
              <w:left w:val="nil"/>
              <w:bottom w:val="nil"/>
              <w:right w:val="nil"/>
            </w:tcBorders>
            <w:vAlign w:val="center"/>
          </w:tcPr>
          <w:p ns1:paraId="39B249C3">
            <w:pPr>
              <w:snapToGrid w:val="0"/>
              <w:spacing w:line="360" w:lineRule="auto"/>
              <w:jc w:val="center"/>
              <w:rPr>
                <w:rFonts w:ascii="宋体" w:hAnsi="宋体" w:eastAsia="宋体"/>
                <w:szCs w:val="21"/>
              </w:rPr>
            </w:pPr>
            <w:r>
              <w:rPr>
                <w:rFonts w:hint="eastAsia" w:ascii="宋体" w:hAnsi="宋体" w:eastAsia="宋体"/>
                <w:szCs w:val="21"/>
              </w:rPr>
              <w:t>4</w:t>
            </w:r>
          </w:p>
        </w:tc>
      </w:tr>
      <w:tr ns1:paraId="395344A0">
        <w:trPr>
          <w:jc w:val="center"/>
        </w:trPr>
        <w:tc>
          <w:tcPr>
            <w:tcW w:w="1628" w:type="dxa"/>
            <w:tcBorders>
              <w:top w:val="nil"/>
              <w:left w:val="nil"/>
              <w:bottom w:val="nil"/>
              <w:right w:val="nil"/>
            </w:tcBorders>
            <w:vAlign w:val="center"/>
          </w:tcPr>
          <w:p ns1:paraId="1C2C9DB0">
            <w:pPr>
              <w:snapToGrid w:val="0"/>
              <w:spacing w:line="360" w:lineRule="auto"/>
              <w:jc w:val="center"/>
              <w:rPr>
                <w:rFonts w:ascii="宋体" w:hAnsi="宋体" w:eastAsia="宋体"/>
                <w:szCs w:val="21"/>
              </w:rPr>
            </w:pPr>
            <w:r>
              <w:rPr>
                <w:rFonts w:hint="eastAsia" w:ascii="宋体" w:hAnsi="宋体" w:eastAsia="宋体"/>
                <w:szCs w:val="21"/>
              </w:rPr>
              <w:t>B28B-001</w:t>
            </w:r>
          </w:p>
        </w:tc>
        <w:tc>
          <w:tcPr>
            <w:tcW w:w="1642" w:type="dxa"/>
            <w:tcBorders>
              <w:top w:val="nil"/>
              <w:left w:val="nil"/>
              <w:bottom w:val="nil"/>
              <w:right w:val="nil"/>
            </w:tcBorders>
            <w:vAlign w:val="center"/>
          </w:tcPr>
          <w:p ns1:paraId="76AA22A1">
            <w:pPr>
              <w:snapToGrid w:val="0"/>
              <w:spacing w:line="360" w:lineRule="auto"/>
              <w:jc w:val="center"/>
              <w:rPr>
                <w:rFonts w:ascii="宋体" w:hAnsi="宋体" w:eastAsia="宋体"/>
                <w:szCs w:val="21"/>
              </w:rPr>
            </w:pPr>
            <w:r>
              <w:rPr>
                <w:rFonts w:hint="eastAsia" w:ascii="宋体" w:hAnsi="宋体" w:eastAsia="宋体"/>
                <w:szCs w:val="21"/>
              </w:rPr>
              <w:t>0.0541</w:t>
            </w:r>
          </w:p>
        </w:tc>
        <w:tc>
          <w:tcPr>
            <w:tcW w:w="1967" w:type="dxa"/>
            <w:tcBorders>
              <w:top w:val="nil"/>
              <w:left w:val="nil"/>
              <w:bottom w:val="nil"/>
              <w:right w:val="nil"/>
            </w:tcBorders>
            <w:vAlign w:val="center"/>
          </w:tcPr>
          <w:p ns1:paraId="77FF7571">
            <w:pPr>
              <w:snapToGrid w:val="0"/>
              <w:spacing w:line="360" w:lineRule="auto"/>
              <w:jc w:val="center"/>
              <w:rPr>
                <w:rFonts w:ascii="宋体" w:hAnsi="宋体" w:eastAsia="宋体"/>
                <w:szCs w:val="21"/>
              </w:rPr>
            </w:pPr>
            <w:r>
              <w:rPr>
                <w:rFonts w:hint="eastAsia" w:ascii="宋体" w:hAnsi="宋体" w:eastAsia="宋体"/>
                <w:szCs w:val="21"/>
              </w:rPr>
              <w:t>0.0001</w:t>
            </w:r>
          </w:p>
        </w:tc>
        <w:tc>
          <w:tcPr>
            <w:tcW w:w="1967" w:type="dxa"/>
            <w:tcBorders>
              <w:top w:val="nil"/>
              <w:left w:val="nil"/>
              <w:bottom w:val="nil"/>
              <w:right w:val="nil"/>
            </w:tcBorders>
            <w:vAlign w:val="center"/>
          </w:tcPr>
          <w:p ns1:paraId="1E49731A">
            <w:pPr>
              <w:snapToGrid w:val="0"/>
              <w:spacing w:line="360" w:lineRule="auto"/>
              <w:jc w:val="center"/>
              <w:rPr>
                <w:rFonts w:ascii="宋体" w:hAnsi="宋体" w:eastAsia="宋体"/>
                <w:szCs w:val="21"/>
              </w:rPr>
            </w:pPr>
            <w:r>
              <w:rPr>
                <w:rFonts w:hint="eastAsia" w:ascii="宋体" w:hAnsi="宋体" w:eastAsia="宋体"/>
                <w:szCs w:val="21"/>
              </w:rPr>
              <w:t>0.1834</w:t>
            </w:r>
          </w:p>
        </w:tc>
        <w:tc>
          <w:tcPr>
            <w:tcW w:w="1315" w:type="dxa"/>
            <w:tcBorders>
              <w:top w:val="nil"/>
              <w:left w:val="nil"/>
              <w:bottom w:val="nil"/>
              <w:right w:val="nil"/>
            </w:tcBorders>
            <w:vAlign w:val="center"/>
          </w:tcPr>
          <w:p ns1:paraId="02D17A73">
            <w:pPr>
              <w:snapToGrid w:val="0"/>
              <w:spacing w:line="360" w:lineRule="auto"/>
              <w:jc w:val="center"/>
              <w:rPr>
                <w:rFonts w:ascii="宋体" w:hAnsi="宋体" w:eastAsia="宋体"/>
                <w:szCs w:val="21"/>
              </w:rPr>
            </w:pPr>
            <w:r>
              <w:rPr>
                <w:rFonts w:hint="eastAsia" w:ascii="宋体" w:hAnsi="宋体" w:eastAsia="宋体"/>
                <w:szCs w:val="21"/>
              </w:rPr>
              <w:t>5</w:t>
            </w:r>
          </w:p>
        </w:tc>
      </w:tr>
      <w:tr ns1:paraId="324924B3">
        <w:trPr>
          <w:jc w:val="center"/>
        </w:trPr>
        <w:tc>
          <w:tcPr>
            <w:tcW w:w="1628" w:type="dxa"/>
            <w:tcBorders>
              <w:top w:val="nil"/>
              <w:left w:val="nil"/>
              <w:bottom w:val="nil"/>
              <w:right w:val="nil"/>
            </w:tcBorders>
            <w:vAlign w:val="center"/>
          </w:tcPr>
          <w:p ns1:paraId="4A7C8678">
            <w:pPr>
              <w:snapToGrid w:val="0"/>
              <w:spacing w:line="360" w:lineRule="auto"/>
              <w:jc w:val="center"/>
              <w:rPr>
                <w:rFonts w:ascii="宋体" w:hAnsi="宋体" w:eastAsia="宋体"/>
                <w:szCs w:val="21"/>
              </w:rPr>
            </w:pPr>
            <w:r>
              <w:rPr>
                <w:rFonts w:hint="eastAsia" w:ascii="宋体" w:hAnsi="宋体" w:eastAsia="宋体"/>
                <w:szCs w:val="21"/>
              </w:rPr>
              <w:t>-</w:t>
            </w:r>
          </w:p>
        </w:tc>
        <w:tc>
          <w:tcPr>
            <w:tcW w:w="1642" w:type="dxa"/>
            <w:tcBorders>
              <w:top w:val="nil"/>
              <w:left w:val="nil"/>
              <w:bottom w:val="nil"/>
              <w:right w:val="nil"/>
            </w:tcBorders>
            <w:vAlign w:val="center"/>
          </w:tcPr>
          <w:p ns1:paraId="263F79FE">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ns1:paraId="6C37DB4A">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ns1:paraId="35E493CE">
            <w:pPr>
              <w:snapToGrid w:val="0"/>
              <w:spacing w:line="360" w:lineRule="auto"/>
              <w:jc w:val="center"/>
              <w:rPr>
                <w:rFonts w:ascii="宋体" w:hAnsi="宋体" w:eastAsia="宋体"/>
                <w:szCs w:val="21"/>
              </w:rPr>
            </w:pPr>
            <w:r>
              <w:rPr>
                <w:rFonts w:hint="eastAsia" w:ascii="宋体" w:hAnsi="宋体" w:eastAsia="宋体"/>
                <w:szCs w:val="21"/>
              </w:rPr>
              <w:t>-</w:t>
            </w:r>
          </w:p>
        </w:tc>
        <w:tc>
          <w:tcPr>
            <w:tcW w:w="1315" w:type="dxa"/>
            <w:tcBorders>
              <w:top w:val="nil"/>
              <w:left w:val="nil"/>
              <w:bottom w:val="nil"/>
              <w:right w:val="nil"/>
            </w:tcBorders>
            <w:vAlign w:val="center"/>
          </w:tcPr>
          <w:p ns1:paraId="1D070B4C">
            <w:pPr>
              <w:snapToGrid w:val="0"/>
              <w:spacing w:line="360" w:lineRule="auto"/>
              <w:jc w:val="center"/>
              <w:rPr>
                <w:rFonts w:ascii="宋体" w:hAnsi="宋体" w:eastAsia="宋体"/>
                <w:szCs w:val="21"/>
              </w:rPr>
            </w:pPr>
            <w:r>
              <w:rPr>
                <w:rFonts w:hint="eastAsia" w:ascii="宋体" w:hAnsi="宋体" w:eastAsia="宋体"/>
                <w:szCs w:val="21"/>
              </w:rPr>
              <w:t>-</w:t>
            </w:r>
          </w:p>
        </w:tc>
      </w:tr>
      <w:tr ns1:paraId="39246E84">
        <w:trPr>
          <w:jc w:val="center"/>
        </w:trPr>
        <w:tc>
          <w:tcPr>
            <w:tcW w:w="1628" w:type="dxa"/>
            <w:tcBorders>
              <w:top w:val="nil"/>
              <w:left w:val="nil"/>
              <w:bottom w:val="nil"/>
              <w:right w:val="nil"/>
            </w:tcBorders>
            <w:vAlign w:val="center"/>
          </w:tcPr>
          <w:p ns1:paraId="3B11A272">
            <w:pPr>
              <w:snapToGrid w:val="0"/>
              <w:spacing w:line="360" w:lineRule="auto"/>
              <w:jc w:val="center"/>
              <w:rPr>
                <w:rFonts w:ascii="宋体" w:hAnsi="宋体" w:eastAsia="宋体"/>
                <w:szCs w:val="21"/>
              </w:rPr>
            </w:pPr>
            <w:r>
              <w:rPr>
                <w:rFonts w:hint="eastAsia" w:ascii="宋体" w:hAnsi="宋体" w:eastAsia="宋体"/>
                <w:szCs w:val="21"/>
              </w:rPr>
              <w:t>B25J- 011</w:t>
            </w:r>
          </w:p>
        </w:tc>
        <w:tc>
          <w:tcPr>
            <w:tcW w:w="1642" w:type="dxa"/>
            <w:tcBorders>
              <w:top w:val="nil"/>
              <w:left w:val="nil"/>
              <w:bottom w:val="nil"/>
              <w:right w:val="nil"/>
            </w:tcBorders>
            <w:vAlign w:val="center"/>
          </w:tcPr>
          <w:p ns1:paraId="2E91CAD4">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nil"/>
              <w:left w:val="nil"/>
              <w:bottom w:val="nil"/>
              <w:right w:val="nil"/>
            </w:tcBorders>
            <w:vAlign w:val="center"/>
          </w:tcPr>
          <w:p ns1:paraId="2A1EF19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ns1:paraId="00263D9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vAlign w:val="center"/>
          </w:tcPr>
          <w:p ns1:paraId="56168620">
            <w:pPr>
              <w:snapToGrid w:val="0"/>
              <w:spacing w:line="360" w:lineRule="auto"/>
              <w:jc w:val="center"/>
              <w:rPr>
                <w:rFonts w:ascii="宋体" w:hAnsi="宋体" w:eastAsia="宋体"/>
                <w:szCs w:val="21"/>
              </w:rPr>
            </w:pPr>
            <w:r>
              <w:rPr>
                <w:rFonts w:hint="eastAsia" w:ascii="宋体" w:hAnsi="宋体" w:eastAsia="宋体"/>
                <w:szCs w:val="21"/>
              </w:rPr>
              <w:t>7</w:t>
            </w:r>
          </w:p>
        </w:tc>
      </w:tr>
      <w:tr ns1:paraId="51F804A9">
        <w:trPr>
          <w:jc w:val="center"/>
        </w:trPr>
        <w:tc>
          <w:tcPr>
            <w:tcW w:w="1628" w:type="dxa"/>
            <w:tcBorders>
              <w:top w:val="nil"/>
              <w:left w:val="nil"/>
              <w:bottom w:val="nil"/>
              <w:right w:val="nil"/>
            </w:tcBorders>
            <w:vAlign w:val="center"/>
          </w:tcPr>
          <w:p ns1:paraId="45B08D9A">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shd w:val="clear" w:color="auto" w:fill="auto"/>
            <w:vAlign w:val="center"/>
          </w:tcPr>
          <w:p ns1:paraId="21352A02">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shd w:val="clear" w:color="auto" w:fill="auto"/>
            <w:vAlign w:val="center"/>
          </w:tcPr>
          <w:p ns1:paraId="0F99592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shd w:val="clear" w:color="auto" w:fill="auto"/>
            <w:vAlign w:val="center"/>
          </w:tcPr>
          <w:p ns1:paraId="08FD2EF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shd w:val="clear" w:color="auto" w:fill="auto"/>
            <w:vAlign w:val="center"/>
          </w:tcPr>
          <w:p ns1:paraId="74007E3E">
            <w:pPr>
              <w:snapToGrid w:val="0"/>
              <w:spacing w:line="360" w:lineRule="auto"/>
              <w:jc w:val="center"/>
              <w:rPr>
                <w:rFonts w:ascii="宋体" w:hAnsi="宋体" w:eastAsia="宋体"/>
                <w:szCs w:val="21"/>
              </w:rPr>
            </w:pPr>
            <w:r>
              <w:rPr>
                <w:rFonts w:hint="eastAsia" w:ascii="宋体" w:hAnsi="宋体" w:eastAsia="宋体"/>
                <w:szCs w:val="21"/>
              </w:rPr>
              <w:t>7</w:t>
            </w:r>
          </w:p>
        </w:tc>
      </w:tr>
      <w:tr ns1:paraId="4C05775B">
        <w:trPr>
          <w:jc w:val="center"/>
        </w:trPr>
        <w:tc>
          <w:tcPr>
            <w:tcW w:w="1628" w:type="dxa"/>
            <w:tcBorders>
              <w:top w:val="nil"/>
              <w:left w:val="nil"/>
              <w:bottom w:val="nil"/>
              <w:right w:val="nil"/>
            </w:tcBorders>
            <w:vAlign w:val="center"/>
          </w:tcPr>
          <w:p ns1:paraId="32D7B637">
            <w:pPr>
              <w:snapToGrid w:val="0"/>
              <w:spacing w:line="360" w:lineRule="auto"/>
              <w:jc w:val="center"/>
              <w:rPr>
                <w:rFonts w:ascii="宋体" w:hAnsi="宋体" w:eastAsia="宋体"/>
                <w:szCs w:val="21"/>
              </w:rPr>
            </w:pPr>
            <w:r>
              <w:rPr>
                <w:rFonts w:hint="eastAsia" w:ascii="宋体" w:hAnsi="宋体" w:eastAsia="宋体"/>
                <w:szCs w:val="21"/>
              </w:rPr>
              <w:t>E04G-003</w:t>
            </w:r>
          </w:p>
        </w:tc>
        <w:tc>
          <w:tcPr>
            <w:tcW w:w="1642" w:type="dxa"/>
            <w:tcBorders>
              <w:top w:val="nil"/>
              <w:left w:val="nil"/>
              <w:bottom w:val="nil"/>
              <w:right w:val="nil"/>
            </w:tcBorders>
            <w:vAlign w:val="center"/>
          </w:tcPr>
          <w:p ns1:paraId="1876284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ns1:paraId="07F3425F">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ns1:paraId="1A45FA8D">
            <w:pPr>
              <w:snapToGrid w:val="0"/>
              <w:spacing w:line="360" w:lineRule="auto"/>
              <w:jc w:val="center"/>
              <w:rPr>
                <w:rFonts w:ascii="宋体" w:hAnsi="宋体" w:eastAsia="宋体"/>
                <w:szCs w:val="21"/>
              </w:rPr>
            </w:pPr>
            <w:r>
              <w:rPr>
                <w:rFonts w:hint="eastAsia" w:ascii="宋体" w:hAnsi="宋体" w:eastAsia="宋体"/>
                <w:szCs w:val="21"/>
              </w:rPr>
              <w:t>0.1922</w:t>
            </w:r>
          </w:p>
        </w:tc>
        <w:tc>
          <w:tcPr>
            <w:tcW w:w="1315" w:type="dxa"/>
            <w:tcBorders>
              <w:top w:val="nil"/>
              <w:left w:val="nil"/>
              <w:bottom w:val="nil"/>
              <w:right w:val="nil"/>
            </w:tcBorders>
            <w:vAlign w:val="center"/>
          </w:tcPr>
          <w:p ns1:paraId="09A9A401">
            <w:pPr>
              <w:snapToGrid w:val="0"/>
              <w:spacing w:line="360" w:lineRule="auto"/>
              <w:jc w:val="center"/>
              <w:rPr>
                <w:rFonts w:ascii="宋体" w:hAnsi="宋体" w:eastAsia="宋体"/>
                <w:szCs w:val="21"/>
              </w:rPr>
            </w:pPr>
            <w:r>
              <w:rPr>
                <w:rFonts w:hint="eastAsia" w:ascii="宋体" w:hAnsi="宋体" w:eastAsia="宋体"/>
                <w:szCs w:val="21"/>
              </w:rPr>
              <w:t>6</w:t>
            </w:r>
          </w:p>
        </w:tc>
      </w:tr>
      <w:tr ns1:paraId="7597C5EE">
        <w:trPr>
          <w:jc w:val="center"/>
        </w:trPr>
        <w:tc>
          <w:tcPr>
            <w:tcW w:w="1628" w:type="dxa"/>
            <w:tcBorders>
              <w:top w:val="nil"/>
              <w:left w:val="nil"/>
              <w:bottom w:val="single" w:color="auto" w:sz="12" w:space="0"/>
              <w:right w:val="nil"/>
            </w:tcBorders>
            <w:vAlign w:val="center"/>
          </w:tcPr>
          <w:p ns1:paraId="08C0B25B">
            <w:pPr>
              <w:snapToGrid w:val="0"/>
              <w:spacing w:line="360" w:lineRule="auto"/>
              <w:jc w:val="center"/>
              <w:rPr>
                <w:rFonts w:ascii="宋体" w:hAnsi="宋体" w:eastAsia="宋体"/>
                <w:szCs w:val="21"/>
              </w:rPr>
            </w:pPr>
            <w:r>
              <w:rPr>
                <w:rFonts w:hint="eastAsia" w:ascii="宋体" w:hAnsi="宋体" w:eastAsia="宋体"/>
                <w:szCs w:val="21"/>
              </w:rPr>
              <w:t>E04G-021</w:t>
            </w:r>
          </w:p>
        </w:tc>
        <w:tc>
          <w:tcPr>
            <w:tcW w:w="1642" w:type="dxa"/>
            <w:tcBorders>
              <w:top w:val="nil"/>
              <w:left w:val="nil"/>
              <w:bottom w:val="single" w:color="auto" w:sz="12" w:space="0"/>
              <w:right w:val="nil"/>
            </w:tcBorders>
            <w:shd w:val="clear" w:color="auto" w:fill="auto"/>
            <w:vAlign w:val="center"/>
          </w:tcPr>
          <w:p ns1:paraId="63870DCB">
            <w:pPr>
              <w:snapToGrid w:val="0"/>
              <w:spacing w:line="360" w:lineRule="auto"/>
              <w:jc w:val="center"/>
              <w:rPr>
                <w:rFonts w:ascii="宋体" w:hAnsi="宋体" w:eastAsia="宋体"/>
                <w:szCs w:val="21"/>
              </w:rPr>
            </w:pPr>
            <w:r>
              <w:rPr>
                <w:rFonts w:hint="eastAsia" w:ascii="宋体" w:hAnsi="宋体" w:eastAsia="宋体"/>
                <w:szCs w:val="21"/>
              </w:rPr>
              <w:t>0.1757</w:t>
            </w:r>
          </w:p>
        </w:tc>
        <w:tc>
          <w:tcPr>
            <w:tcW w:w="1967" w:type="dxa"/>
            <w:tcBorders>
              <w:top w:val="nil"/>
              <w:left w:val="nil"/>
              <w:bottom w:val="single" w:color="auto" w:sz="12" w:space="0"/>
              <w:right w:val="nil"/>
            </w:tcBorders>
            <w:shd w:val="clear" w:color="auto" w:fill="auto"/>
            <w:vAlign w:val="center"/>
          </w:tcPr>
          <w:p ns1:paraId="4F29228D">
            <w:pPr>
              <w:snapToGrid w:val="0"/>
              <w:spacing w:line="360" w:lineRule="auto"/>
              <w:jc w:val="center"/>
              <w:rPr>
                <w:rFonts w:ascii="宋体" w:hAnsi="宋体" w:eastAsia="宋体"/>
                <w:szCs w:val="21"/>
              </w:rPr>
            </w:pPr>
            <w:r>
              <w:rPr>
                <w:rFonts w:hint="eastAsia" w:ascii="宋体" w:hAnsi="宋体" w:eastAsia="宋体"/>
                <w:szCs w:val="21"/>
              </w:rPr>
              <w:t>0.2140</w:t>
            </w:r>
          </w:p>
        </w:tc>
        <w:tc>
          <w:tcPr>
            <w:tcW w:w="1967" w:type="dxa"/>
            <w:tcBorders>
              <w:top w:val="nil"/>
              <w:left w:val="nil"/>
              <w:bottom w:val="single" w:color="auto" w:sz="12" w:space="0"/>
              <w:right w:val="nil"/>
            </w:tcBorders>
            <w:shd w:val="clear" w:color="auto" w:fill="auto"/>
            <w:vAlign w:val="center"/>
          </w:tcPr>
          <w:p ns1:paraId="781F5416">
            <w:pPr>
              <w:snapToGrid w:val="0"/>
              <w:spacing w:line="360" w:lineRule="auto"/>
              <w:jc w:val="center"/>
              <w:rPr>
                <w:rFonts w:ascii="宋体" w:hAnsi="宋体" w:eastAsia="宋体"/>
                <w:szCs w:val="21"/>
              </w:rPr>
            </w:pPr>
            <w:r>
              <w:rPr>
                <w:rFonts w:hint="eastAsia" w:ascii="宋体" w:hAnsi="宋体" w:eastAsia="宋体"/>
                <w:szCs w:val="21"/>
              </w:rPr>
              <w:t>0.2838</w:t>
            </w:r>
          </w:p>
        </w:tc>
        <w:tc>
          <w:tcPr>
            <w:tcW w:w="1315" w:type="dxa"/>
            <w:tcBorders>
              <w:top w:val="nil"/>
              <w:left w:val="nil"/>
              <w:bottom w:val="single" w:color="auto" w:sz="12" w:space="0"/>
              <w:right w:val="nil"/>
            </w:tcBorders>
            <w:shd w:val="clear" w:color="auto" w:fill="auto"/>
            <w:vAlign w:val="center"/>
          </w:tcPr>
          <w:p ns1:paraId="64E9BA2A">
            <w:pPr>
              <w:snapToGrid w:val="0"/>
              <w:spacing w:line="360" w:lineRule="auto"/>
              <w:jc w:val="center"/>
              <w:rPr>
                <w:rFonts w:ascii="宋体" w:hAnsi="宋体" w:eastAsia="宋体"/>
                <w:szCs w:val="21"/>
              </w:rPr>
            </w:pPr>
            <w:r>
              <w:rPr>
                <w:rFonts w:hint="eastAsia" w:ascii="宋体" w:hAnsi="宋体" w:eastAsia="宋体"/>
                <w:szCs w:val="21"/>
              </w:rPr>
              <w:t>5</w:t>
            </w:r>
          </w:p>
        </w:tc>
      </w:tr>
    </w:tbl>
    <w:p xmlns:w="http://schemas.openxmlformats.org/wordprocessingml/2006/main">
      <w:pPr>
        <w:spacing w:line="480" w:lineRule="auto"/>
        <w:ind w:firstLine="480" w:firstLineChars="200"/>
        <w:rPr>
          <w:rFonts w:ascii="宋体" w:hAnsi="宋体" w:eastAsia="宋体"/>
          <w:sz w:val="24"/>
          <w:szCs w:val="24"/>
        </w:rPr>
      </w:pPr>
      <w:r>
        <w:t xml:space="preserve">[图4-2 阶段1（2010—2014年）IPC共现网络（待插入）]</w:t>
      </w:r>
    </w:p>
    <w:p xmlns:w="http://schemas.openxmlformats.org/wordprocessingml/2006/main">
      <w:pPr>
        <w:spacing w:line="480" w:lineRule="auto"/>
        <w:ind w:firstLine="480" w:firstLineChars="200"/>
        <w:rPr>
          <w:rFonts w:ascii="宋体" w:hAnsi="宋体" w:eastAsia="宋体"/>
          <w:sz w:val="24"/>
          <w:szCs w:val="24"/>
        </w:rPr>
      </w:pPr>
      <w:r>
        <w:t xml:space="preserve">跨领域知识在阶段1已进入相关技术组合。B29C-067的度中心度为0.0405、中介中心度为0.0296、接近中心度为0.1970，表明其既具有一定直接联系，也在部分最短路径中承担连接作用。C08F-220的度中心度为0.0270，而中介中心度为0，适合解释为已有组合中的材料知识参与，尚缺乏将其认定为网络桥梁的指标支持。两者在结构作用上的差异说明，制造和材料知识进入建造领域可以通过不同方式发生，跨领域属性本身并不意味着相同的网络位置。</w:t>
      </w:r>
    </w:p>
    <w:p xmlns:w="http://schemas.openxmlformats.org/wordprocessingml/2006/main">
      <w:pPr>
        <w:spacing w:line="480" w:lineRule="auto"/>
        <w:ind w:firstLine="480" w:firstLineChars="200"/>
        <w:rPr>
          <w:rFonts w:ascii="宋体" w:hAnsi="宋体" w:eastAsia="宋体"/>
          <w:sz w:val="24"/>
          <w:szCs w:val="24"/>
        </w:rPr>
      </w:pPr>
      <w:r>
        <w:t xml:space="preserve">阶段2和阶段3的部分指标分别见表4-2、表4-3，共现网络见图4-3、图4-4。两个阶段包含更丰富的信息处理、智能装备与传感测量类别，为观察技术关系的调整提供了时间连续性。网络规模扩展改变了节点所处的比较环境，因此后续分析沿同一类别追踪指标变化，并结合其工程内容解释直接关联与桥接作用的差异。</w:t>
      </w:r>
    </w:p>
    <w:p xmlns:w="http://schemas.openxmlformats.org/wordprocessingml/2006/main">
      <w:pPr>
        <w:spacing w:line="480" w:lineRule="auto"/>
        <w:ind w:firstLine="480" w:firstLineChars="200"/>
        <w:rPr>
          <w:rFonts w:ascii="宋体" w:hAnsi="宋体" w:eastAsia="宋体"/>
          <w:sz w:val="24"/>
          <w:szCs w:val="24"/>
        </w:rPr>
      </w:pPr>
      <w:r>
        <w:t xml:space="preserve">表4-2 阶段2（2015—2019年）IPC网络指标的部分计算结果</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ns1:paraId="1A03240F">
        <w:trPr>
          <w:tblHeader/>
          <w:jc w:val="center"/>
        </w:trPr>
        <w:tc>
          <w:tcPr>
            <w:tcW w:w="1628" w:type="dxa"/>
            <w:tcBorders>
              <w:top w:val="single" w:color="auto" w:sz="12" w:space="0"/>
              <w:left w:val="nil"/>
              <w:bottom w:val="single" w:color="auto" w:sz="4" w:space="0"/>
              <w:right w:val="nil"/>
            </w:tcBorders>
            <w:vAlign w:val="center"/>
          </w:tcPr>
          <w:p ns1:paraId="13E26C2C">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ns1:paraId="705C929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ns1:paraId="2A71D845">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ns1:paraId="6C82A84E">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ns1:paraId="6B7F9EFC">
            <w:pPr>
              <w:snapToGrid w:val="0"/>
              <w:spacing w:line="360" w:lineRule="auto"/>
              <w:jc w:val="center"/>
              <w:rPr>
                <w:rFonts w:ascii="宋体" w:hAnsi="宋体" w:eastAsia="宋体"/>
                <w:b/>
                <w:szCs w:val="21"/>
              </w:rPr>
            </w:pPr>
            <w:r>
              <w:rPr>
                <w:rFonts w:hint="eastAsia" w:ascii="宋体" w:hAnsi="宋体" w:eastAsia="宋体"/>
                <w:b/>
                <w:szCs w:val="21"/>
              </w:rPr>
              <w:t>偏心度</w:t>
            </w:r>
          </w:p>
        </w:tc>
      </w:tr>
      <w:tr ns1:paraId="370B532A">
        <w:trPr>
          <w:jc w:val="center"/>
        </w:trPr>
        <w:tc>
          <w:tcPr>
            <w:tcW w:w="1628" w:type="dxa"/>
            <w:tcBorders>
              <w:top w:val="single" w:color="auto" w:sz="4" w:space="0"/>
              <w:left w:val="nil"/>
              <w:bottom w:val="nil"/>
              <w:right w:val="nil"/>
            </w:tcBorders>
            <w:vAlign w:val="center"/>
          </w:tcPr>
          <w:p ns1:paraId="058B0654">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ns1:paraId="417E84CE">
            <w:pPr>
              <w:snapToGrid w:val="0"/>
              <w:spacing w:line="360" w:lineRule="auto"/>
              <w:jc w:val="center"/>
              <w:rPr>
                <w:rFonts w:ascii="宋体" w:hAnsi="宋体" w:eastAsia="宋体"/>
                <w:szCs w:val="21"/>
              </w:rPr>
            </w:pPr>
            <w:r>
              <w:rPr>
                <w:rFonts w:ascii="宋体" w:hAnsi="宋体" w:eastAsia="宋体"/>
                <w:szCs w:val="21"/>
              </w:rPr>
              <w:t>0.1257</w:t>
            </w:r>
          </w:p>
        </w:tc>
        <w:tc>
          <w:tcPr>
            <w:tcW w:w="1967" w:type="dxa"/>
            <w:tcBorders>
              <w:top w:val="single" w:color="auto" w:sz="4" w:space="0"/>
              <w:left w:val="nil"/>
              <w:bottom w:val="nil"/>
              <w:right w:val="nil"/>
            </w:tcBorders>
            <w:vAlign w:val="center"/>
          </w:tcPr>
          <w:p ns1:paraId="2DB9A6D5">
            <w:pPr>
              <w:snapToGrid w:val="0"/>
              <w:spacing w:line="360" w:lineRule="auto"/>
              <w:jc w:val="center"/>
              <w:rPr>
                <w:rFonts w:ascii="宋体" w:hAnsi="宋体" w:eastAsia="宋体"/>
                <w:szCs w:val="21"/>
              </w:rPr>
            </w:pPr>
            <w:r>
              <w:rPr>
                <w:rFonts w:ascii="宋体" w:hAnsi="宋体" w:eastAsia="宋体"/>
                <w:szCs w:val="21"/>
              </w:rPr>
              <w:t>0.0349</w:t>
            </w:r>
          </w:p>
        </w:tc>
        <w:tc>
          <w:tcPr>
            <w:tcW w:w="1967" w:type="dxa"/>
            <w:tcBorders>
              <w:top w:val="single" w:color="auto" w:sz="4" w:space="0"/>
              <w:left w:val="nil"/>
              <w:bottom w:val="nil"/>
              <w:right w:val="nil"/>
            </w:tcBorders>
            <w:vAlign w:val="center"/>
          </w:tcPr>
          <w:p ns1:paraId="4642049B">
            <w:pPr>
              <w:snapToGrid w:val="0"/>
              <w:spacing w:line="360" w:lineRule="auto"/>
              <w:jc w:val="center"/>
              <w:rPr>
                <w:rFonts w:ascii="宋体" w:hAnsi="宋体" w:eastAsia="宋体"/>
                <w:szCs w:val="21"/>
              </w:rPr>
            </w:pPr>
            <w:r>
              <w:rPr>
                <w:rFonts w:ascii="宋体" w:hAnsi="宋体" w:eastAsia="宋体"/>
                <w:szCs w:val="21"/>
              </w:rPr>
              <w:t>0.3394</w:t>
            </w:r>
          </w:p>
        </w:tc>
        <w:tc>
          <w:tcPr>
            <w:tcW w:w="1315" w:type="dxa"/>
            <w:tcBorders>
              <w:top w:val="single" w:color="auto" w:sz="4" w:space="0"/>
              <w:left w:val="nil"/>
              <w:bottom w:val="nil"/>
              <w:right w:val="nil"/>
            </w:tcBorders>
            <w:vAlign w:val="center"/>
          </w:tcPr>
          <w:p ns1:paraId="6DB7963B">
            <w:pPr>
              <w:snapToGrid w:val="0"/>
              <w:spacing w:line="360" w:lineRule="auto"/>
              <w:jc w:val="center"/>
              <w:rPr>
                <w:rFonts w:ascii="宋体" w:hAnsi="宋体" w:eastAsia="宋体"/>
                <w:szCs w:val="21"/>
              </w:rPr>
            </w:pPr>
            <w:r>
              <w:rPr>
                <w:rFonts w:ascii="宋体" w:hAnsi="宋体" w:eastAsia="宋体"/>
                <w:szCs w:val="21"/>
              </w:rPr>
              <w:t>6</w:t>
            </w:r>
          </w:p>
        </w:tc>
      </w:tr>
      <w:tr ns1:paraId="565195E1">
        <w:trPr>
          <w:jc w:val="center"/>
        </w:trPr>
        <w:tc>
          <w:tcPr>
            <w:tcW w:w="1628" w:type="dxa"/>
            <w:tcBorders>
              <w:top w:val="nil"/>
              <w:left w:val="nil"/>
              <w:bottom w:val="nil"/>
              <w:right w:val="nil"/>
            </w:tcBorders>
            <w:vAlign w:val="center"/>
          </w:tcPr>
          <w:p ns1:paraId="4882444E">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ns1:paraId="48833A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832</w:t>
            </w:r>
          </w:p>
        </w:tc>
        <w:tc>
          <w:tcPr>
            <w:tcW w:w="1967" w:type="dxa"/>
            <w:tcBorders>
              <w:top w:val="nil"/>
              <w:left w:val="nil"/>
              <w:bottom w:val="nil"/>
              <w:right w:val="nil"/>
            </w:tcBorders>
            <w:vAlign w:val="center"/>
          </w:tcPr>
          <w:p ns1:paraId="6D5CBCD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599</w:t>
            </w:r>
          </w:p>
        </w:tc>
        <w:tc>
          <w:tcPr>
            <w:tcW w:w="1967" w:type="dxa"/>
            <w:tcBorders>
              <w:top w:val="nil"/>
              <w:left w:val="nil"/>
              <w:bottom w:val="nil"/>
              <w:right w:val="nil"/>
            </w:tcBorders>
            <w:vAlign w:val="center"/>
          </w:tcPr>
          <w:p ns1:paraId="19C6AB01">
            <w:pPr>
              <w:snapToGrid w:val="0"/>
              <w:spacing w:line="360" w:lineRule="auto"/>
              <w:jc w:val="center"/>
              <w:rPr>
                <w:rFonts w:ascii="宋体" w:hAnsi="宋体" w:eastAsia="宋体"/>
                <w:szCs w:val="21"/>
              </w:rPr>
            </w:pPr>
            <w:r>
              <w:rPr>
                <w:rFonts w:ascii="宋体" w:hAnsi="宋体" w:eastAsia="宋体"/>
                <w:szCs w:val="21"/>
              </w:rPr>
              <w:t>0.34</w:t>
            </w:r>
            <w:r>
              <w:rPr>
                <w:rFonts w:hint="eastAsia" w:ascii="宋体" w:hAnsi="宋体" w:eastAsia="宋体"/>
                <w:szCs w:val="21"/>
              </w:rPr>
              <w:t>48</w:t>
            </w:r>
          </w:p>
        </w:tc>
        <w:tc>
          <w:tcPr>
            <w:tcW w:w="1315" w:type="dxa"/>
            <w:tcBorders>
              <w:top w:val="nil"/>
              <w:left w:val="nil"/>
              <w:bottom w:val="nil"/>
              <w:right w:val="nil"/>
            </w:tcBorders>
            <w:vAlign w:val="center"/>
          </w:tcPr>
          <w:p ns1:paraId="759AFFBB">
            <w:pPr>
              <w:snapToGrid w:val="0"/>
              <w:spacing w:line="360" w:lineRule="auto"/>
              <w:jc w:val="center"/>
              <w:rPr>
                <w:rFonts w:ascii="宋体" w:hAnsi="宋体" w:eastAsia="宋体"/>
                <w:szCs w:val="21"/>
              </w:rPr>
            </w:pPr>
            <w:r>
              <w:rPr>
                <w:rFonts w:hint="eastAsia" w:ascii="宋体" w:hAnsi="宋体" w:eastAsia="宋体"/>
                <w:szCs w:val="21"/>
              </w:rPr>
              <w:t>4</w:t>
            </w:r>
          </w:p>
        </w:tc>
      </w:tr>
      <w:tr ns1:paraId="375F9AC8">
        <w:trPr>
          <w:jc w:val="center"/>
        </w:trPr>
        <w:tc>
          <w:tcPr>
            <w:tcW w:w="1628" w:type="dxa"/>
            <w:tcBorders>
              <w:top w:val="nil"/>
              <w:left w:val="nil"/>
              <w:bottom w:val="nil"/>
              <w:right w:val="nil"/>
            </w:tcBorders>
            <w:vAlign w:val="center"/>
          </w:tcPr>
          <w:p ns1:paraId="12EFB6C7">
            <w:pPr>
              <w:snapToGrid w:val="0"/>
              <w:spacing w:line="360" w:lineRule="auto"/>
              <w:jc w:val="center"/>
              <w:rPr>
                <w:rFonts w:ascii="宋体" w:hAnsi="宋体" w:eastAsia="宋体"/>
                <w:szCs w:val="21"/>
              </w:rPr>
            </w:pPr>
            <w:r>
              <w:rPr>
                <w:rFonts w:ascii="宋体" w:hAnsi="宋体" w:eastAsia="宋体"/>
                <w:szCs w:val="21"/>
              </w:rPr>
              <w:t>E04B-001</w:t>
            </w:r>
          </w:p>
        </w:tc>
        <w:tc>
          <w:tcPr>
            <w:tcW w:w="1642" w:type="dxa"/>
            <w:tcBorders>
              <w:top w:val="nil"/>
              <w:left w:val="nil"/>
              <w:bottom w:val="nil"/>
              <w:right w:val="nil"/>
            </w:tcBorders>
            <w:vAlign w:val="center"/>
          </w:tcPr>
          <w:p ns1:paraId="1143A233">
            <w:pPr>
              <w:snapToGrid w:val="0"/>
              <w:spacing w:line="360" w:lineRule="auto"/>
              <w:jc w:val="center"/>
              <w:rPr>
                <w:rFonts w:ascii="宋体" w:hAnsi="宋体" w:eastAsia="宋体"/>
                <w:szCs w:val="21"/>
              </w:rPr>
            </w:pPr>
            <w:r>
              <w:rPr>
                <w:rFonts w:ascii="宋体" w:hAnsi="宋体" w:eastAsia="宋体"/>
                <w:szCs w:val="21"/>
              </w:rPr>
              <w:t>0.1779</w:t>
            </w:r>
          </w:p>
        </w:tc>
        <w:tc>
          <w:tcPr>
            <w:tcW w:w="1967" w:type="dxa"/>
            <w:tcBorders>
              <w:top w:val="nil"/>
              <w:left w:val="nil"/>
              <w:bottom w:val="nil"/>
              <w:right w:val="nil"/>
            </w:tcBorders>
            <w:vAlign w:val="center"/>
          </w:tcPr>
          <w:p ns1:paraId="6AB230F4">
            <w:pPr>
              <w:snapToGrid w:val="0"/>
              <w:spacing w:line="360" w:lineRule="auto"/>
              <w:jc w:val="center"/>
              <w:rPr>
                <w:rFonts w:ascii="宋体" w:hAnsi="宋体" w:eastAsia="宋体"/>
                <w:szCs w:val="21"/>
              </w:rPr>
            </w:pPr>
            <w:r>
              <w:rPr>
                <w:rFonts w:ascii="宋体" w:hAnsi="宋体" w:eastAsia="宋体"/>
                <w:szCs w:val="21"/>
              </w:rPr>
              <w:t>0.1164</w:t>
            </w:r>
          </w:p>
        </w:tc>
        <w:tc>
          <w:tcPr>
            <w:tcW w:w="1967" w:type="dxa"/>
            <w:tcBorders>
              <w:top w:val="nil"/>
              <w:left w:val="nil"/>
              <w:bottom w:val="nil"/>
              <w:right w:val="nil"/>
            </w:tcBorders>
            <w:vAlign w:val="center"/>
          </w:tcPr>
          <w:p ns1:paraId="510CE3D8">
            <w:pPr>
              <w:snapToGrid w:val="0"/>
              <w:spacing w:line="360" w:lineRule="auto"/>
              <w:jc w:val="center"/>
              <w:rPr>
                <w:rFonts w:ascii="宋体" w:hAnsi="宋体" w:eastAsia="宋体"/>
                <w:szCs w:val="21"/>
              </w:rPr>
            </w:pPr>
            <w:r>
              <w:rPr>
                <w:rFonts w:ascii="宋体" w:hAnsi="宋体" w:eastAsia="宋体"/>
                <w:szCs w:val="21"/>
              </w:rPr>
              <w:t>0.3905</w:t>
            </w:r>
          </w:p>
        </w:tc>
        <w:tc>
          <w:tcPr>
            <w:tcW w:w="1315" w:type="dxa"/>
            <w:tcBorders>
              <w:top w:val="nil"/>
              <w:left w:val="nil"/>
              <w:bottom w:val="nil"/>
              <w:right w:val="nil"/>
            </w:tcBorders>
            <w:vAlign w:val="center"/>
          </w:tcPr>
          <w:p ns1:paraId="768DC230">
            <w:pPr>
              <w:snapToGrid w:val="0"/>
              <w:spacing w:line="360" w:lineRule="auto"/>
              <w:jc w:val="center"/>
              <w:rPr>
                <w:rFonts w:ascii="宋体" w:hAnsi="宋体" w:eastAsia="宋体"/>
                <w:szCs w:val="21"/>
              </w:rPr>
            </w:pPr>
            <w:r>
              <w:rPr>
                <w:rFonts w:ascii="宋体" w:hAnsi="宋体" w:eastAsia="宋体"/>
                <w:szCs w:val="21"/>
              </w:rPr>
              <w:t>6</w:t>
            </w:r>
          </w:p>
        </w:tc>
      </w:tr>
      <w:tr ns1:paraId="0F63AE53">
        <w:trPr>
          <w:jc w:val="center"/>
        </w:trPr>
        <w:tc>
          <w:tcPr>
            <w:tcW w:w="1628" w:type="dxa"/>
            <w:tcBorders>
              <w:top w:val="nil"/>
              <w:left w:val="nil"/>
              <w:bottom w:val="nil"/>
              <w:right w:val="nil"/>
            </w:tcBorders>
            <w:vAlign w:val="center"/>
          </w:tcPr>
          <w:p ns1:paraId="69C1C17F">
            <w:pPr>
              <w:snapToGrid w:val="0"/>
              <w:spacing w:line="360" w:lineRule="auto"/>
              <w:jc w:val="center"/>
              <w:rPr>
                <w:rFonts w:ascii="宋体" w:hAnsi="宋体" w:eastAsia="宋体"/>
                <w:szCs w:val="21"/>
              </w:rPr>
            </w:pPr>
            <w:r>
              <w:rPr>
                <w:rFonts w:hint="eastAsia" w:ascii="宋体" w:hAnsi="宋体" w:eastAsia="宋体"/>
                <w:szCs w:val="21"/>
              </w:rPr>
              <w:t>G06F</w:t>
            </w:r>
            <w:r>
              <w:rPr>
                <w:rFonts w:ascii="宋体" w:hAnsi="宋体" w:eastAsia="宋体"/>
                <w:szCs w:val="21"/>
              </w:rPr>
              <w:t>-0</w:t>
            </w:r>
            <w:r>
              <w:rPr>
                <w:rFonts w:hint="eastAsia" w:ascii="宋体" w:hAnsi="宋体" w:eastAsia="宋体"/>
                <w:szCs w:val="21"/>
              </w:rPr>
              <w:t>30</w:t>
            </w:r>
          </w:p>
        </w:tc>
        <w:tc>
          <w:tcPr>
            <w:tcW w:w="1642" w:type="dxa"/>
            <w:tcBorders>
              <w:top w:val="nil"/>
              <w:left w:val="nil"/>
              <w:bottom w:val="nil"/>
              <w:right w:val="nil"/>
            </w:tcBorders>
            <w:vAlign w:val="center"/>
          </w:tcPr>
          <w:p ns1:paraId="492912FB">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967</w:t>
            </w:r>
          </w:p>
        </w:tc>
        <w:tc>
          <w:tcPr>
            <w:tcW w:w="1967" w:type="dxa"/>
            <w:tcBorders>
              <w:top w:val="nil"/>
              <w:left w:val="nil"/>
              <w:bottom w:val="nil"/>
              <w:right w:val="nil"/>
            </w:tcBorders>
            <w:vAlign w:val="center"/>
          </w:tcPr>
          <w:p ns1:paraId="47CA0BF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533</w:t>
            </w:r>
          </w:p>
        </w:tc>
        <w:tc>
          <w:tcPr>
            <w:tcW w:w="1967" w:type="dxa"/>
            <w:tcBorders>
              <w:top w:val="nil"/>
              <w:left w:val="nil"/>
              <w:bottom w:val="nil"/>
              <w:right w:val="nil"/>
            </w:tcBorders>
            <w:vAlign w:val="center"/>
          </w:tcPr>
          <w:p ns1:paraId="2D39C1F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3716</w:t>
            </w:r>
          </w:p>
        </w:tc>
        <w:tc>
          <w:tcPr>
            <w:tcW w:w="1315" w:type="dxa"/>
            <w:tcBorders>
              <w:top w:val="nil"/>
              <w:left w:val="nil"/>
              <w:bottom w:val="nil"/>
              <w:right w:val="nil"/>
            </w:tcBorders>
            <w:vAlign w:val="center"/>
          </w:tcPr>
          <w:p ns1:paraId="1BD32CA0">
            <w:pPr>
              <w:snapToGrid w:val="0"/>
              <w:spacing w:line="360" w:lineRule="auto"/>
              <w:jc w:val="center"/>
              <w:rPr>
                <w:rFonts w:ascii="宋体" w:hAnsi="宋体" w:eastAsia="宋体"/>
                <w:szCs w:val="21"/>
              </w:rPr>
            </w:pPr>
            <w:r>
              <w:rPr>
                <w:rFonts w:hint="eastAsia" w:ascii="宋体" w:hAnsi="宋体" w:eastAsia="宋体"/>
                <w:szCs w:val="21"/>
              </w:rPr>
              <w:t>6</w:t>
            </w:r>
          </w:p>
        </w:tc>
      </w:tr>
      <w:tr ns1:paraId="45790204">
        <w:trPr>
          <w:jc w:val="center"/>
        </w:trPr>
        <w:tc>
          <w:tcPr>
            <w:tcW w:w="1628" w:type="dxa"/>
            <w:tcBorders>
              <w:top w:val="nil"/>
              <w:left w:val="nil"/>
              <w:bottom w:val="nil"/>
              <w:right w:val="nil"/>
            </w:tcBorders>
            <w:vAlign w:val="center"/>
          </w:tcPr>
          <w:p ns1:paraId="7E236277">
            <w:pPr>
              <w:snapToGrid w:val="0"/>
              <w:spacing w:line="360" w:lineRule="auto"/>
              <w:jc w:val="center"/>
              <w:rPr>
                <w:rFonts w:ascii="宋体" w:hAnsi="宋体" w:eastAsia="宋体"/>
                <w:szCs w:val="21"/>
              </w:rPr>
            </w:pPr>
            <w:r>
              <w:rPr>
                <w:rFonts w:ascii="宋体" w:hAnsi="宋体" w:eastAsia="宋体"/>
                <w:szCs w:val="21"/>
              </w:rPr>
              <w:t>E04B-002</w:t>
            </w:r>
          </w:p>
        </w:tc>
        <w:tc>
          <w:tcPr>
            <w:tcW w:w="1642" w:type="dxa"/>
            <w:tcBorders>
              <w:top w:val="nil"/>
              <w:left w:val="nil"/>
              <w:bottom w:val="nil"/>
              <w:right w:val="nil"/>
            </w:tcBorders>
            <w:vAlign w:val="center"/>
          </w:tcPr>
          <w:p ns1:paraId="2E8577E7">
            <w:pPr>
              <w:snapToGrid w:val="0"/>
              <w:spacing w:line="360" w:lineRule="auto"/>
              <w:jc w:val="center"/>
              <w:rPr>
                <w:rFonts w:ascii="宋体" w:hAnsi="宋体" w:eastAsia="宋体"/>
                <w:szCs w:val="21"/>
              </w:rPr>
            </w:pPr>
            <w:r>
              <w:rPr>
                <w:rFonts w:ascii="宋体" w:hAnsi="宋体" w:eastAsia="宋体"/>
                <w:szCs w:val="21"/>
              </w:rPr>
              <w:t>0.1006</w:t>
            </w:r>
          </w:p>
        </w:tc>
        <w:tc>
          <w:tcPr>
            <w:tcW w:w="1967" w:type="dxa"/>
            <w:tcBorders>
              <w:top w:val="nil"/>
              <w:left w:val="nil"/>
              <w:bottom w:val="nil"/>
              <w:right w:val="nil"/>
            </w:tcBorders>
            <w:vAlign w:val="center"/>
          </w:tcPr>
          <w:p ns1:paraId="51559862">
            <w:pPr>
              <w:snapToGrid w:val="0"/>
              <w:spacing w:line="360" w:lineRule="auto"/>
              <w:jc w:val="center"/>
              <w:rPr>
                <w:rFonts w:ascii="宋体" w:hAnsi="宋体" w:eastAsia="宋体"/>
                <w:szCs w:val="21"/>
              </w:rPr>
            </w:pPr>
            <w:r>
              <w:rPr>
                <w:rFonts w:ascii="宋体" w:hAnsi="宋体" w:eastAsia="宋体"/>
                <w:szCs w:val="21"/>
              </w:rPr>
              <w:t>0.0239</w:t>
            </w:r>
          </w:p>
        </w:tc>
        <w:tc>
          <w:tcPr>
            <w:tcW w:w="1967" w:type="dxa"/>
            <w:tcBorders>
              <w:top w:val="nil"/>
              <w:left w:val="nil"/>
              <w:bottom w:val="nil"/>
              <w:right w:val="nil"/>
            </w:tcBorders>
            <w:vAlign w:val="center"/>
          </w:tcPr>
          <w:p ns1:paraId="5BC3BBAB">
            <w:pPr>
              <w:snapToGrid w:val="0"/>
              <w:spacing w:line="360" w:lineRule="auto"/>
              <w:jc w:val="center"/>
              <w:rPr>
                <w:rFonts w:ascii="宋体" w:hAnsi="宋体" w:eastAsia="宋体"/>
                <w:szCs w:val="21"/>
              </w:rPr>
            </w:pPr>
            <w:r>
              <w:rPr>
                <w:rFonts w:ascii="宋体" w:hAnsi="宋体" w:eastAsia="宋体"/>
                <w:szCs w:val="21"/>
              </w:rPr>
              <w:t>0.3554</w:t>
            </w:r>
          </w:p>
        </w:tc>
        <w:tc>
          <w:tcPr>
            <w:tcW w:w="1315" w:type="dxa"/>
            <w:tcBorders>
              <w:top w:val="nil"/>
              <w:left w:val="nil"/>
              <w:bottom w:val="nil"/>
              <w:right w:val="nil"/>
            </w:tcBorders>
            <w:vAlign w:val="center"/>
          </w:tcPr>
          <w:p ns1:paraId="7F0387AD">
            <w:pPr>
              <w:snapToGrid w:val="0"/>
              <w:spacing w:line="360" w:lineRule="auto"/>
              <w:jc w:val="center"/>
              <w:rPr>
                <w:rFonts w:ascii="宋体" w:hAnsi="宋体" w:eastAsia="宋体"/>
                <w:szCs w:val="21"/>
              </w:rPr>
            </w:pPr>
            <w:r>
              <w:rPr>
                <w:rFonts w:ascii="宋体" w:hAnsi="宋体" w:eastAsia="宋体"/>
                <w:szCs w:val="21"/>
              </w:rPr>
              <w:t>6</w:t>
            </w:r>
          </w:p>
        </w:tc>
      </w:tr>
      <w:tr ns1:paraId="6AB6A60E">
        <w:trPr>
          <w:jc w:val="center"/>
        </w:trPr>
        <w:tc>
          <w:tcPr>
            <w:tcW w:w="1628" w:type="dxa"/>
            <w:tcBorders>
              <w:top w:val="nil"/>
              <w:left w:val="nil"/>
              <w:bottom w:val="nil"/>
              <w:right w:val="nil"/>
            </w:tcBorders>
            <w:vAlign w:val="center"/>
          </w:tcPr>
          <w:p ns1:paraId="4E4F2B32">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-003</w:t>
            </w:r>
          </w:p>
        </w:tc>
        <w:tc>
          <w:tcPr>
            <w:tcW w:w="1642" w:type="dxa"/>
            <w:tcBorders>
              <w:top w:val="nil"/>
              <w:left w:val="nil"/>
              <w:bottom w:val="nil"/>
              <w:right w:val="nil"/>
            </w:tcBorders>
            <w:vAlign w:val="center"/>
          </w:tcPr>
          <w:p ns1:paraId="4E38EB8A">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232</w:t>
            </w:r>
          </w:p>
        </w:tc>
        <w:tc>
          <w:tcPr>
            <w:tcW w:w="1967" w:type="dxa"/>
            <w:tcBorders>
              <w:top w:val="nil"/>
              <w:left w:val="nil"/>
              <w:bottom w:val="nil"/>
              <w:right w:val="nil"/>
            </w:tcBorders>
            <w:vAlign w:val="center"/>
          </w:tcPr>
          <w:p ns1:paraId="78B0E6D2">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070</w:t>
            </w:r>
          </w:p>
        </w:tc>
        <w:tc>
          <w:tcPr>
            <w:tcW w:w="1967" w:type="dxa"/>
            <w:tcBorders>
              <w:top w:val="nil"/>
              <w:left w:val="nil"/>
              <w:bottom w:val="nil"/>
              <w:right w:val="nil"/>
            </w:tcBorders>
            <w:vAlign w:val="center"/>
          </w:tcPr>
          <w:p ns1:paraId="3593F063">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956</w:t>
            </w:r>
          </w:p>
        </w:tc>
        <w:tc>
          <w:tcPr>
            <w:tcW w:w="1315" w:type="dxa"/>
            <w:tcBorders>
              <w:top w:val="nil"/>
              <w:left w:val="nil"/>
              <w:bottom w:val="nil"/>
              <w:right w:val="nil"/>
            </w:tcBorders>
            <w:vAlign w:val="center"/>
          </w:tcPr>
          <w:p ns1:paraId="0779E79A">
            <w:pPr>
              <w:snapToGrid w:val="0"/>
              <w:spacing w:line="360" w:lineRule="auto"/>
              <w:jc w:val="center"/>
              <w:rPr>
                <w:rFonts w:ascii="宋体" w:hAnsi="宋体" w:eastAsia="宋体"/>
                <w:szCs w:val="21"/>
              </w:rPr>
            </w:pPr>
            <w:r>
              <w:rPr>
                <w:rFonts w:hint="eastAsia" w:ascii="宋体" w:hAnsi="宋体" w:eastAsia="宋体"/>
                <w:szCs w:val="21"/>
              </w:rPr>
              <w:t>6</w:t>
            </w:r>
          </w:p>
        </w:tc>
      </w:tr>
      <w:tr ns1:paraId="765E5B4E">
        <w:trPr>
          <w:jc w:val="center"/>
        </w:trPr>
        <w:tc>
          <w:tcPr>
            <w:tcW w:w="1628" w:type="dxa"/>
            <w:tcBorders>
              <w:top w:val="nil"/>
              <w:left w:val="nil"/>
              <w:bottom w:val="nil"/>
              <w:right w:val="nil"/>
            </w:tcBorders>
            <w:vAlign w:val="center"/>
          </w:tcPr>
          <w:p ns1:paraId="7C0D603E">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ns1:paraId="28321FB7">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ns1:paraId="25F76641">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ns1:paraId="1F1A9CFD">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ns1:paraId="5B05536D">
            <w:pPr>
              <w:snapToGrid w:val="0"/>
              <w:spacing w:line="360" w:lineRule="auto"/>
              <w:jc w:val="center"/>
              <w:rPr>
                <w:rFonts w:ascii="宋体" w:hAnsi="宋体" w:eastAsia="宋体"/>
                <w:szCs w:val="21"/>
              </w:rPr>
            </w:pPr>
            <w:r>
              <w:rPr>
                <w:rFonts w:ascii="宋体" w:hAnsi="宋体" w:eastAsia="宋体"/>
                <w:szCs w:val="21"/>
              </w:rPr>
              <w:t>-</w:t>
            </w:r>
          </w:p>
        </w:tc>
      </w:tr>
      <w:tr ns1:paraId="505A1A97">
        <w:trPr>
          <w:jc w:val="center"/>
        </w:trPr>
        <w:tc>
          <w:tcPr>
            <w:tcW w:w="1628" w:type="dxa"/>
            <w:tcBorders>
              <w:top w:val="nil"/>
              <w:left w:val="nil"/>
              <w:bottom w:val="nil"/>
              <w:right w:val="nil"/>
            </w:tcBorders>
            <w:vAlign w:val="center"/>
          </w:tcPr>
          <w:p ns1:paraId="1CE1AFF5">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vAlign w:val="center"/>
          </w:tcPr>
          <w:p ns1:paraId="1927FDC8">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77</w:t>
            </w:r>
          </w:p>
        </w:tc>
        <w:tc>
          <w:tcPr>
            <w:tcW w:w="1967" w:type="dxa"/>
            <w:tcBorders>
              <w:top w:val="nil"/>
              <w:left w:val="nil"/>
              <w:bottom w:val="nil"/>
              <w:right w:val="nil"/>
            </w:tcBorders>
            <w:vAlign w:val="center"/>
          </w:tcPr>
          <w:p ns1:paraId="2E3FA8D7">
            <w:pPr>
              <w:snapToGrid w:val="0"/>
              <w:spacing w:line="360" w:lineRule="auto"/>
              <w:jc w:val="center"/>
              <w:rPr>
                <w:rFonts w:ascii="宋体" w:hAnsi="宋体" w:eastAsia="宋体"/>
                <w:szCs w:val="21"/>
              </w:rPr>
            </w:pPr>
            <w:r>
              <w:rPr>
                <w:rFonts w:ascii="宋体" w:hAnsi="宋体" w:eastAsia="宋体"/>
                <w:szCs w:val="21"/>
              </w:rPr>
              <w:t>0.000</w:t>
            </w:r>
            <w:r>
              <w:rPr>
                <w:rFonts w:hint="eastAsia" w:ascii="宋体" w:hAnsi="宋体" w:eastAsia="宋体"/>
                <w:szCs w:val="21"/>
              </w:rPr>
              <w:t>6</w:t>
            </w:r>
          </w:p>
        </w:tc>
        <w:tc>
          <w:tcPr>
            <w:tcW w:w="1967" w:type="dxa"/>
            <w:tcBorders>
              <w:top w:val="nil"/>
              <w:left w:val="nil"/>
              <w:bottom w:val="nil"/>
              <w:right w:val="nil"/>
            </w:tcBorders>
            <w:vAlign w:val="center"/>
          </w:tcPr>
          <w:p ns1:paraId="5B3D090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2963</w:t>
            </w:r>
          </w:p>
        </w:tc>
        <w:tc>
          <w:tcPr>
            <w:tcW w:w="1315" w:type="dxa"/>
            <w:tcBorders>
              <w:top w:val="nil"/>
              <w:left w:val="nil"/>
              <w:bottom w:val="nil"/>
              <w:right w:val="nil"/>
            </w:tcBorders>
            <w:vAlign w:val="center"/>
          </w:tcPr>
          <w:p ns1:paraId="4F8F87D0">
            <w:pPr>
              <w:snapToGrid w:val="0"/>
              <w:spacing w:line="360" w:lineRule="auto"/>
              <w:jc w:val="center"/>
              <w:rPr>
                <w:rFonts w:ascii="宋体" w:hAnsi="宋体" w:eastAsia="宋体"/>
                <w:szCs w:val="21"/>
              </w:rPr>
            </w:pPr>
            <w:r>
              <w:rPr>
                <w:rFonts w:hint="eastAsia" w:ascii="宋体" w:hAnsi="宋体" w:eastAsia="宋体"/>
                <w:szCs w:val="21"/>
              </w:rPr>
              <w:t>6</w:t>
            </w:r>
          </w:p>
        </w:tc>
      </w:tr>
      <w:tr ns1:paraId="2E7B6750">
        <w:trPr>
          <w:jc w:val="center"/>
        </w:trPr>
        <w:tc>
          <w:tcPr>
            <w:tcW w:w="1628" w:type="dxa"/>
            <w:tcBorders>
              <w:top w:val="nil"/>
              <w:left w:val="nil"/>
              <w:bottom w:val="nil"/>
              <w:right w:val="nil"/>
            </w:tcBorders>
            <w:vAlign w:val="center"/>
          </w:tcPr>
          <w:p ns1:paraId="2BBAFF81">
            <w:pPr>
              <w:snapToGrid w:val="0"/>
              <w:spacing w:line="360" w:lineRule="auto"/>
              <w:jc w:val="center"/>
              <w:rPr>
                <w:rFonts w:ascii="宋体" w:hAnsi="宋体" w:eastAsia="宋体"/>
                <w:szCs w:val="21"/>
              </w:rPr>
            </w:pPr>
            <w:r>
              <w:rPr>
                <w:rFonts w:hint="eastAsia" w:ascii="宋体" w:hAnsi="宋体" w:eastAsia="宋体"/>
                <w:szCs w:val="21"/>
              </w:rPr>
              <w:t>G01S-017</w:t>
            </w:r>
          </w:p>
        </w:tc>
        <w:tc>
          <w:tcPr>
            <w:tcW w:w="1642" w:type="dxa"/>
            <w:tcBorders>
              <w:top w:val="nil"/>
              <w:left w:val="nil"/>
              <w:bottom w:val="nil"/>
              <w:right w:val="nil"/>
            </w:tcBorders>
            <w:shd w:val="clear" w:color="auto" w:fill="auto"/>
            <w:vAlign w:val="center"/>
          </w:tcPr>
          <w:p ns1:paraId="3FE8B9E0">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0193</w:t>
            </w:r>
          </w:p>
        </w:tc>
        <w:tc>
          <w:tcPr>
            <w:tcW w:w="1967" w:type="dxa"/>
            <w:tcBorders>
              <w:top w:val="nil"/>
              <w:left w:val="nil"/>
              <w:bottom w:val="nil"/>
              <w:right w:val="nil"/>
            </w:tcBorders>
            <w:shd w:val="clear" w:color="auto" w:fill="auto"/>
            <w:vAlign w:val="center"/>
          </w:tcPr>
          <w:p ns1:paraId="5E2FA130">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115</w:t>
            </w:r>
          </w:p>
        </w:tc>
        <w:tc>
          <w:tcPr>
            <w:tcW w:w="1967" w:type="dxa"/>
            <w:tcBorders>
              <w:top w:val="nil"/>
              <w:left w:val="nil"/>
              <w:bottom w:val="nil"/>
              <w:right w:val="nil"/>
            </w:tcBorders>
            <w:shd w:val="clear" w:color="auto" w:fill="auto"/>
            <w:vAlign w:val="center"/>
          </w:tcPr>
          <w:p ns1:paraId="64478DF8">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594</w:t>
            </w:r>
          </w:p>
        </w:tc>
        <w:tc>
          <w:tcPr>
            <w:tcW w:w="1315" w:type="dxa"/>
            <w:tcBorders>
              <w:top w:val="nil"/>
              <w:left w:val="nil"/>
              <w:bottom w:val="nil"/>
              <w:right w:val="nil"/>
            </w:tcBorders>
            <w:shd w:val="clear" w:color="auto" w:fill="auto"/>
            <w:vAlign w:val="center"/>
          </w:tcPr>
          <w:p ns1:paraId="281E53A3">
            <w:pPr>
              <w:snapToGrid w:val="0"/>
              <w:spacing w:line="360" w:lineRule="auto"/>
              <w:jc w:val="center"/>
              <w:rPr>
                <w:rFonts w:ascii="宋体" w:hAnsi="宋体" w:eastAsia="宋体"/>
                <w:szCs w:val="21"/>
              </w:rPr>
            </w:pPr>
            <w:r>
              <w:rPr>
                <w:rFonts w:hint="eastAsia" w:ascii="宋体" w:hAnsi="宋体" w:eastAsia="宋体"/>
                <w:szCs w:val="21"/>
              </w:rPr>
              <w:t>6</w:t>
            </w:r>
          </w:p>
        </w:tc>
      </w:tr>
      <w:tr ns1:paraId="0F4699B7">
        <w:trPr>
          <w:jc w:val="center"/>
        </w:trPr>
        <w:tc>
          <w:tcPr>
            <w:tcW w:w="1628" w:type="dxa"/>
            <w:tcBorders>
              <w:top w:val="nil"/>
              <w:left w:val="nil"/>
              <w:bottom w:val="nil"/>
              <w:right w:val="nil"/>
            </w:tcBorders>
            <w:vAlign w:val="center"/>
          </w:tcPr>
          <w:p ns1:paraId="4F372C66">
            <w:pPr>
              <w:snapToGrid w:val="0"/>
              <w:spacing w:line="360" w:lineRule="auto"/>
              <w:jc w:val="center"/>
              <w:rPr>
                <w:rFonts w:ascii="宋体" w:hAnsi="宋体" w:eastAsia="宋体"/>
                <w:szCs w:val="21"/>
              </w:rPr>
            </w:pPr>
            <w:r>
              <w:rPr>
                <w:rFonts w:ascii="宋体" w:hAnsi="宋体" w:eastAsia="宋体"/>
                <w:szCs w:val="21"/>
              </w:rPr>
              <w:t>B21D-003</w:t>
            </w:r>
          </w:p>
        </w:tc>
        <w:tc>
          <w:tcPr>
            <w:tcW w:w="1642" w:type="dxa"/>
            <w:tcBorders>
              <w:top w:val="nil"/>
              <w:left w:val="nil"/>
              <w:bottom w:val="nil"/>
              <w:right w:val="nil"/>
            </w:tcBorders>
            <w:vAlign w:val="center"/>
          </w:tcPr>
          <w:p ns1:paraId="12AF11B6">
            <w:pPr>
              <w:snapToGrid w:val="0"/>
              <w:spacing w:line="360" w:lineRule="auto"/>
              <w:jc w:val="center"/>
              <w:rPr>
                <w:rFonts w:ascii="宋体" w:hAnsi="宋体" w:eastAsia="宋体"/>
                <w:szCs w:val="21"/>
              </w:rPr>
            </w:pPr>
            <w:r>
              <w:rPr>
                <w:rFonts w:ascii="宋体" w:hAnsi="宋体" w:eastAsia="宋体"/>
                <w:szCs w:val="21"/>
              </w:rPr>
              <w:t>0.0019</w:t>
            </w:r>
          </w:p>
        </w:tc>
        <w:tc>
          <w:tcPr>
            <w:tcW w:w="1967" w:type="dxa"/>
            <w:tcBorders>
              <w:top w:val="nil"/>
              <w:left w:val="nil"/>
              <w:bottom w:val="nil"/>
              <w:right w:val="nil"/>
            </w:tcBorders>
            <w:vAlign w:val="center"/>
          </w:tcPr>
          <w:p ns1:paraId="61471F9F">
            <w:pPr>
              <w:snapToGrid w:val="0"/>
              <w:spacing w:line="360" w:lineRule="auto"/>
              <w:jc w:val="center"/>
              <w:rPr>
                <w:rFonts w:ascii="宋体" w:hAnsi="宋体" w:eastAsia="宋体"/>
                <w:szCs w:val="21"/>
              </w:rPr>
            </w:pPr>
            <w:r>
              <w:rPr>
                <w:rFonts w:ascii="宋体" w:hAnsi="宋体" w:eastAsia="宋体"/>
                <w:szCs w:val="21"/>
              </w:rPr>
              <w:t>0.0000</w:t>
            </w:r>
          </w:p>
        </w:tc>
        <w:tc>
          <w:tcPr>
            <w:tcW w:w="1967" w:type="dxa"/>
            <w:tcBorders>
              <w:top w:val="nil"/>
              <w:left w:val="nil"/>
              <w:bottom w:val="nil"/>
              <w:right w:val="nil"/>
            </w:tcBorders>
            <w:vAlign w:val="center"/>
          </w:tcPr>
          <w:p ns1:paraId="009512EC">
            <w:pPr>
              <w:snapToGrid w:val="0"/>
              <w:spacing w:line="360" w:lineRule="auto"/>
              <w:jc w:val="center"/>
              <w:rPr>
                <w:rFonts w:ascii="宋体" w:hAnsi="宋体" w:eastAsia="宋体"/>
                <w:szCs w:val="21"/>
              </w:rPr>
            </w:pPr>
            <w:r>
              <w:rPr>
                <w:rFonts w:ascii="宋体" w:hAnsi="宋体" w:eastAsia="宋体"/>
                <w:szCs w:val="21"/>
              </w:rPr>
              <w:t>0.2698</w:t>
            </w:r>
          </w:p>
        </w:tc>
        <w:tc>
          <w:tcPr>
            <w:tcW w:w="1315" w:type="dxa"/>
            <w:tcBorders>
              <w:top w:val="nil"/>
              <w:left w:val="nil"/>
              <w:bottom w:val="nil"/>
              <w:right w:val="nil"/>
            </w:tcBorders>
            <w:vAlign w:val="center"/>
          </w:tcPr>
          <w:p ns1:paraId="72039A62">
            <w:pPr>
              <w:snapToGrid w:val="0"/>
              <w:spacing w:line="360" w:lineRule="auto"/>
              <w:jc w:val="center"/>
              <w:rPr>
                <w:rFonts w:ascii="宋体" w:hAnsi="宋体" w:eastAsia="宋体"/>
                <w:szCs w:val="21"/>
              </w:rPr>
            </w:pPr>
            <w:r>
              <w:rPr>
                <w:rFonts w:ascii="宋体" w:hAnsi="宋体" w:eastAsia="宋体"/>
                <w:szCs w:val="21"/>
              </w:rPr>
              <w:t>7</w:t>
            </w:r>
          </w:p>
        </w:tc>
      </w:tr>
      <w:tr ns1:paraId="2E5FA72E">
        <w:trPr>
          <w:jc w:val="center"/>
        </w:trPr>
        <w:tc>
          <w:tcPr>
            <w:tcW w:w="1628" w:type="dxa"/>
            <w:tcBorders>
              <w:top w:val="nil"/>
              <w:left w:val="nil"/>
              <w:bottom w:val="single" w:color="auto" w:sz="12" w:space="0"/>
              <w:right w:val="nil"/>
            </w:tcBorders>
            <w:vAlign w:val="center"/>
          </w:tcPr>
          <w:p ns1:paraId="2283C717">
            <w:pPr>
              <w:snapToGrid w:val="0"/>
              <w:spacing w:line="360" w:lineRule="auto"/>
              <w:jc w:val="center"/>
              <w:rPr>
                <w:rFonts w:ascii="宋体" w:hAnsi="宋体" w:eastAsia="宋体"/>
                <w:szCs w:val="21"/>
              </w:rPr>
            </w:pPr>
            <w:r>
              <w:rPr>
                <w:rFonts w:ascii="宋体" w:hAnsi="宋体" w:eastAsia="宋体"/>
                <w:szCs w:val="21"/>
              </w:rPr>
              <w:t>C04B-007</w:t>
            </w:r>
          </w:p>
        </w:tc>
        <w:tc>
          <w:tcPr>
            <w:tcW w:w="1642" w:type="dxa"/>
            <w:tcBorders>
              <w:top w:val="nil"/>
              <w:left w:val="nil"/>
              <w:bottom w:val="single" w:color="auto" w:sz="12" w:space="0"/>
              <w:right w:val="nil"/>
            </w:tcBorders>
            <w:shd w:val="clear" w:color="auto" w:fill="auto"/>
            <w:vAlign w:val="center"/>
          </w:tcPr>
          <w:p ns1:paraId="34798D61">
            <w:pPr>
              <w:snapToGrid w:val="0"/>
              <w:spacing w:line="360" w:lineRule="auto"/>
              <w:jc w:val="center"/>
              <w:rPr>
                <w:rFonts w:ascii="宋体" w:hAnsi="宋体" w:eastAsia="宋体"/>
                <w:szCs w:val="21"/>
              </w:rPr>
            </w:pPr>
            <w:r>
              <w:rPr>
                <w:rFonts w:ascii="宋体" w:hAnsi="宋体" w:eastAsia="宋体"/>
                <w:szCs w:val="21"/>
              </w:rPr>
              <w:t>0.0039</w:t>
            </w:r>
          </w:p>
        </w:tc>
        <w:tc>
          <w:tcPr>
            <w:tcW w:w="1967" w:type="dxa"/>
            <w:tcBorders>
              <w:top w:val="nil"/>
              <w:left w:val="nil"/>
              <w:bottom w:val="single" w:color="auto" w:sz="12" w:space="0"/>
              <w:right w:val="nil"/>
            </w:tcBorders>
            <w:shd w:val="clear" w:color="auto" w:fill="auto"/>
            <w:vAlign w:val="center"/>
          </w:tcPr>
          <w:p ns1:paraId="36319BC7">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single" w:color="auto" w:sz="12" w:space="0"/>
              <w:right w:val="nil"/>
            </w:tcBorders>
            <w:shd w:val="clear" w:color="auto" w:fill="auto"/>
            <w:vAlign w:val="center"/>
          </w:tcPr>
          <w:p ns1:paraId="2831FD75">
            <w:pPr>
              <w:snapToGrid w:val="0"/>
              <w:spacing w:line="360" w:lineRule="auto"/>
              <w:jc w:val="center"/>
              <w:rPr>
                <w:rFonts w:ascii="宋体" w:hAnsi="宋体" w:eastAsia="宋体"/>
                <w:szCs w:val="21"/>
              </w:rPr>
            </w:pPr>
            <w:r>
              <w:rPr>
                <w:rFonts w:ascii="宋体" w:hAnsi="宋体" w:eastAsia="宋体"/>
                <w:szCs w:val="21"/>
              </w:rPr>
              <w:t>0.2467</w:t>
            </w:r>
          </w:p>
        </w:tc>
        <w:tc>
          <w:tcPr>
            <w:tcW w:w="1315" w:type="dxa"/>
            <w:tcBorders>
              <w:top w:val="nil"/>
              <w:left w:val="nil"/>
              <w:bottom w:val="single" w:color="auto" w:sz="12" w:space="0"/>
              <w:right w:val="nil"/>
            </w:tcBorders>
            <w:shd w:val="clear" w:color="auto" w:fill="auto"/>
            <w:vAlign w:val="center"/>
          </w:tcPr>
          <w:p ns1:paraId="20D53504">
            <w:pPr>
              <w:snapToGrid w:val="0"/>
              <w:spacing w:line="360" w:lineRule="auto"/>
              <w:jc w:val="center"/>
              <w:rPr>
                <w:rFonts w:ascii="宋体" w:hAnsi="宋体" w:eastAsia="宋体"/>
                <w:szCs w:val="21"/>
              </w:rPr>
            </w:pPr>
            <w:r>
              <w:rPr>
                <w:rFonts w:ascii="宋体" w:hAnsi="宋体" w:eastAsia="宋体"/>
                <w:szCs w:val="21"/>
              </w:rPr>
              <w:t>7</w:t>
            </w:r>
          </w:p>
        </w:tc>
      </w:tr>
    </w:tbl>
    <w:p xmlns:w="http://schemas.openxmlformats.org/wordprocessingml/2006/main">
      <w:pPr>
        <w:spacing w:line="480" w:lineRule="auto"/>
        <w:ind w:firstLine="480" w:firstLineChars="200"/>
        <w:rPr>
          <w:rFonts w:ascii="宋体" w:hAnsi="宋体" w:eastAsia="宋体"/>
          <w:sz w:val="24"/>
          <w:szCs w:val="24"/>
        </w:rPr>
      </w:pPr>
      <w:r>
        <w:t xml:space="preserve">[图4-3 阶段2（2015—2019年）IPC共现网络（待插入）]</w:t>
      </w:r>
    </w:p>
    <w:p xmlns:w="http://schemas.openxmlformats.org/wordprocessingml/2006/main">
      <w:pPr>
        <w:spacing w:line="480" w:lineRule="auto"/>
        <w:ind w:firstLine="480" w:firstLineChars="200"/>
        <w:rPr>
          <w:rFonts w:ascii="宋体" w:hAnsi="宋体" w:eastAsia="宋体"/>
          <w:sz w:val="24"/>
          <w:szCs w:val="24"/>
        </w:rPr>
      </w:pPr>
      <w:r>
        <w:t xml:space="preserve">表4-3 阶段3（2020—2025年）IPC网络指标的部分计算结果</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ns1:paraId="15846102">
        <w:trPr>
          <w:tblHeader/>
          <w:jc w:val="center"/>
        </w:trPr>
        <w:tc>
          <w:tcPr>
            <w:tcW w:w="1628" w:type="dxa"/>
            <w:tcBorders>
              <w:top w:val="single" w:color="auto" w:sz="12" w:space="0"/>
              <w:left w:val="nil"/>
              <w:bottom w:val="single" w:color="auto" w:sz="4" w:space="0"/>
              <w:right w:val="nil"/>
            </w:tcBorders>
            <w:vAlign w:val="center"/>
          </w:tcPr>
          <w:p ns1:paraId="2CED736E">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ns1:paraId="2C7215A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ns1:paraId="2FB6A26F">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ns1:paraId="0C823739">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ns1:paraId="7A8D3057">
            <w:pPr>
              <w:snapToGrid w:val="0"/>
              <w:spacing w:line="360" w:lineRule="auto"/>
              <w:jc w:val="center"/>
              <w:rPr>
                <w:rFonts w:ascii="宋体" w:hAnsi="宋体" w:eastAsia="宋体"/>
                <w:b/>
                <w:szCs w:val="21"/>
              </w:rPr>
            </w:pPr>
            <w:r>
              <w:rPr>
                <w:rFonts w:hint="eastAsia" w:ascii="宋体" w:hAnsi="宋体" w:eastAsia="宋体"/>
                <w:b/>
                <w:szCs w:val="21"/>
              </w:rPr>
              <w:t>偏心度</w:t>
            </w:r>
          </w:p>
        </w:tc>
      </w:tr>
      <w:tr ns1:paraId="0171AA6A">
        <w:trPr>
          <w:jc w:val="center"/>
        </w:trPr>
        <w:tc>
          <w:tcPr>
            <w:tcW w:w="1628" w:type="dxa"/>
            <w:tcBorders>
              <w:top w:val="single" w:color="auto" w:sz="4" w:space="0"/>
              <w:left w:val="nil"/>
              <w:bottom w:val="nil"/>
              <w:right w:val="nil"/>
            </w:tcBorders>
            <w:vAlign w:val="center"/>
          </w:tcPr>
          <w:p ns1:paraId="128A56AE">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ns1:paraId="602C1997">
            <w:pPr>
              <w:snapToGrid w:val="0"/>
              <w:spacing w:line="360" w:lineRule="auto"/>
              <w:jc w:val="center"/>
              <w:rPr>
                <w:rFonts w:ascii="宋体" w:hAnsi="宋体" w:eastAsia="宋体"/>
                <w:szCs w:val="21"/>
              </w:rPr>
            </w:pPr>
            <w:r>
              <w:rPr>
                <w:rFonts w:ascii="宋体" w:hAnsi="宋体" w:eastAsia="宋体"/>
                <w:szCs w:val="21"/>
              </w:rPr>
              <w:t>0.0951</w:t>
            </w:r>
          </w:p>
        </w:tc>
        <w:tc>
          <w:tcPr>
            <w:tcW w:w="1967" w:type="dxa"/>
            <w:tcBorders>
              <w:top w:val="single" w:color="auto" w:sz="4" w:space="0"/>
              <w:left w:val="nil"/>
              <w:bottom w:val="nil"/>
              <w:right w:val="nil"/>
            </w:tcBorders>
            <w:vAlign w:val="center"/>
          </w:tcPr>
          <w:p ns1:paraId="16DEA188">
            <w:pPr>
              <w:snapToGrid w:val="0"/>
              <w:spacing w:line="360" w:lineRule="auto"/>
              <w:jc w:val="center"/>
              <w:rPr>
                <w:rFonts w:ascii="宋体" w:hAnsi="宋体" w:eastAsia="宋体"/>
                <w:szCs w:val="21"/>
              </w:rPr>
            </w:pPr>
            <w:r>
              <w:rPr>
                <w:rFonts w:ascii="宋体" w:hAnsi="宋体" w:eastAsia="宋体"/>
                <w:szCs w:val="21"/>
              </w:rPr>
              <w:t>0.0532</w:t>
            </w:r>
          </w:p>
        </w:tc>
        <w:tc>
          <w:tcPr>
            <w:tcW w:w="1967" w:type="dxa"/>
            <w:tcBorders>
              <w:top w:val="single" w:color="auto" w:sz="4" w:space="0"/>
              <w:left w:val="nil"/>
              <w:bottom w:val="nil"/>
              <w:right w:val="nil"/>
            </w:tcBorders>
            <w:vAlign w:val="center"/>
          </w:tcPr>
          <w:p ns1:paraId="75E7928E">
            <w:pPr>
              <w:snapToGrid w:val="0"/>
              <w:spacing w:line="360" w:lineRule="auto"/>
              <w:jc w:val="center"/>
              <w:rPr>
                <w:rFonts w:ascii="宋体" w:hAnsi="宋体" w:eastAsia="宋体"/>
                <w:szCs w:val="21"/>
              </w:rPr>
            </w:pPr>
            <w:r>
              <w:rPr>
                <w:rFonts w:ascii="宋体" w:hAnsi="宋体" w:eastAsia="宋体"/>
                <w:szCs w:val="21"/>
              </w:rPr>
              <w:t>0.3811</w:t>
            </w:r>
          </w:p>
        </w:tc>
        <w:tc>
          <w:tcPr>
            <w:tcW w:w="1315" w:type="dxa"/>
            <w:tcBorders>
              <w:top w:val="single" w:color="auto" w:sz="4" w:space="0"/>
              <w:left w:val="nil"/>
              <w:bottom w:val="nil"/>
              <w:right w:val="nil"/>
            </w:tcBorders>
            <w:vAlign w:val="center"/>
          </w:tcPr>
          <w:p ns1:paraId="4FEE3B9C">
            <w:pPr>
              <w:snapToGrid w:val="0"/>
              <w:spacing w:line="360" w:lineRule="auto"/>
              <w:jc w:val="center"/>
              <w:rPr>
                <w:rFonts w:ascii="宋体" w:hAnsi="宋体" w:eastAsia="宋体"/>
                <w:szCs w:val="21"/>
              </w:rPr>
            </w:pPr>
            <w:r>
              <w:rPr>
                <w:rFonts w:ascii="宋体" w:hAnsi="宋体" w:eastAsia="宋体"/>
                <w:szCs w:val="21"/>
              </w:rPr>
              <w:t>5</w:t>
            </w:r>
          </w:p>
        </w:tc>
      </w:tr>
      <w:tr ns1:paraId="5F802295">
        <w:trPr>
          <w:jc w:val="center"/>
        </w:trPr>
        <w:tc>
          <w:tcPr>
            <w:tcW w:w="1628" w:type="dxa"/>
            <w:tcBorders>
              <w:top w:val="nil"/>
              <w:left w:val="nil"/>
              <w:bottom w:val="nil"/>
              <w:right w:val="nil"/>
            </w:tcBorders>
            <w:vAlign w:val="center"/>
          </w:tcPr>
          <w:p ns1:paraId="00A356B7">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ns1:paraId="1542526C">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1462</w:t>
            </w:r>
          </w:p>
        </w:tc>
        <w:tc>
          <w:tcPr>
            <w:tcW w:w="1967" w:type="dxa"/>
            <w:tcBorders>
              <w:top w:val="nil"/>
              <w:left w:val="nil"/>
              <w:bottom w:val="nil"/>
              <w:right w:val="nil"/>
            </w:tcBorders>
            <w:vAlign w:val="center"/>
          </w:tcPr>
          <w:p ns1:paraId="2C60B118">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0648</w:t>
            </w:r>
          </w:p>
        </w:tc>
        <w:tc>
          <w:tcPr>
            <w:tcW w:w="1967" w:type="dxa"/>
            <w:tcBorders>
              <w:top w:val="nil"/>
              <w:left w:val="nil"/>
              <w:bottom w:val="nil"/>
              <w:right w:val="nil"/>
            </w:tcBorders>
            <w:vAlign w:val="center"/>
          </w:tcPr>
          <w:p ns1:paraId="1476A53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4511</w:t>
            </w:r>
          </w:p>
        </w:tc>
        <w:tc>
          <w:tcPr>
            <w:tcW w:w="1315" w:type="dxa"/>
            <w:tcBorders>
              <w:top w:val="nil"/>
              <w:left w:val="nil"/>
              <w:bottom w:val="nil"/>
              <w:right w:val="nil"/>
            </w:tcBorders>
            <w:vAlign w:val="center"/>
          </w:tcPr>
          <w:p ns1:paraId="26AD4015">
            <w:pPr>
              <w:snapToGrid w:val="0"/>
              <w:spacing w:line="360" w:lineRule="auto"/>
              <w:jc w:val="center"/>
              <w:rPr>
                <w:rFonts w:ascii="宋体" w:hAnsi="宋体" w:eastAsia="宋体"/>
                <w:szCs w:val="21"/>
              </w:rPr>
            </w:pPr>
            <w:r>
              <w:rPr>
                <w:rFonts w:ascii="宋体" w:hAnsi="宋体" w:eastAsia="宋体"/>
                <w:szCs w:val="21"/>
              </w:rPr>
              <w:t>5</w:t>
            </w:r>
          </w:p>
        </w:tc>
      </w:tr>
      <w:tr ns1:paraId="77D3CB1A">
        <w:trPr>
          <w:jc w:val="center"/>
        </w:trPr>
        <w:tc>
          <w:tcPr>
            <w:tcW w:w="1628" w:type="dxa"/>
            <w:tcBorders>
              <w:top w:val="nil"/>
              <w:left w:val="nil"/>
              <w:bottom w:val="nil"/>
              <w:right w:val="nil"/>
            </w:tcBorders>
            <w:vAlign w:val="center"/>
          </w:tcPr>
          <w:p ns1:paraId="51BB921F">
            <w:pPr>
              <w:snapToGrid w:val="0"/>
              <w:spacing w:line="360" w:lineRule="auto"/>
              <w:jc w:val="center"/>
              <w:rPr>
                <w:rFonts w:ascii="宋体" w:hAnsi="宋体" w:eastAsia="宋体"/>
                <w:szCs w:val="21"/>
              </w:rPr>
            </w:pPr>
            <w:r>
              <w:rPr>
                <w:rFonts w:ascii="宋体" w:hAnsi="宋体" w:eastAsia="宋体"/>
                <w:szCs w:val="21"/>
              </w:rPr>
              <w:t>C04B-028</w:t>
            </w:r>
          </w:p>
        </w:tc>
        <w:tc>
          <w:tcPr>
            <w:tcW w:w="1642" w:type="dxa"/>
            <w:tcBorders>
              <w:top w:val="nil"/>
              <w:left w:val="nil"/>
              <w:bottom w:val="nil"/>
              <w:right w:val="nil"/>
            </w:tcBorders>
            <w:vAlign w:val="center"/>
          </w:tcPr>
          <w:p ns1:paraId="23E18548">
            <w:pPr>
              <w:snapToGrid w:val="0"/>
              <w:spacing w:line="360" w:lineRule="auto"/>
              <w:jc w:val="center"/>
              <w:rPr>
                <w:rFonts w:ascii="宋体" w:hAnsi="宋体" w:eastAsia="宋体"/>
                <w:szCs w:val="21"/>
              </w:rPr>
            </w:pPr>
            <w:r>
              <w:rPr>
                <w:rFonts w:ascii="宋体" w:hAnsi="宋体" w:eastAsia="宋体"/>
                <w:szCs w:val="21"/>
              </w:rPr>
              <w:t>0.0491</w:t>
            </w:r>
          </w:p>
        </w:tc>
        <w:tc>
          <w:tcPr>
            <w:tcW w:w="1967" w:type="dxa"/>
            <w:tcBorders>
              <w:top w:val="nil"/>
              <w:left w:val="nil"/>
              <w:bottom w:val="nil"/>
              <w:right w:val="nil"/>
            </w:tcBorders>
            <w:vAlign w:val="center"/>
          </w:tcPr>
          <w:p ns1:paraId="1DC2E2B7">
            <w:pPr>
              <w:snapToGrid w:val="0"/>
              <w:spacing w:line="360" w:lineRule="auto"/>
              <w:jc w:val="center"/>
              <w:rPr>
                <w:rFonts w:ascii="宋体" w:hAnsi="宋体" w:eastAsia="宋体"/>
                <w:szCs w:val="21"/>
              </w:rPr>
            </w:pPr>
            <w:r>
              <w:rPr>
                <w:rFonts w:ascii="宋体" w:hAnsi="宋体" w:eastAsia="宋体"/>
                <w:szCs w:val="21"/>
              </w:rPr>
              <w:t>0.0073</w:t>
            </w:r>
          </w:p>
        </w:tc>
        <w:tc>
          <w:tcPr>
            <w:tcW w:w="1967" w:type="dxa"/>
            <w:tcBorders>
              <w:top w:val="nil"/>
              <w:left w:val="nil"/>
              <w:bottom w:val="nil"/>
              <w:right w:val="nil"/>
            </w:tcBorders>
            <w:vAlign w:val="center"/>
          </w:tcPr>
          <w:p ns1:paraId="58804BDD">
            <w:pPr>
              <w:snapToGrid w:val="0"/>
              <w:spacing w:line="360" w:lineRule="auto"/>
              <w:jc w:val="center"/>
              <w:rPr>
                <w:rFonts w:ascii="宋体" w:hAnsi="宋体" w:eastAsia="宋体"/>
                <w:szCs w:val="21"/>
              </w:rPr>
            </w:pPr>
            <w:r>
              <w:rPr>
                <w:rFonts w:ascii="宋体" w:hAnsi="宋体" w:eastAsia="宋体"/>
                <w:szCs w:val="21"/>
              </w:rPr>
              <w:t>0.3742</w:t>
            </w:r>
          </w:p>
        </w:tc>
        <w:tc>
          <w:tcPr>
            <w:tcW w:w="1315" w:type="dxa"/>
            <w:tcBorders>
              <w:top w:val="nil"/>
              <w:left w:val="nil"/>
              <w:bottom w:val="nil"/>
              <w:right w:val="nil"/>
            </w:tcBorders>
            <w:vAlign w:val="center"/>
          </w:tcPr>
          <w:p ns1:paraId="4CEB3EC4">
            <w:pPr>
              <w:snapToGrid w:val="0"/>
              <w:spacing w:line="360" w:lineRule="auto"/>
              <w:jc w:val="center"/>
              <w:rPr>
                <w:rFonts w:ascii="宋体" w:hAnsi="宋体" w:eastAsia="宋体"/>
                <w:szCs w:val="21"/>
              </w:rPr>
            </w:pPr>
            <w:r>
              <w:rPr>
                <w:rFonts w:ascii="宋体" w:hAnsi="宋体" w:eastAsia="宋体"/>
                <w:szCs w:val="21"/>
              </w:rPr>
              <w:t>5</w:t>
            </w:r>
          </w:p>
        </w:tc>
      </w:tr>
      <w:tr ns1:paraId="5E1E508E">
        <w:trPr>
          <w:jc w:val="center"/>
        </w:trPr>
        <w:tc>
          <w:tcPr>
            <w:tcW w:w="1628" w:type="dxa"/>
            <w:tcBorders>
              <w:top w:val="nil"/>
              <w:left w:val="nil"/>
              <w:bottom w:val="nil"/>
              <w:right w:val="nil"/>
            </w:tcBorders>
            <w:vAlign w:val="center"/>
          </w:tcPr>
          <w:p ns1:paraId="1323A5D9">
            <w:pPr>
              <w:snapToGrid w:val="0"/>
              <w:spacing w:line="360" w:lineRule="auto"/>
              <w:jc w:val="center"/>
              <w:rPr>
                <w:rFonts w:ascii="宋体" w:hAnsi="宋体" w:eastAsia="宋体"/>
                <w:szCs w:val="21"/>
              </w:rPr>
            </w:pPr>
            <w:r>
              <w:rPr>
                <w:rFonts w:ascii="宋体" w:hAnsi="宋体" w:eastAsia="宋体"/>
                <w:szCs w:val="21"/>
              </w:rPr>
              <w:t>B28B-001</w:t>
            </w:r>
          </w:p>
        </w:tc>
        <w:tc>
          <w:tcPr>
            <w:tcW w:w="1642" w:type="dxa"/>
            <w:tcBorders>
              <w:top w:val="nil"/>
              <w:left w:val="nil"/>
              <w:bottom w:val="nil"/>
              <w:right w:val="nil"/>
            </w:tcBorders>
            <w:vAlign w:val="center"/>
          </w:tcPr>
          <w:p ns1:paraId="599E43FB">
            <w:pPr>
              <w:snapToGrid w:val="0"/>
              <w:spacing w:line="360" w:lineRule="auto"/>
              <w:jc w:val="center"/>
              <w:rPr>
                <w:rFonts w:ascii="宋体" w:hAnsi="宋体" w:eastAsia="宋体"/>
                <w:szCs w:val="21"/>
              </w:rPr>
            </w:pPr>
            <w:r>
              <w:rPr>
                <w:rFonts w:ascii="宋体" w:hAnsi="宋体" w:eastAsia="宋体"/>
                <w:szCs w:val="21"/>
              </w:rPr>
              <w:t>0.0593</w:t>
            </w:r>
          </w:p>
        </w:tc>
        <w:tc>
          <w:tcPr>
            <w:tcW w:w="1967" w:type="dxa"/>
            <w:tcBorders>
              <w:top w:val="nil"/>
              <w:left w:val="nil"/>
              <w:bottom w:val="nil"/>
              <w:right w:val="nil"/>
            </w:tcBorders>
            <w:vAlign w:val="center"/>
          </w:tcPr>
          <w:p ns1:paraId="27A2DF55">
            <w:pPr>
              <w:snapToGrid w:val="0"/>
              <w:spacing w:line="360" w:lineRule="auto"/>
              <w:jc w:val="center"/>
              <w:rPr>
                <w:rFonts w:ascii="宋体" w:hAnsi="宋体" w:eastAsia="宋体"/>
                <w:szCs w:val="21"/>
              </w:rPr>
            </w:pPr>
            <w:r>
              <w:rPr>
                <w:rFonts w:ascii="宋体" w:hAnsi="宋体" w:eastAsia="宋体"/>
                <w:szCs w:val="21"/>
              </w:rPr>
              <w:t>0.0131</w:t>
            </w:r>
          </w:p>
        </w:tc>
        <w:tc>
          <w:tcPr>
            <w:tcW w:w="1967" w:type="dxa"/>
            <w:tcBorders>
              <w:top w:val="nil"/>
              <w:left w:val="nil"/>
              <w:bottom w:val="nil"/>
              <w:right w:val="nil"/>
            </w:tcBorders>
            <w:vAlign w:val="center"/>
          </w:tcPr>
          <w:p ns1:paraId="2E5E8FFB">
            <w:pPr>
              <w:snapToGrid w:val="0"/>
              <w:spacing w:line="360" w:lineRule="auto"/>
              <w:jc w:val="center"/>
              <w:rPr>
                <w:rFonts w:ascii="宋体" w:hAnsi="宋体" w:eastAsia="宋体"/>
                <w:szCs w:val="21"/>
              </w:rPr>
            </w:pPr>
            <w:r>
              <w:rPr>
                <w:rFonts w:ascii="宋体" w:hAnsi="宋体" w:eastAsia="宋体"/>
                <w:szCs w:val="21"/>
              </w:rPr>
              <w:t>0.3982</w:t>
            </w:r>
          </w:p>
        </w:tc>
        <w:tc>
          <w:tcPr>
            <w:tcW w:w="1315" w:type="dxa"/>
            <w:tcBorders>
              <w:top w:val="nil"/>
              <w:left w:val="nil"/>
              <w:bottom w:val="nil"/>
              <w:right w:val="nil"/>
            </w:tcBorders>
            <w:vAlign w:val="center"/>
          </w:tcPr>
          <w:p ns1:paraId="7CC64A53">
            <w:pPr>
              <w:snapToGrid w:val="0"/>
              <w:spacing w:line="360" w:lineRule="auto"/>
              <w:jc w:val="center"/>
              <w:rPr>
                <w:rFonts w:ascii="宋体" w:hAnsi="宋体" w:eastAsia="宋体"/>
                <w:szCs w:val="21"/>
              </w:rPr>
            </w:pPr>
            <w:r>
              <w:rPr>
                <w:rFonts w:ascii="宋体" w:hAnsi="宋体" w:eastAsia="宋体"/>
                <w:szCs w:val="21"/>
              </w:rPr>
              <w:t>5</w:t>
            </w:r>
          </w:p>
        </w:tc>
      </w:tr>
      <w:tr ns1:paraId="0D277E7C">
        <w:trPr>
          <w:jc w:val="center"/>
        </w:trPr>
        <w:tc>
          <w:tcPr>
            <w:tcW w:w="1628" w:type="dxa"/>
            <w:tcBorders>
              <w:top w:val="nil"/>
              <w:left w:val="nil"/>
              <w:bottom w:val="nil"/>
              <w:right w:val="nil"/>
            </w:tcBorders>
            <w:vAlign w:val="center"/>
          </w:tcPr>
          <w:p ns1:paraId="4C0541E9">
            <w:pPr>
              <w:snapToGrid w:val="0"/>
              <w:spacing w:line="360" w:lineRule="auto"/>
              <w:jc w:val="center"/>
              <w:rPr>
                <w:rFonts w:ascii="宋体" w:hAnsi="宋体" w:eastAsia="宋体"/>
                <w:szCs w:val="21"/>
              </w:rPr>
            </w:pPr>
            <w:r>
              <w:rPr>
                <w:rFonts w:ascii="宋体" w:hAnsi="宋体" w:eastAsia="宋体"/>
                <w:szCs w:val="21"/>
              </w:rPr>
              <w:t>B28B-013</w:t>
            </w:r>
          </w:p>
        </w:tc>
        <w:tc>
          <w:tcPr>
            <w:tcW w:w="1642" w:type="dxa"/>
            <w:tcBorders>
              <w:top w:val="nil"/>
              <w:left w:val="nil"/>
              <w:bottom w:val="nil"/>
              <w:right w:val="nil"/>
            </w:tcBorders>
            <w:vAlign w:val="center"/>
          </w:tcPr>
          <w:p ns1:paraId="00BE57D2">
            <w:pPr>
              <w:snapToGrid w:val="0"/>
              <w:spacing w:line="360" w:lineRule="auto"/>
              <w:jc w:val="center"/>
              <w:rPr>
                <w:rFonts w:ascii="宋体" w:hAnsi="宋体" w:eastAsia="宋体"/>
                <w:szCs w:val="21"/>
              </w:rPr>
            </w:pPr>
            <w:r>
              <w:rPr>
                <w:rFonts w:ascii="宋体" w:hAnsi="宋体" w:eastAsia="宋体"/>
                <w:szCs w:val="21"/>
              </w:rPr>
              <w:t>0.0204</w:t>
            </w:r>
          </w:p>
        </w:tc>
        <w:tc>
          <w:tcPr>
            <w:tcW w:w="1967" w:type="dxa"/>
            <w:tcBorders>
              <w:top w:val="nil"/>
              <w:left w:val="nil"/>
              <w:bottom w:val="nil"/>
              <w:right w:val="nil"/>
            </w:tcBorders>
            <w:vAlign w:val="center"/>
          </w:tcPr>
          <w:p ns1:paraId="213BD467">
            <w:pPr>
              <w:snapToGrid w:val="0"/>
              <w:spacing w:line="360" w:lineRule="auto"/>
              <w:jc w:val="center"/>
              <w:rPr>
                <w:rFonts w:ascii="宋体" w:hAnsi="宋体" w:eastAsia="宋体"/>
                <w:szCs w:val="21"/>
              </w:rPr>
            </w:pPr>
            <w:r>
              <w:rPr>
                <w:rFonts w:ascii="宋体" w:hAnsi="宋体" w:eastAsia="宋体"/>
                <w:szCs w:val="21"/>
              </w:rPr>
              <w:t>0.0009</w:t>
            </w:r>
          </w:p>
        </w:tc>
        <w:tc>
          <w:tcPr>
            <w:tcW w:w="1967" w:type="dxa"/>
            <w:tcBorders>
              <w:top w:val="nil"/>
              <w:left w:val="nil"/>
              <w:bottom w:val="nil"/>
              <w:right w:val="nil"/>
            </w:tcBorders>
            <w:vAlign w:val="center"/>
          </w:tcPr>
          <w:p ns1:paraId="0F504758">
            <w:pPr>
              <w:snapToGrid w:val="0"/>
              <w:spacing w:line="360" w:lineRule="auto"/>
              <w:jc w:val="center"/>
              <w:rPr>
                <w:rFonts w:ascii="宋体" w:hAnsi="宋体" w:eastAsia="宋体"/>
                <w:szCs w:val="21"/>
              </w:rPr>
            </w:pPr>
            <w:r>
              <w:rPr>
                <w:rFonts w:ascii="宋体" w:hAnsi="宋体" w:eastAsia="宋体"/>
                <w:szCs w:val="21"/>
              </w:rPr>
              <w:t>0.3456</w:t>
            </w:r>
          </w:p>
        </w:tc>
        <w:tc>
          <w:tcPr>
            <w:tcW w:w="1315" w:type="dxa"/>
            <w:tcBorders>
              <w:top w:val="nil"/>
              <w:left w:val="nil"/>
              <w:bottom w:val="nil"/>
              <w:right w:val="nil"/>
            </w:tcBorders>
            <w:vAlign w:val="center"/>
          </w:tcPr>
          <w:p ns1:paraId="15CDA45F">
            <w:pPr>
              <w:snapToGrid w:val="0"/>
              <w:spacing w:line="360" w:lineRule="auto"/>
              <w:jc w:val="center"/>
              <w:rPr>
                <w:rFonts w:ascii="宋体" w:hAnsi="宋体" w:eastAsia="宋体"/>
                <w:szCs w:val="21"/>
              </w:rPr>
            </w:pPr>
            <w:r>
              <w:rPr>
                <w:rFonts w:ascii="宋体" w:hAnsi="宋体" w:eastAsia="宋体"/>
                <w:szCs w:val="21"/>
              </w:rPr>
              <w:t>5</w:t>
            </w:r>
          </w:p>
        </w:tc>
      </w:tr>
      <w:tr ns1:paraId="26422880">
        <w:trPr>
          <w:jc w:val="center"/>
        </w:trPr>
        <w:tc>
          <w:tcPr>
            <w:tcW w:w="1628" w:type="dxa"/>
            <w:tcBorders>
              <w:top w:val="nil"/>
              <w:left w:val="nil"/>
              <w:bottom w:val="nil"/>
              <w:right w:val="nil"/>
            </w:tcBorders>
            <w:vAlign w:val="center"/>
          </w:tcPr>
          <w:p ns1:paraId="3F2C0C16">
            <w:pPr>
              <w:snapToGrid w:val="0"/>
              <w:spacing w:line="360" w:lineRule="auto"/>
              <w:jc w:val="center"/>
              <w:rPr>
                <w:rFonts w:ascii="宋体" w:hAnsi="宋体" w:eastAsia="宋体"/>
                <w:szCs w:val="21"/>
              </w:rPr>
            </w:pPr>
            <w:r>
              <w:rPr>
                <w:rFonts w:hint="eastAsia" w:ascii="宋体" w:hAnsi="宋体" w:eastAsia="宋体"/>
                <w:szCs w:val="21"/>
              </w:rPr>
              <w:t>G01</w:t>
            </w:r>
            <w:r>
              <w:rPr>
                <w:rFonts w:ascii="宋体" w:hAnsi="宋体" w:eastAsia="宋体"/>
                <w:szCs w:val="21"/>
              </w:rPr>
              <w:t>B-01</w:t>
            </w:r>
            <w:r>
              <w:rPr>
                <w:rFonts w:hint="eastAsia" w:ascii="宋体" w:hAnsi="宋体" w:eastAsia="宋体"/>
                <w:szCs w:val="21"/>
              </w:rPr>
              <w:t>1</w:t>
            </w:r>
          </w:p>
        </w:tc>
        <w:tc>
          <w:tcPr>
            <w:tcW w:w="1642" w:type="dxa"/>
            <w:tcBorders>
              <w:top w:val="nil"/>
              <w:left w:val="nil"/>
              <w:bottom w:val="nil"/>
              <w:right w:val="nil"/>
            </w:tcBorders>
            <w:vAlign w:val="center"/>
          </w:tcPr>
          <w:p ns1:paraId="17D8908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746</w:t>
            </w:r>
          </w:p>
        </w:tc>
        <w:tc>
          <w:tcPr>
            <w:tcW w:w="1967" w:type="dxa"/>
            <w:tcBorders>
              <w:top w:val="nil"/>
              <w:left w:val="nil"/>
              <w:bottom w:val="nil"/>
              <w:right w:val="nil"/>
            </w:tcBorders>
            <w:vAlign w:val="center"/>
          </w:tcPr>
          <w:p ns1:paraId="6A2E7099">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195</w:t>
            </w:r>
          </w:p>
        </w:tc>
        <w:tc>
          <w:tcPr>
            <w:tcW w:w="1967" w:type="dxa"/>
            <w:tcBorders>
              <w:top w:val="nil"/>
              <w:left w:val="nil"/>
              <w:bottom w:val="nil"/>
              <w:right w:val="nil"/>
            </w:tcBorders>
            <w:vAlign w:val="center"/>
          </w:tcPr>
          <w:p ns1:paraId="12A295B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4191</w:t>
            </w:r>
          </w:p>
        </w:tc>
        <w:tc>
          <w:tcPr>
            <w:tcW w:w="1315" w:type="dxa"/>
            <w:tcBorders>
              <w:top w:val="nil"/>
              <w:left w:val="nil"/>
              <w:bottom w:val="nil"/>
              <w:right w:val="nil"/>
            </w:tcBorders>
            <w:vAlign w:val="center"/>
          </w:tcPr>
          <w:p ns1:paraId="025587AA">
            <w:pPr>
              <w:snapToGrid w:val="0"/>
              <w:spacing w:line="360" w:lineRule="auto"/>
              <w:jc w:val="center"/>
              <w:rPr>
                <w:rFonts w:ascii="宋体" w:hAnsi="宋体" w:eastAsia="宋体"/>
                <w:szCs w:val="21"/>
              </w:rPr>
            </w:pPr>
            <w:r>
              <w:rPr>
                <w:rFonts w:ascii="宋体" w:hAnsi="宋体" w:eastAsia="宋体"/>
                <w:szCs w:val="21"/>
              </w:rPr>
              <w:t>5</w:t>
            </w:r>
          </w:p>
        </w:tc>
      </w:tr>
      <w:tr ns1:paraId="274A55D8">
        <w:trPr>
          <w:jc w:val="center"/>
        </w:trPr>
        <w:tc>
          <w:tcPr>
            <w:tcW w:w="1628" w:type="dxa"/>
            <w:tcBorders>
              <w:top w:val="nil"/>
              <w:left w:val="nil"/>
              <w:bottom w:val="nil"/>
              <w:right w:val="nil"/>
            </w:tcBorders>
            <w:vAlign w:val="center"/>
          </w:tcPr>
          <w:p ns1:paraId="531882A1">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ns1:paraId="6E5839F2">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ns1:paraId="49B3E27D">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ns1:paraId="1504ACB4">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ns1:paraId="6F624051">
            <w:pPr>
              <w:snapToGrid w:val="0"/>
              <w:spacing w:line="360" w:lineRule="auto"/>
              <w:jc w:val="center"/>
              <w:rPr>
                <w:rFonts w:ascii="宋体" w:hAnsi="宋体" w:eastAsia="宋体"/>
                <w:szCs w:val="21"/>
              </w:rPr>
            </w:pPr>
            <w:r>
              <w:rPr>
                <w:rFonts w:ascii="宋体" w:hAnsi="宋体" w:eastAsia="宋体"/>
                <w:szCs w:val="21"/>
              </w:rPr>
              <w:t>-</w:t>
            </w:r>
          </w:p>
        </w:tc>
      </w:tr>
      <w:tr ns1:paraId="532AB974">
        <w:trPr>
          <w:jc w:val="center"/>
        </w:trPr>
        <w:tc>
          <w:tcPr>
            <w:tcW w:w="1628" w:type="dxa"/>
            <w:tcBorders>
              <w:top w:val="nil"/>
              <w:left w:val="nil"/>
              <w:bottom w:val="nil"/>
              <w:right w:val="nil"/>
            </w:tcBorders>
            <w:vAlign w:val="center"/>
          </w:tcPr>
          <w:p ns1:paraId="69CC0107">
            <w:pPr>
              <w:snapToGrid w:val="0"/>
              <w:spacing w:line="360" w:lineRule="auto"/>
              <w:jc w:val="center"/>
              <w:rPr>
                <w:rFonts w:ascii="宋体" w:hAnsi="宋体" w:eastAsia="宋体"/>
                <w:szCs w:val="21"/>
              </w:rPr>
            </w:pPr>
            <w:r>
              <w:rPr>
                <w:rFonts w:hint="eastAsia" w:ascii="宋体" w:hAnsi="宋体" w:eastAsia="宋体"/>
                <w:szCs w:val="21"/>
              </w:rPr>
              <w:t>G01S</w:t>
            </w:r>
            <w:r>
              <w:rPr>
                <w:rFonts w:ascii="宋体" w:hAnsi="宋体" w:eastAsia="宋体"/>
                <w:szCs w:val="21"/>
              </w:rPr>
              <w:t>-0</w:t>
            </w:r>
            <w:r>
              <w:rPr>
                <w:rFonts w:hint="eastAsia" w:ascii="宋体" w:hAnsi="宋体" w:eastAsia="宋体"/>
                <w:szCs w:val="21"/>
              </w:rPr>
              <w:t>17</w:t>
            </w:r>
          </w:p>
        </w:tc>
        <w:tc>
          <w:tcPr>
            <w:tcW w:w="1642" w:type="dxa"/>
            <w:tcBorders>
              <w:top w:val="nil"/>
              <w:left w:val="nil"/>
              <w:bottom w:val="nil"/>
              <w:right w:val="nil"/>
            </w:tcBorders>
            <w:vAlign w:val="center"/>
          </w:tcPr>
          <w:p ns1:paraId="5250674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429</w:t>
            </w:r>
          </w:p>
        </w:tc>
        <w:tc>
          <w:tcPr>
            <w:tcW w:w="1967" w:type="dxa"/>
            <w:tcBorders>
              <w:top w:val="nil"/>
              <w:left w:val="nil"/>
              <w:bottom w:val="nil"/>
              <w:right w:val="nil"/>
            </w:tcBorders>
            <w:vAlign w:val="center"/>
          </w:tcPr>
          <w:p ns1:paraId="7196BA53">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41</w:t>
            </w:r>
          </w:p>
        </w:tc>
        <w:tc>
          <w:tcPr>
            <w:tcW w:w="1967" w:type="dxa"/>
            <w:tcBorders>
              <w:top w:val="nil"/>
              <w:left w:val="nil"/>
              <w:bottom w:val="nil"/>
              <w:right w:val="nil"/>
            </w:tcBorders>
            <w:vAlign w:val="center"/>
          </w:tcPr>
          <w:p ns1:paraId="3E76F07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3746</w:t>
            </w:r>
          </w:p>
        </w:tc>
        <w:tc>
          <w:tcPr>
            <w:tcW w:w="1315" w:type="dxa"/>
            <w:tcBorders>
              <w:top w:val="nil"/>
              <w:left w:val="nil"/>
              <w:bottom w:val="nil"/>
              <w:right w:val="nil"/>
            </w:tcBorders>
            <w:vAlign w:val="center"/>
          </w:tcPr>
          <w:p ns1:paraId="73F32DA3">
            <w:pPr>
              <w:snapToGrid w:val="0"/>
              <w:spacing w:line="360" w:lineRule="auto"/>
              <w:jc w:val="center"/>
              <w:rPr>
                <w:rFonts w:ascii="宋体" w:hAnsi="宋体" w:eastAsia="宋体"/>
                <w:szCs w:val="21"/>
              </w:rPr>
            </w:pPr>
            <w:r>
              <w:rPr>
                <w:rFonts w:hint="eastAsia" w:ascii="宋体" w:hAnsi="宋体" w:eastAsia="宋体"/>
                <w:szCs w:val="21"/>
              </w:rPr>
              <w:t>5</w:t>
            </w:r>
          </w:p>
        </w:tc>
      </w:tr>
      <w:tr ns1:paraId="499503C9">
        <w:trPr>
          <w:jc w:val="center"/>
        </w:trPr>
        <w:tc>
          <w:tcPr>
            <w:tcW w:w="1628" w:type="dxa"/>
            <w:tcBorders>
              <w:top w:val="nil"/>
              <w:left w:val="nil"/>
              <w:bottom w:val="nil"/>
              <w:right w:val="nil"/>
            </w:tcBorders>
            <w:vAlign w:val="center"/>
          </w:tcPr>
          <w:p ns1:paraId="29197F11">
            <w:pPr>
              <w:snapToGrid w:val="0"/>
              <w:spacing w:line="360" w:lineRule="auto"/>
              <w:jc w:val="center"/>
              <w:rPr>
                <w:rFonts w:ascii="宋体" w:hAnsi="宋体" w:eastAsia="宋体"/>
                <w:szCs w:val="21"/>
              </w:rPr>
            </w:pPr>
            <w:r>
              <w:rPr>
                <w:rFonts w:ascii="宋体" w:hAnsi="宋体" w:eastAsia="宋体"/>
                <w:szCs w:val="21"/>
              </w:rPr>
              <w:t>E03B-009</w:t>
            </w:r>
          </w:p>
        </w:tc>
        <w:tc>
          <w:tcPr>
            <w:tcW w:w="1642" w:type="dxa"/>
            <w:tcBorders>
              <w:top w:val="nil"/>
              <w:left w:val="nil"/>
              <w:bottom w:val="nil"/>
              <w:right w:val="nil"/>
            </w:tcBorders>
            <w:shd w:val="clear" w:color="auto" w:fill="auto"/>
            <w:vAlign w:val="center"/>
          </w:tcPr>
          <w:p ns1:paraId="522C868B">
            <w:pPr>
              <w:snapToGrid w:val="0"/>
              <w:spacing w:line="360" w:lineRule="auto"/>
              <w:jc w:val="center"/>
              <w:rPr>
                <w:rFonts w:ascii="宋体" w:hAnsi="宋体" w:eastAsia="宋体"/>
                <w:szCs w:val="21"/>
              </w:rPr>
            </w:pPr>
            <w:r>
              <w:rPr>
                <w:rFonts w:ascii="宋体" w:hAnsi="宋体" w:eastAsia="宋体"/>
                <w:szCs w:val="21"/>
              </w:rPr>
              <w:t>0.0082</w:t>
            </w:r>
          </w:p>
        </w:tc>
        <w:tc>
          <w:tcPr>
            <w:tcW w:w="1967" w:type="dxa"/>
            <w:tcBorders>
              <w:top w:val="nil"/>
              <w:left w:val="nil"/>
              <w:bottom w:val="nil"/>
              <w:right w:val="nil"/>
            </w:tcBorders>
            <w:shd w:val="clear" w:color="auto" w:fill="auto"/>
            <w:vAlign w:val="center"/>
          </w:tcPr>
          <w:p ns1:paraId="11325465">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nil"/>
              <w:right w:val="nil"/>
            </w:tcBorders>
            <w:shd w:val="clear" w:color="auto" w:fill="auto"/>
            <w:vAlign w:val="center"/>
          </w:tcPr>
          <w:p ns1:paraId="52DC6E9F">
            <w:pPr>
              <w:snapToGrid w:val="0"/>
              <w:spacing w:line="360" w:lineRule="auto"/>
              <w:jc w:val="center"/>
              <w:rPr>
                <w:rFonts w:ascii="宋体" w:hAnsi="宋体" w:eastAsia="宋体"/>
                <w:szCs w:val="21"/>
              </w:rPr>
            </w:pPr>
            <w:r>
              <w:rPr>
                <w:rFonts w:ascii="宋体" w:hAnsi="宋体" w:eastAsia="宋体"/>
                <w:szCs w:val="21"/>
              </w:rPr>
              <w:t>0.3133</w:t>
            </w:r>
          </w:p>
        </w:tc>
        <w:tc>
          <w:tcPr>
            <w:tcW w:w="1315" w:type="dxa"/>
            <w:tcBorders>
              <w:top w:val="nil"/>
              <w:left w:val="nil"/>
              <w:bottom w:val="nil"/>
              <w:right w:val="nil"/>
            </w:tcBorders>
            <w:shd w:val="clear" w:color="auto" w:fill="auto"/>
            <w:vAlign w:val="center"/>
          </w:tcPr>
          <w:p ns1:paraId="6D8CB1FC">
            <w:pPr>
              <w:snapToGrid w:val="0"/>
              <w:spacing w:line="360" w:lineRule="auto"/>
              <w:jc w:val="center"/>
              <w:rPr>
                <w:rFonts w:ascii="宋体" w:hAnsi="宋体" w:eastAsia="宋体"/>
                <w:szCs w:val="21"/>
              </w:rPr>
            </w:pPr>
            <w:r>
              <w:rPr>
                <w:rFonts w:ascii="宋体" w:hAnsi="宋体" w:eastAsia="宋体"/>
                <w:szCs w:val="21"/>
              </w:rPr>
              <w:t>5</w:t>
            </w:r>
          </w:p>
        </w:tc>
      </w:tr>
      <w:tr ns1:paraId="171CF67F">
        <w:trPr>
          <w:jc w:val="center"/>
        </w:trPr>
        <w:tc>
          <w:tcPr>
            <w:tcW w:w="1628" w:type="dxa"/>
            <w:tcBorders>
              <w:top w:val="nil"/>
              <w:left w:val="nil"/>
              <w:bottom w:val="nil"/>
              <w:right w:val="nil"/>
            </w:tcBorders>
            <w:vAlign w:val="center"/>
          </w:tcPr>
          <w:p ns1:paraId="74BF1DF1">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w:t>
            </w:r>
            <w:r>
              <w:rPr>
                <w:rFonts w:hint="eastAsia" w:ascii="宋体" w:hAnsi="宋体" w:eastAsia="宋体"/>
                <w:szCs w:val="21"/>
              </w:rPr>
              <w:t>03</w:t>
            </w:r>
          </w:p>
        </w:tc>
        <w:tc>
          <w:tcPr>
            <w:tcW w:w="1642" w:type="dxa"/>
            <w:tcBorders>
              <w:top w:val="nil"/>
              <w:left w:val="nil"/>
              <w:bottom w:val="nil"/>
              <w:right w:val="nil"/>
            </w:tcBorders>
            <w:vAlign w:val="center"/>
          </w:tcPr>
          <w:p ns1:paraId="62ECA447">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1166</w:t>
            </w:r>
          </w:p>
        </w:tc>
        <w:tc>
          <w:tcPr>
            <w:tcW w:w="1967" w:type="dxa"/>
            <w:tcBorders>
              <w:top w:val="nil"/>
              <w:left w:val="nil"/>
              <w:bottom w:val="nil"/>
              <w:right w:val="nil"/>
            </w:tcBorders>
            <w:vAlign w:val="center"/>
          </w:tcPr>
          <w:p ns1:paraId="2B6730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237</w:t>
            </w:r>
          </w:p>
        </w:tc>
        <w:tc>
          <w:tcPr>
            <w:tcW w:w="1967" w:type="dxa"/>
            <w:tcBorders>
              <w:top w:val="nil"/>
              <w:left w:val="nil"/>
              <w:bottom w:val="nil"/>
              <w:right w:val="nil"/>
            </w:tcBorders>
            <w:vAlign w:val="center"/>
          </w:tcPr>
          <w:p ns1:paraId="30B110C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4257</w:t>
            </w:r>
          </w:p>
        </w:tc>
        <w:tc>
          <w:tcPr>
            <w:tcW w:w="1315" w:type="dxa"/>
            <w:tcBorders>
              <w:top w:val="nil"/>
              <w:left w:val="nil"/>
              <w:bottom w:val="nil"/>
              <w:right w:val="nil"/>
            </w:tcBorders>
            <w:vAlign w:val="center"/>
          </w:tcPr>
          <w:p ns1:paraId="13DCC276">
            <w:pPr>
              <w:snapToGrid w:val="0"/>
              <w:spacing w:line="360" w:lineRule="auto"/>
              <w:jc w:val="center"/>
              <w:rPr>
                <w:rFonts w:ascii="宋体" w:hAnsi="宋体" w:eastAsia="宋体"/>
                <w:szCs w:val="21"/>
              </w:rPr>
            </w:pPr>
            <w:r>
              <w:rPr>
                <w:rFonts w:ascii="宋体" w:hAnsi="宋体" w:eastAsia="宋体"/>
                <w:szCs w:val="21"/>
              </w:rPr>
              <w:t>5</w:t>
            </w:r>
          </w:p>
        </w:tc>
      </w:tr>
      <w:tr ns1:paraId="45AE02BF">
        <w:trPr>
          <w:jc w:val="center"/>
        </w:trPr>
        <w:tc>
          <w:tcPr>
            <w:tcW w:w="1628" w:type="dxa"/>
            <w:tcBorders>
              <w:top w:val="nil"/>
              <w:left w:val="nil"/>
              <w:bottom w:val="single" w:color="auto" w:sz="12" w:space="0"/>
              <w:right w:val="nil"/>
            </w:tcBorders>
            <w:vAlign w:val="center"/>
          </w:tcPr>
          <w:p ns1:paraId="4D292081">
            <w:pPr>
              <w:snapToGrid w:val="0"/>
              <w:spacing w:line="360" w:lineRule="auto"/>
              <w:jc w:val="center"/>
              <w:rPr>
                <w:rFonts w:ascii="宋体" w:hAnsi="宋体" w:eastAsia="宋体"/>
                <w:szCs w:val="21"/>
              </w:rPr>
            </w:pPr>
            <w:r>
              <w:rPr>
                <w:rFonts w:hint="eastAsia" w:ascii="宋体" w:hAnsi="宋体" w:eastAsia="宋体"/>
                <w:szCs w:val="21"/>
              </w:rPr>
              <w:t>G06</w:t>
            </w:r>
            <w:r>
              <w:rPr>
                <w:rFonts w:ascii="宋体" w:hAnsi="宋体" w:eastAsia="宋体"/>
                <w:szCs w:val="21"/>
              </w:rPr>
              <w:t>F-0</w:t>
            </w:r>
            <w:r>
              <w:rPr>
                <w:rFonts w:hint="eastAsia" w:ascii="宋体" w:hAnsi="宋体" w:eastAsia="宋体"/>
                <w:szCs w:val="21"/>
              </w:rPr>
              <w:t>30</w:t>
            </w:r>
          </w:p>
        </w:tc>
        <w:tc>
          <w:tcPr>
            <w:tcW w:w="1642" w:type="dxa"/>
            <w:tcBorders>
              <w:top w:val="nil"/>
              <w:left w:val="nil"/>
              <w:bottom w:val="single" w:color="auto" w:sz="12" w:space="0"/>
              <w:right w:val="nil"/>
            </w:tcBorders>
            <w:shd w:val="clear" w:color="auto" w:fill="auto"/>
            <w:vAlign w:val="center"/>
          </w:tcPr>
          <w:p ns1:paraId="3DD0E1CF">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1943</w:t>
            </w:r>
          </w:p>
        </w:tc>
        <w:tc>
          <w:tcPr>
            <w:tcW w:w="1967" w:type="dxa"/>
            <w:tcBorders>
              <w:top w:val="nil"/>
              <w:left w:val="nil"/>
              <w:bottom w:val="single" w:color="auto" w:sz="12" w:space="0"/>
              <w:right w:val="nil"/>
            </w:tcBorders>
            <w:shd w:val="clear" w:color="auto" w:fill="auto"/>
            <w:vAlign w:val="center"/>
          </w:tcPr>
          <w:p ns1:paraId="1173A01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745</w:t>
            </w:r>
          </w:p>
        </w:tc>
        <w:tc>
          <w:tcPr>
            <w:tcW w:w="1967" w:type="dxa"/>
            <w:tcBorders>
              <w:top w:val="nil"/>
              <w:left w:val="nil"/>
              <w:bottom w:val="single" w:color="auto" w:sz="12" w:space="0"/>
              <w:right w:val="nil"/>
            </w:tcBorders>
            <w:shd w:val="clear" w:color="auto" w:fill="auto"/>
            <w:vAlign w:val="center"/>
          </w:tcPr>
          <w:p ns1:paraId="1BD13653">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4782</w:t>
            </w:r>
          </w:p>
        </w:tc>
        <w:tc>
          <w:tcPr>
            <w:tcW w:w="1315" w:type="dxa"/>
            <w:tcBorders>
              <w:top w:val="nil"/>
              <w:left w:val="nil"/>
              <w:bottom w:val="single" w:color="auto" w:sz="12" w:space="0"/>
              <w:right w:val="nil"/>
            </w:tcBorders>
            <w:shd w:val="clear" w:color="auto" w:fill="auto"/>
            <w:vAlign w:val="center"/>
          </w:tcPr>
          <w:p ns1:paraId="441DC8D2">
            <w:pPr>
              <w:snapToGrid w:val="0"/>
              <w:spacing w:line="360" w:lineRule="auto"/>
              <w:jc w:val="center"/>
              <w:rPr>
                <w:rFonts w:ascii="宋体" w:hAnsi="宋体" w:eastAsia="宋体"/>
                <w:szCs w:val="21"/>
              </w:rPr>
            </w:pPr>
            <w:r>
              <w:rPr>
                <w:rFonts w:hint="eastAsia" w:ascii="宋体" w:hAnsi="宋体" w:eastAsia="宋体"/>
                <w:szCs w:val="21"/>
              </w:rPr>
              <w:t>4</w:t>
            </w:r>
          </w:p>
        </w:tc>
      </w:tr>
    </w:tbl>
    <w:p xmlns:w="http://schemas.openxmlformats.org/wordprocessingml/2006/main">
      <w:pPr>
        <w:spacing w:line="480" w:lineRule="auto"/>
        <w:ind w:firstLine="480" w:firstLineChars="200"/>
        <w:rPr>
          <w:rFonts w:ascii="宋体" w:hAnsi="宋体" w:eastAsia="宋体"/>
          <w:sz w:val="24"/>
          <w:szCs w:val="24"/>
        </w:rPr>
      </w:pPr>
      <w:r>
        <w:t xml:space="preserve">[图4-4 阶段3（2020—2025年）IPC共现网络，原图截止年份待核实（待插入）]</w:t>
      </w:r>
    </w:p>
    <w:p xmlns:w="http://schemas.openxmlformats.org/wordprocessingml/2006/main">
      <w:pPr>
        <w:spacing w:line="480" w:lineRule="auto"/>
        <w:ind w:firstLine="480" w:firstLineChars="200"/>
        <w:rPr>
          <w:rFonts w:ascii="宋体" w:hAnsi="宋体" w:eastAsia="宋体"/>
          <w:sz w:val="24"/>
          <w:szCs w:val="24"/>
        </w:rPr>
      </w:pPr>
      <w:r>
        <w:t xml:space="preserve">三个阶段的比较表明，建造结构和成型工艺提供了早期知识联系的基础，后续信息处理、智能装备与感知测量类别逐步进入更大的关联范围。这里的结构扩展由节点覆盖及典型节点位置共同表征，尚未通过网络密度、社群模块度或连通效率等全局指标进行独立检验。因此，本节确定的是节点比较所处的网络环境，具体技术是否具有持续支撑或跨领域桥接作用，仍需在同一指标定义下沿时间追踪。</w:t>
      </w:r>
    </w:p>
    <w:p xmlns:w="http://schemas.openxmlformats.org/wordprocessingml/2006/main">
      <w:pPr>
        <w:pStyle w:val="3"/>
        <w:numPr>
          <w:numId w:val="0"/>
        </w:numPr>
      </w:pPr>
      <w:r>
        <w:t xml:space="preserve">4.2 技术节点影响力测度与关键技术识别</w:t>
      </w:r>
    </w:p>
    <w:p xmlns:w="http://schemas.openxmlformats.org/wordprocessingml/2006/main">
      <w:pPr>
        <w:pStyle w:val="4"/>
        <w:numPr>
          <w:numId w:val="0"/>
        </w:numPr>
      </w:pPr>
      <w:r>
        <w:t xml:space="preserve">4.2.1 影响力指标及识别准则</w:t>
      </w:r>
    </w:p>
    <w:p xmlns:w="http://schemas.openxmlformats.org/wordprocessingml/2006/main">
      <w:pPr>
        <w:spacing w:line="480" w:lineRule="auto"/>
        <w:ind w:firstLine="480" w:firstLineChars="200"/>
        <w:rPr>
          <w:rFonts w:ascii="宋体" w:hAnsi="宋体" w:eastAsia="宋体"/>
          <w:sz w:val="24"/>
          <w:szCs w:val="24"/>
        </w:rPr>
      </w:pPr>
      <w:r>
        <w:t xml:space="preserve">度中心度衡量节点与其他节点直接连接的广度。对于包含n个节点的网络，xij表示节点i和j是否存在连接，有连接时取1，无连接时取0。将节点的直接连接数量相对于可能连接的其他节点数量进行标准化，可得到式（4.1）所示的度中心度。该指标较高，说明相应知识类别参与了较多种类别组合；其变化适合用于观察关联范围扩展，但不直接表示某类组合在工程中的使用频率。</w:t>
      </w:r>
    </w:p>
    <w:p xmlns:ns1="http://schemas.microsoft.com/office/word/2010/wordml" xmlns:ns2="urn:schemas-microsoft-com:vml" xmlns:ns3="urn:schemas-microsoft-com:office:office" xmlns:ns4="http://schemas.openxmlformats.org/officeDocument/2006/relationships" xmlns:ns5="urn:schemas-microsoft-com:office:word" xmlns:w="http://schemas.openxmlformats.org/wordprocessingml/2006/main" ns1:paraId="30353B74">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4"/>
          <w:sz w:val="24"/>
          <w:szCs w:val="24"/>
        </w:rPr>
        <w:tab/>
      </w:r>
      <w:r>
        <w:rPr>
          <w:rFonts w:hint="eastAsia" w:ascii="宋体" w:hAnsi="宋体" w:eastAsia="宋体"/>
          <w:position w:val="-24"/>
          <w:sz w:val="24"/>
          <w:szCs w:val="24"/>
        </w:rPr>
        <w:object>
          <ns2:shape id="_x0000_i1028" ns3:spt="75" type="#_x0000_t75" style="height:50.05pt;width:101pt;" ns3:ole="t" filled="f" coordsize="21600,21600">
            <ns2:path/>
            <ns2:fill on="f" focussize="0,0"/>
            <ns2:stroke/>
            <ns2:imagedata ns4:id="rId32" ns3:title=""/>
            <ns3:lock ns2:ext="edit" aspectratio="t"/>
            <ns5:wrap type="none"/>
            <ns5:anchorlock/>
          </ns2:shape>
          <ns3:OLEObject Type="Embed" ProgID="Equation.KSEE3" ShapeID="_x0000_i1028" DrawAspect="Content" ObjectID="_1468075725" ns4:id="rId31">
            <ns3:LockedField>false</ns3:LockedField>
          </ns3:OLEObject>
        </w:object>
      </w:r>
      <w:r>
        <w:rPr>
          <w:rFonts w:hint="eastAsia" w:ascii="宋体" w:hAnsi="宋体" w:eastAsia="宋体"/>
          <w:position w:val="-24"/>
          <w:sz w:val="24"/>
          <w:szCs w:val="24"/>
        </w:rPr>
        <w:tab/>
      </w:r>
      <w:r>
        <w:rPr>
          <w:rFonts w:hint="eastAsia" w:ascii="宋体" w:hAnsi="宋体" w:eastAsia="宋体"/>
          <w:position w:val="-24"/>
          <w:sz w:val="24"/>
          <w:szCs w:val="24"/>
        </w:rPr>
        <w:t>(4.1)</w:t>
      </w:r>
    </w:p>
    <w:p xmlns:w="http://schemas.openxmlformats.org/wordprocessingml/2006/main">
      <w:pPr>
        <w:spacing w:line="480" w:lineRule="auto"/>
        <w:ind w:firstLine="480" w:firstLineChars="200"/>
        <w:rPr>
          <w:rFonts w:ascii="宋体" w:hAnsi="宋体" w:eastAsia="宋体"/>
          <w:sz w:val="24"/>
          <w:szCs w:val="24"/>
        </w:rPr>
      </w:pPr>
      <w:r>
        <w:t xml:space="preserve">中介中心度依据节点位于其他节点最短路径上的程度衡量桥接位置，计算见式（4.2）。其中，gjk表示节点j和k之间的最短路径数，gjk(i)表示这些路径中经过节点i的数量，n为网络节点数量。当较多节点对之间的最短路径经过同一技术类别时，该类别在网络中具有较突出的中介作用。对于跨领域技术分析，这一指标有助于发现连接不同知识组合的类别，其解释对象是专利共现关系中的结构位置，而非实际信息流量或资源控制权。</w:t>
      </w:r>
    </w:p>
    <w:p xmlns:ns1="http://schemas.microsoft.com/office/word/2010/wordml" xmlns:ns2="urn:schemas-microsoft-com:vml" xmlns:ns3="urn:schemas-microsoft-com:office:office" xmlns:ns4="http://schemas.openxmlformats.org/officeDocument/2006/relationships" xmlns:ns5="urn:schemas-microsoft-com:office:word" xmlns:w="http://schemas.openxmlformats.org/wordprocessingml/2006/main" ns1:paraId="05369BC6">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8"/>
          <w:sz w:val="24"/>
          <w:szCs w:val="24"/>
        </w:rPr>
        <w:tab/>
      </w:r>
      <w:r>
        <w:rPr>
          <w:rFonts w:hint="eastAsia" w:ascii="宋体" w:hAnsi="宋体" w:eastAsia="宋体"/>
          <w:position w:val="-28"/>
          <w:sz w:val="24"/>
          <w:szCs w:val="24"/>
        </w:rPr>
        <w:object>
          <ns2:shape id="_x0000_i1029" ns3:spt="75" type="#_x0000_t75" style="height:36pt;width:173pt;" ns3:ole="t" filled="f" coordsize="21600,21600">
            <ns2:path/>
            <ns2:fill on="f" focussize="0,0"/>
            <ns2:stroke/>
            <ns2:imagedata ns4:id="rId34" ns3:title=""/>
            <ns3:lock ns2:ext="edit" aspectratio="t"/>
            <ns5:wrap type="none"/>
            <ns5:anchorlock/>
          </ns2:shape>
          <ns3:OLEObject Type="Embed" ProgID="Equation.KSEE3" ShapeID="_x0000_i1029" DrawAspect="Content" ObjectID="_1468075726" ns4:id="rId33">
            <ns3:LockedField>false</ns3:LockedField>
          </ns3:OLEObject>
        </w:object>
      </w:r>
      <w:r>
        <w:rPr>
          <w:rFonts w:hint="eastAsia" w:ascii="宋体" w:hAnsi="宋体" w:eastAsia="宋体"/>
          <w:position w:val="-28"/>
          <w:sz w:val="24"/>
          <w:szCs w:val="24"/>
        </w:rPr>
        <w:tab/>
      </w:r>
      <w:r>
        <w:rPr>
          <w:rFonts w:hint="eastAsia" w:ascii="宋体" w:hAnsi="宋体" w:eastAsia="宋体"/>
          <w:position w:val="-28"/>
          <w:sz w:val="24"/>
          <w:szCs w:val="24"/>
        </w:rPr>
        <w:t>(4.2)</w:t>
      </w:r>
    </w:p>
    <w:p xmlns:w="http://schemas.openxmlformats.org/wordprocessingml/2006/main">
      <w:pPr>
        <w:spacing w:line="480" w:lineRule="auto"/>
        <w:ind w:firstLine="480" w:firstLineChars="200"/>
        <w:rPr>
          <w:rFonts w:ascii="宋体" w:hAnsi="宋体" w:eastAsia="宋体"/>
          <w:sz w:val="24"/>
          <w:szCs w:val="24"/>
        </w:rPr>
      </w:pPr>
      <w:r>
        <w:t xml:space="preserve">接近中心度依据节点到其他节点的最短路径距离计算，见式（4.3）。dis(i,j)表示节点i与j之间的网络距离，n表示相应计算范围的节点数量。在连通且计算范围一致的条件下，较高的接近中心度说明节点到其他节点的平均距离较短，为理解直接连接有限但整体可达性较好的节点提供补充。阶段间比较时，网络新增节点及连通范围的改变也会影响这一数值，因此应将其与度中心度、中介中心度联合分析。</w:t>
      </w:r>
    </w:p>
    <w:p xmlns:ns1="http://schemas.microsoft.com/office/word/2010/wordml" xmlns:ns2="urn:schemas-microsoft-com:vml" xmlns:ns3="urn:schemas-microsoft-com:office:office" xmlns:ns4="http://schemas.openxmlformats.org/officeDocument/2006/relationships" xmlns:ns5="urn:schemas-microsoft-com:office:word" xmlns:w="http://schemas.openxmlformats.org/wordprocessingml/2006/main" ns1:paraId="506B2325">
      <w:pPr>
        <w:tabs>
          <w:tab w:val="center" w:pos="4213"/>
          <w:tab w:val="right" w:pos="8306"/>
        </w:tabs>
        <w:spacing w:line="480" w:lineRule="auto"/>
        <w:rPr>
          <w:rFonts w:ascii="宋体" w:hAnsi="宋体" w:eastAsia="宋体"/>
          <w:sz w:val="24"/>
          <w:szCs w:val="24"/>
        </w:rPr>
      </w:pPr>
      <w:r>
        <w:rPr>
          <w:rFonts w:hint="eastAsia" w:ascii="宋体" w:hAnsi="宋体" w:eastAsia="宋体"/>
          <w:position w:val="-40"/>
          <w:sz w:val="24"/>
          <w:szCs w:val="24"/>
        </w:rPr>
        <w:tab/>
      </w:r>
      <w:r>
        <w:rPr>
          <w:rFonts w:ascii="宋体" w:hAnsi="宋体" w:eastAsia="宋体"/>
          <w:position w:val="-40"/>
          <w:sz w:val="24"/>
          <w:szCs w:val="24"/>
        </w:rPr>
        <w:object>
          <ns2:shape id="_x0000_i1030" ns3:spt="75" type="#_x0000_t75" style="height:38.8pt;width:105.2pt;" ns3:ole="t" filled="f" coordsize="21600,21600">
            <ns2:path/>
            <ns2:fill on="f" focussize="0,0"/>
            <ns2:stroke/>
            <ns2:imagedata ns4:id="rId36" ns3:title=""/>
            <ns3:lock ns2:ext="edit" aspectratio="t"/>
            <ns5:wrap type="none"/>
            <ns5:anchorlock/>
          </ns2:shape>
          <ns3:OLEObject Type="Embed" ProgID="Equation.KSEE3" ShapeID="_x0000_i1030" DrawAspect="Content" ObjectID="_1468075727" ns4:id="rId35">
            <ns3:LockedField>false</ns3:LockedField>
          </ns3:OLEObject>
        </w:object>
      </w:r>
      <w:r>
        <w:rPr>
          <w:rFonts w:hint="eastAsia" w:ascii="宋体" w:hAnsi="宋体" w:eastAsia="宋体"/>
          <w:position w:val="-40"/>
          <w:sz w:val="24"/>
          <w:szCs w:val="24"/>
        </w:rPr>
        <w:tab/>
      </w:r>
      <w:r>
        <w:rPr>
          <w:rFonts w:hint="eastAsia" w:ascii="宋体" w:hAnsi="宋体" w:eastAsia="宋体"/>
          <w:position w:val="-40"/>
          <w:sz w:val="24"/>
          <w:szCs w:val="24"/>
        </w:rPr>
        <w:t>(4.3)</w:t>
      </w:r>
    </w:p>
    <w:p xmlns:w="http://schemas.openxmlformats.org/wordprocessingml/2006/main">
      <w:pPr>
        <w:spacing w:line="480" w:lineRule="auto"/>
        <w:ind w:firstLine="480" w:firstLineChars="200"/>
        <w:rPr>
          <w:rFonts w:ascii="宋体" w:hAnsi="宋体" w:eastAsia="宋体"/>
          <w:sz w:val="24"/>
          <w:szCs w:val="24"/>
        </w:rPr>
      </w:pPr>
      <w:r>
        <w:t xml:space="preserve">偏心度取节点与所考察范围内其他节点之间最短路径距离的最大值，见式（4.4），其中N表示节点集合，dis(i,j)的含义与式（4.3）一致。该指标反映到达最远节点所需的路径长度，适合刻画节点在网络中的距离边界。偏心度较大说明存在与其距离较远的节点，但距离的形成同时取决于网络整体形态，因而不能仅由偏心度判断单项技术的先进程度。对于不连通网络，距离指标的处理方式是结果解释的必要条件，现有记录尚未完整说明。</w:t>
      </w:r>
    </w:p>
    <w:p xmlns:ns1="http://schemas.microsoft.com/office/word/2010/wordml" xmlns:ns2="urn:schemas-microsoft-com:vml" xmlns:ns3="urn:schemas-microsoft-com:office:office" xmlns:ns4="http://schemas.openxmlformats.org/officeDocument/2006/relationships" xmlns:ns5="urn:schemas-microsoft-com:office:word" xmlns:w="http://schemas.openxmlformats.org/wordprocessingml/2006/main" ns1:paraId="04161AB7">
      <w:pPr>
        <w:tabs>
          <w:tab w:val="center" w:pos="4453"/>
          <w:tab w:val="right" w:pos="7826"/>
        </w:tabs>
        <w:spacing w:line="480" w:lineRule="auto"/>
        <w:ind w:firstLine="480" w:firstLineChars="200"/>
        <w:rPr>
          <w:rFonts w:ascii="宋体" w:hAnsi="宋体" w:eastAsia="宋体"/>
          <w:sz w:val="24"/>
          <w:szCs w:val="24"/>
        </w:rPr>
      </w:pPr>
      <w:r>
        <w:rPr>
          <w:rFonts w:hint="eastAsia" w:ascii="宋体" w:hAnsi="宋体" w:eastAsia="宋体"/>
          <w:position w:val="-10"/>
          <w:sz w:val="24"/>
          <w:szCs w:val="24"/>
        </w:rPr>
        <w:tab/>
      </w:r>
      <w:r>
        <w:rPr>
          <w:rFonts w:ascii="宋体" w:hAnsi="宋体" w:eastAsia="宋体"/>
          <w:position w:val="-10"/>
          <w:sz w:val="24"/>
          <w:szCs w:val="24"/>
        </w:rPr>
        <w:object>
          <ns2:shape id="_x0000_i1031" ns3:spt="75" type="#_x0000_t75" style="height:16.85pt;width:145.85pt;" ns3:ole="t" filled="f" coordsize="21600,21600">
            <ns2:path/>
            <ns2:fill on="f" focussize="0,0"/>
            <ns2:stroke/>
            <ns2:imagedata ns4:id="rId38" ns3:title=""/>
            <ns3:lock ns2:ext="edit" aspectratio="t"/>
            <ns5:wrap type="none"/>
            <ns5:anchorlock/>
          </ns2:shape>
          <ns3:OLEObject Type="Embed" ProgID="Equation.KSEE3" ShapeID="_x0000_i1031" DrawAspect="Content" ObjectID="_1468075728" ns4:id="rId37">
            <ns3:LockedField>false</ns3:LockedField>
          </ns3:OLEObject>
        </w:object>
      </w:r>
      <w:r>
        <w:rPr>
          <w:rFonts w:hint="eastAsia" w:ascii="宋体" w:hAnsi="宋体" w:eastAsia="宋体"/>
          <w:position w:val="-10"/>
          <w:sz w:val="24"/>
          <w:szCs w:val="24"/>
        </w:rPr>
        <w:tab/>
      </w:r>
      <w:r>
        <w:rPr>
          <w:rFonts w:ascii="宋体" w:hAnsi="宋体" w:eastAsia="宋体"/>
          <w:position w:val="-10"/>
          <w:sz w:val="24"/>
          <w:szCs w:val="24"/>
        </w:rPr>
        <w:t xml:space="preserve">  </w:t>
      </w:r>
      <w:r>
        <w:rPr>
          <w:rFonts w:hint="eastAsia" w:ascii="宋体" w:hAnsi="宋体" w:eastAsia="宋体"/>
          <w:position w:val="-10"/>
          <w:sz w:val="24"/>
          <w:szCs w:val="24"/>
        </w:rPr>
        <w:t xml:space="preserve">            (4.4)</w:t>
      </w:r>
    </w:p>
    <w:p xmlns:w="http://schemas.openxmlformats.org/wordprocessingml/2006/main">
      <w:pPr>
        <w:spacing w:line="480" w:lineRule="auto"/>
        <w:ind w:firstLine="480" w:firstLineChars="200"/>
        <w:rPr>
          <w:rFonts w:ascii="宋体" w:hAnsi="宋体" w:eastAsia="宋体"/>
          <w:sz w:val="24"/>
          <w:szCs w:val="24"/>
        </w:rPr>
      </w:pPr>
      <w:r>
        <w:t xml:space="preserve">四项指标分别对应直接联系、桥接位置、平均可达性和最远距离，其联合观察比单一指标更能体现技术角色差异。补充计算记录同时列出了特征向量中心度，该指标关注节点与具有较强连接作用的节点之间的联系，可供扩展分析参考；本章以这四项指标作为主要观察维度，不将特征向量中心度与偏心度相互替代。各指标的计算式给出理论定义，具体软件实现、归一化与连通处理仍需同计算记录一致，才能进一步开展严格的跨阶段排序比较。</w:t>
      </w:r>
    </w:p>
    <w:p xmlns:w="http://schemas.openxmlformats.org/wordprocessingml/2006/main">
      <w:pPr>
        <w:spacing w:line="480" w:lineRule="auto"/>
        <w:ind w:firstLine="480" w:firstLineChars="200"/>
        <w:rPr>
          <w:rFonts w:ascii="宋体" w:hAnsi="宋体" w:eastAsia="宋体"/>
          <w:sz w:val="24"/>
          <w:szCs w:val="24"/>
        </w:rPr>
      </w:pPr>
      <w:r>
        <w:t xml:space="preserve">关键技术的结构判断包含稳定支撑和地位变化两个方面。稳定支撑体现为某类技术在多个阶段持续具有较广的直接联系，或在不同知识类别之间保持较突出的桥接作用；地位变化体现为原有联系较少的技术在后续阶段扩大关联范围，逐渐进入更多技术组合。前者有助于认识建造体系的基础，后者有助于发现技术体系重组过程中作用增强的方向。对于始终局限于特定任务的技术，则结合其功能分析局部关键性，避免将网络中的连接多少作为唯一价值标准。</w:t>
      </w:r>
    </w:p>
    <w:p xmlns:w="http://schemas.openxmlformats.org/wordprocessingml/2006/main">
      <w:pPr>
        <w:spacing w:line="480" w:lineRule="auto"/>
        <w:ind w:firstLine="480" w:firstLineChars="200"/>
        <w:rPr>
          <w:rFonts w:ascii="宋体" w:hAnsi="宋体" w:eastAsia="宋体"/>
          <w:sz w:val="24"/>
          <w:szCs w:val="24"/>
        </w:rPr>
      </w:pPr>
      <w:r>
        <w:t xml:space="preserve">本文以各阶段指标均值作为候选筛选的参照，并结合具体指标轨迹开展解释。均值提供同一网络中的相对比较基准，有利于保留具有初步结构作用的技术，适用于技术方向的较宽范围观察。不过，均值受节点集合及指标分布影响，某节点超过均值仅说明其在相应指标上的相对位置，关键性仍需由持续变化与技术内容共同支持。既有分析关于宽口径观察的论述还援引了美国国家科学院的技术预测建议，其直接出处尚待补齐，本文据现有数据说明筛选理由。[待补充：均值阈值的原始计算范围与确定记录，以及美国国家科学院相关建议的具体文献和对应原文。]</w:t>
      </w:r>
    </w:p>
    <w:p xmlns:w="http://schemas.openxmlformats.org/wordprocessingml/2006/main">
      <w:pPr>
        <w:spacing w:line="480" w:lineRule="auto"/>
        <w:ind w:firstLine="480" w:firstLineChars="200"/>
        <w:rPr>
          <w:rFonts w:ascii="宋体" w:hAnsi="宋体" w:eastAsia="宋体"/>
          <w:sz w:val="24"/>
          <w:szCs w:val="24"/>
        </w:rPr>
      </w:pPr>
      <w:r>
        <w:t xml:space="preserve">对于低影响力节点，可根据其距离特征区分两种结构类型，见表4-4。类型1具有较低的度中心度和中介中心度，但接近中心度较高，说明其直接联系数量有限，却可能通过少量连接与较大范围的节点保持较短路径。类型2同样具有较低的度中心度和中介中心度，而偏心度较高，其与所考察范围内最远节点之间的距离较大。两种类型为追踪技术进入体系的方式提供线索：前者关注依托已有枢纽扩展联系的可能，后者关注较偏远知识能否逐步建立跨群体联系。</w:t>
      </w:r>
    </w:p>
    <w:p xmlns:w="http://schemas.openxmlformats.org/wordprocessingml/2006/main">
      <w:pPr>
        <w:spacing w:line="480" w:lineRule="auto"/>
        <w:ind w:firstLine="480" w:firstLineChars="200"/>
        <w:rPr>
          <w:rFonts w:ascii="宋体" w:hAnsi="宋体" w:eastAsia="宋体"/>
          <w:sz w:val="24"/>
          <w:szCs w:val="24"/>
        </w:rPr>
      </w:pPr>
      <w:r>
        <w:t xml:space="preserve">表4-4 低影响力技术节点的结构类型</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8"/>
        <w:gridCol w:w="5140"/>
        <w:gridCol w:w="2151"/>
      </w:tblGrid>
      <w:tr ns1:paraId="3812B4BA">
        <w:trPr>
          <w:tblHeader/>
          <w:jc w:val="center"/>
        </w:trPr>
        <w:tc>
          <w:tcPr>
            <w:tcW w:w="1228" w:type="dxa"/>
            <w:tcBorders>
              <w:top w:val="single" w:color="auto" w:sz="12" w:space="0"/>
              <w:left w:val="nil"/>
              <w:bottom w:val="single" w:color="auto" w:sz="4" w:space="0"/>
              <w:right w:val="nil"/>
            </w:tcBorders>
            <w:vAlign w:val="center"/>
          </w:tcPr>
          <w:p ns1:paraId="58084B67">
            <w:pPr>
              <w:snapToGrid w:val="0"/>
              <w:spacing w:line="360" w:lineRule="auto"/>
              <w:jc w:val="center"/>
              <w:rPr>
                <w:rFonts w:ascii="宋体" w:hAnsi="宋体" w:eastAsia="宋体"/>
                <w:b/>
                <w:szCs w:val="21"/>
              </w:rPr>
            </w:pPr>
            <w:r>
              <w:rPr>
                <w:rFonts w:hint="eastAsia" w:ascii="宋体" w:hAnsi="宋体" w:eastAsia="宋体"/>
                <w:b/>
                <w:szCs w:val="21"/>
              </w:rPr>
              <w:t>节点类型</w:t>
            </w:r>
          </w:p>
        </w:tc>
        <w:tc>
          <w:tcPr>
            <w:tcW w:w="5140" w:type="dxa"/>
            <w:tcBorders>
              <w:top w:val="single" w:color="auto" w:sz="12" w:space="0"/>
              <w:left w:val="nil"/>
              <w:bottom w:val="single" w:color="auto" w:sz="4" w:space="0"/>
              <w:right w:val="nil"/>
            </w:tcBorders>
            <w:vAlign w:val="center"/>
          </w:tcPr>
          <w:p ns1:paraId="5141899B">
            <w:pPr>
              <w:snapToGrid w:val="0"/>
              <w:spacing w:line="360" w:lineRule="auto"/>
              <w:jc w:val="center"/>
              <w:rPr>
                <w:rFonts w:ascii="宋体" w:hAnsi="宋体" w:eastAsia="宋体"/>
                <w:b/>
                <w:szCs w:val="21"/>
              </w:rPr>
            </w:pPr>
            <w:r>
              <w:rPr>
                <w:rFonts w:hint="eastAsia" w:ascii="宋体" w:hAnsi="宋体" w:eastAsia="宋体"/>
                <w:b/>
                <w:szCs w:val="21"/>
              </w:rPr>
              <w:t>指标特征</w:t>
            </w:r>
          </w:p>
        </w:tc>
        <w:tc>
          <w:tcPr>
            <w:tcW w:w="2151" w:type="dxa"/>
            <w:tcBorders>
              <w:top w:val="single" w:color="auto" w:sz="12" w:space="0"/>
              <w:left w:val="nil"/>
              <w:bottom w:val="single" w:color="auto" w:sz="4" w:space="0"/>
              <w:right w:val="nil"/>
            </w:tcBorders>
            <w:vAlign w:val="center"/>
          </w:tcPr>
          <w:p ns1:paraId="5A48DB52">
            <w:pPr>
              <w:snapToGrid w:val="0"/>
              <w:spacing w:line="360" w:lineRule="auto"/>
              <w:jc w:val="center"/>
              <w:rPr>
                <w:rFonts w:ascii="宋体" w:hAnsi="宋体" w:eastAsia="宋体"/>
                <w:b/>
                <w:szCs w:val="21"/>
              </w:rPr>
            </w:pPr>
            <w:r>
              <w:rPr>
                <w:rFonts w:hint="eastAsia" w:ascii="宋体" w:hAnsi="宋体" w:eastAsia="宋体"/>
                <w:b/>
                <w:szCs w:val="21"/>
              </w:rPr>
              <w:t>图示</w:t>
            </w:r>
          </w:p>
        </w:tc>
      </w:tr>
      <w:tr ns1:paraId="63AE7978">
        <w:trPr>
          <w:jc w:val="center"/>
        </w:trPr>
        <w:tc>
          <w:tcPr>
            <w:tcW w:w="1228" w:type="dxa"/>
            <w:tcBorders>
              <w:top w:val="single" w:color="auto" w:sz="4" w:space="0"/>
              <w:left w:val="nil"/>
              <w:bottom w:val="nil"/>
              <w:right w:val="nil"/>
            </w:tcBorders>
            <w:vAlign w:val="center"/>
          </w:tcPr>
          <w:p ns1:paraId="40AC188A">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1</w:t>
            </w:r>
          </w:p>
        </w:tc>
        <w:tc>
          <w:tcPr>
            <w:tcW w:w="5140" w:type="dxa"/>
            <w:tcBorders>
              <w:top w:val="single" w:color="auto" w:sz="4" w:space="0"/>
              <w:left w:val="nil"/>
              <w:bottom w:val="nil"/>
              <w:right w:val="nil"/>
            </w:tcBorders>
            <w:vAlign w:val="center"/>
          </w:tcPr>
          <w:p ns1:paraId="25363F39">
            <w:pPr>
              <w:snapToGrid w:val="0"/>
              <w:spacing w:line="360" w:lineRule="auto"/>
              <w:rPr>
                <w:rFonts w:ascii="宋体" w:hAnsi="宋体" w:eastAsia="宋体"/>
                <w:szCs w:val="21"/>
              </w:rPr>
            </w:pPr>
            <w:r>
              <w:rPr>
                <w:rFonts w:hint="eastAsia" w:ascii="宋体" w:hAnsi="宋体" w:eastAsia="宋体"/>
                <w:szCs w:val="21"/>
              </w:rPr>
              <w:t>接近中心度：高；度中心度和中介中心度：低</w:t>
            </w:r>
          </w:p>
        </w:tc>
        <w:tc>
          <w:tcPr>
            <w:tcW w:w="2151" w:type="dxa"/>
            <w:tcBorders>
              <w:top w:val="single" w:color="auto" w:sz="4" w:space="0"/>
              <w:left w:val="nil"/>
              <w:bottom w:val="nil"/>
              <w:right w:val="nil"/>
            </w:tcBorders>
            <w:vAlign w:val="center"/>
          </w:tcPr>
          <w:p ns1:paraId="2D24466C">
            <w:pPr>
              <w:snapToGrid w:val="0"/>
              <w:spacing w:line="360" w:lineRule="auto"/>
              <w:rPr>
                <w:rFonts w:ascii="宋体" w:hAnsi="宋体" w:eastAsia="宋体"/>
                <w:szCs w:val="21"/>
              </w:rPr>
            </w:pPr>
            <w:r>
              <w:rPr>
                <w:rFonts w:ascii="宋体" w:hAnsi="宋体" w:eastAsia="宋体"/>
                <w:szCs w:val="21"/>
              </w:rPr>
              <w:t>[图示待插入]</w:t>
            </w:r>
          </w:p>
        </w:tc>
      </w:tr>
      <w:tr ns1:paraId="3BA71605">
        <w:trPr>
          <w:jc w:val="center"/>
        </w:trPr>
        <w:tc>
          <w:tcPr>
            <w:tcW w:w="1228" w:type="dxa"/>
            <w:tcBorders>
              <w:top w:val="nil"/>
              <w:left w:val="nil"/>
              <w:bottom w:val="single" w:color="auto" w:sz="12" w:space="0"/>
              <w:right w:val="nil"/>
            </w:tcBorders>
            <w:vAlign w:val="center"/>
          </w:tcPr>
          <w:p ns1:paraId="3776E170">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2</w:t>
            </w:r>
          </w:p>
        </w:tc>
        <w:tc>
          <w:tcPr>
            <w:tcW w:w="5140" w:type="dxa"/>
            <w:tcBorders>
              <w:top w:val="nil"/>
              <w:left w:val="nil"/>
              <w:bottom w:val="single" w:color="auto" w:sz="12" w:space="0"/>
              <w:right w:val="nil"/>
            </w:tcBorders>
            <w:vAlign w:val="center"/>
          </w:tcPr>
          <w:p ns1:paraId="66B34E4A">
            <w:pPr>
              <w:snapToGrid w:val="0"/>
              <w:spacing w:line="360" w:lineRule="auto"/>
              <w:rPr>
                <w:rFonts w:ascii="宋体" w:hAnsi="宋体" w:eastAsia="宋体"/>
                <w:szCs w:val="21"/>
              </w:rPr>
            </w:pPr>
            <w:r>
              <w:rPr>
                <w:rFonts w:hint="eastAsia" w:ascii="宋体" w:hAnsi="宋体" w:eastAsia="宋体"/>
                <w:szCs w:val="21"/>
              </w:rPr>
              <w:t>偏心度：高；度中心度和中介中心度：低</w:t>
            </w:r>
          </w:p>
        </w:tc>
        <w:tc>
          <w:tcPr>
            <w:tcW w:w="2151" w:type="dxa"/>
            <w:tcBorders>
              <w:top w:val="nil"/>
              <w:left w:val="nil"/>
              <w:bottom w:val="single" w:color="auto" w:sz="12" w:space="0"/>
              <w:right w:val="nil"/>
            </w:tcBorders>
            <w:vAlign w:val="center"/>
          </w:tcPr>
          <w:p ns1:paraId="07CF6D77">
            <w:pPr>
              <w:snapToGrid w:val="0"/>
              <w:spacing w:line="360" w:lineRule="auto"/>
              <w:rPr>
                <w:rFonts w:ascii="宋体" w:hAnsi="宋体" w:eastAsia="宋体"/>
                <w:szCs w:val="21"/>
              </w:rPr>
            </w:pPr>
            <w:r>
              <w:rPr>
                <w:rFonts w:ascii="宋体" w:hAnsi="宋体" w:eastAsia="宋体"/>
                <w:szCs w:val="21"/>
              </w:rPr>
              <w:t>[图示待插入]</w:t>
            </w:r>
          </w:p>
        </w:tc>
      </w:tr>
    </w:tbl>
    <w:p xmlns:w="http://schemas.openxmlformats.org/wordprocessingml/2006/main">
      <w:pPr>
        <w:spacing w:line="480" w:lineRule="auto"/>
        <w:ind w:firstLine="480" w:firstLineChars="200"/>
        <w:rPr>
          <w:rFonts w:ascii="宋体" w:hAnsi="宋体" w:eastAsia="宋体"/>
          <w:sz w:val="24"/>
          <w:szCs w:val="24"/>
        </w:rPr>
      </w:pPr>
      <w:r>
        <w:t xml:space="preserve">边缘位置反映特定样本和时期内的连接状态，技术新颖性则涉及知识内容、出现时间及其与既有方案的差异。两者具有可供研究的联系，但并非同一属性。因此，本章将表4-4作为结构观察框架，在时间轨迹与专利内容支持下讨论技术的演化潜力。对于尚未形成连续变化证据的节点，保留为候选对象；对于已经呈现稳定关联或明确桥接作用的节点，再结合工程功能解释其关键作用。这样可以保持现状识别与未来研判之间的证据层次。</w:t>
      </w:r>
    </w:p>
    <w:p xmlns:w="http://schemas.openxmlformats.org/wordprocessingml/2006/main">
      <w:pPr>
        <w:spacing w:line="480" w:lineRule="auto"/>
        <w:ind w:firstLine="480" w:firstLineChars="200"/>
        <w:rPr>
          <w:rFonts w:ascii="宋体" w:hAnsi="宋体" w:eastAsia="宋体"/>
          <w:sz w:val="24"/>
          <w:szCs w:val="24"/>
        </w:rPr>
      </w:pPr>
      <w:r>
        <w:t xml:space="preserve">既有分析采用阶段1度中心度0.032、中介中心度0.018、接近中心度0.165作为均值参照，并在候选描述中使用接近中心度大于0.18的条件。具体节点与这些条件之间存在差异：B25J-011的度中心度0.0405高于0.032，G01B-011的接近中心度0.1568低于0.165及0.18。因此，这些节点应依据完整轨迹讨论其后续作用，不宜共同概括为已经满足“低度中心度、低中介中心度和高接近中心度”的统一筛选条件。本章保留原始节点数据及追踪对象，将候选资格的判定与其后续影响力变化分别说明。</w:t>
      </w:r>
    </w:p>
    <w:p xmlns:w="http://schemas.openxmlformats.org/wordprocessingml/2006/main">
      <w:pPr>
        <w:spacing w:line="480" w:lineRule="auto"/>
        <w:ind w:firstLine="480" w:firstLineChars="200"/>
        <w:rPr>
          <w:rFonts w:ascii="宋体" w:hAnsi="宋体" w:eastAsia="宋体"/>
          <w:sz w:val="24"/>
          <w:szCs w:val="24"/>
        </w:rPr>
      </w:pPr>
      <w:r>
        <w:t xml:space="preserve">由此，识别过程形成“阶段内相对位置—跨阶段角色变化—技术内容解释”的判定链。超过某一均值的节点进入候选观察范围，其关键性由直接关联、桥接作用及工程功能共同说明；暂未形成连续轨迹的节点则保留潜在关键技术身份。本文不将四项指标任意加权为单一总分，以免在权重依据缺失时掩盖不同类型的结构作用。稳定支撑、关联扩展和桥接调整分别构成结果解释的维度，而非必须同时满足的单向增长条件。</w:t>
      </w:r>
    </w:p>
    <w:p xmlns:w="http://schemas.openxmlformats.org/wordprocessingml/2006/main">
      <w:pPr>
        <w:pStyle w:val="4"/>
        <w:numPr>
          <w:numId w:val="0"/>
        </w:numPr>
      </w:pPr>
      <w:r>
        <w:t xml:space="preserve">4.2.2 技术节点跨阶段影响力变化</w:t>
      </w:r>
    </w:p>
    <w:p xmlns:w="http://schemas.openxmlformats.org/wordprocessingml/2006/main">
      <w:pPr>
        <w:spacing w:line="480" w:lineRule="auto"/>
        <w:ind w:firstLine="480" w:firstLineChars="200"/>
        <w:rPr>
          <w:rFonts w:ascii="宋体" w:hAnsi="宋体" w:eastAsia="宋体"/>
          <w:sz w:val="24"/>
          <w:szCs w:val="24"/>
        </w:rPr>
      </w:pPr>
      <w:r>
        <w:t xml:space="preserve">B25J-011所对应的机器人相关知识呈现直接联系持续扩展的轨迹。其度中心度由阶段1的0.0405增至阶段2的0.0832，并在阶段3达到0.1462；中介中心度由0增至0.0599，随后为0.0648。接近中心度则由0.1568升至0.3448和0.4511，表明其关联范围与可达性同时增强。偏心度由7降至4后变为5，提示直接联系增加与网络最远距离并非同步变化。结合机器人在构件生产、施工安装与质量检测中的功能，可以将其理解为从有限组合参与逐步转向多类作业联系的技术方向。</w:t>
      </w:r>
    </w:p>
    <w:p xmlns:w="http://schemas.openxmlformats.org/wordprocessingml/2006/main">
      <w:pPr>
        <w:spacing w:line="480" w:lineRule="auto"/>
        <w:ind w:firstLine="480" w:firstLineChars="200"/>
        <w:rPr>
          <w:rFonts w:ascii="宋体" w:hAnsi="宋体" w:eastAsia="宋体"/>
          <w:sz w:val="24"/>
          <w:szCs w:val="24"/>
        </w:rPr>
      </w:pPr>
      <w:r>
        <w:t xml:space="preserve">既有分析记录B25J-011在阶段3与115个IPC节点形成共现关系。这一邻接数量反映了原分析对连接范围的观察，但其与表中归一化度中心度的分母关系尚待确认。本文据此保留机器人技术关联拓展的解释，并以三阶段中心度轨迹作为主要量化依据。机械执行能力进入不同建造任务时，通常需要与几何表达、状态感知和控制知识共同组织，因而其网络地位变化为进一步解读机器人主题提供了结构线索。</w:t>
      </w:r>
    </w:p>
    <w:p xmlns:w="http://schemas.openxmlformats.org/wordprocessingml/2006/main">
      <w:pPr>
        <w:spacing w:line="480" w:lineRule="auto"/>
        <w:ind w:firstLine="480" w:firstLineChars="200"/>
        <w:rPr>
          <w:rFonts w:ascii="宋体" w:hAnsi="宋体" w:eastAsia="宋体"/>
          <w:sz w:val="24"/>
          <w:szCs w:val="24"/>
        </w:rPr>
      </w:pPr>
      <w:r>
        <w:t xml:space="preserve">B33Y-070在阶段1所列结果中尚未显现为独立分析节点，阶段2的度中心度为0.1257、中介中心度为0.0349，阶段3分别为0.0951和0.0532。其直接连接的相对广度有所下降，而桥接作用增强；接近中心度由0.3394升至0.3811，偏心度由6降至5，进一步体现其在关系组织中的位置调整。该轨迹说明，增材制造相关知识的作用变化并非所有中心性指标同步增长，而可能表现为在部分技术类别之间形成更集中的连接。</w:t>
      </w:r>
    </w:p>
    <w:p xmlns:w="http://schemas.openxmlformats.org/wordprocessingml/2006/main">
      <w:pPr>
        <w:spacing w:line="480" w:lineRule="auto"/>
        <w:ind w:firstLine="480" w:firstLineChars="200"/>
        <w:rPr>
          <w:rFonts w:ascii="宋体" w:hAnsi="宋体" w:eastAsia="宋体"/>
          <w:sz w:val="24"/>
          <w:szCs w:val="24"/>
        </w:rPr>
      </w:pPr>
      <w:r>
        <w:t xml:space="preserve">原分析提及B33Y-070与B28B等38个技术节点存在较强共现联系。结合建筑打印的成型任务，这一观察可以联系材料、工艺和装备之间的组合需求，但“较强”的边权阈值及对应类别清单尚未提供。中心度变化支持对其桥接作用的讨论，规模化应用则需要项目数量、生产能力与应用效果等证据。本文因此将该节点识别为增材制造方向的重要结构线索，工程成熟程度保留为后续发展研判的独立问题。</w:t>
      </w:r>
    </w:p>
    <w:p xmlns:w="http://schemas.openxmlformats.org/wordprocessingml/2006/main">
      <w:pPr>
        <w:spacing w:line="480" w:lineRule="auto"/>
        <w:ind w:firstLine="480" w:firstLineChars="200"/>
        <w:rPr>
          <w:rFonts w:ascii="宋体" w:hAnsi="宋体" w:eastAsia="宋体"/>
          <w:sz w:val="24"/>
          <w:szCs w:val="24"/>
        </w:rPr>
      </w:pPr>
      <w:r>
        <w:t xml:space="preserve">G06F-030和G06N-003体现了设计计算与智能分析相关知识的关联扩展。G06F-030在阶段1所列结果中尚未显现，阶段2的度中心度为0.0967、中介中心度为0.0533，阶段3分别达到0.1943和0.0745；接近中心度由0.3716增至0.4782，偏心度由6降至4。G06N-003的度中心度则由阶段2的0.0232增至阶段3的0.1166，中介中心度由0.0070增至0.0237，接近中心度由0.2956增至0.4257，偏心度由6降至5。两类节点分别对应设计表达与智能计算等应用解释，为参数优化、模型分析和决策辅助之间的联系提供了观察依据。</w:t>
      </w:r>
    </w:p>
    <w:p xmlns:w="http://schemas.openxmlformats.org/wordprocessingml/2006/main">
      <w:pPr>
        <w:spacing w:line="480" w:lineRule="auto"/>
        <w:ind w:firstLine="480" w:firstLineChars="200"/>
        <w:rPr>
          <w:rFonts w:ascii="宋体" w:hAnsi="宋体" w:eastAsia="宋体"/>
          <w:sz w:val="24"/>
          <w:szCs w:val="24"/>
        </w:rPr>
      </w:pPr>
      <w:r>
        <w:t xml:space="preserve">上述变化与智能设计从几何表达延伸至性能评价和方案搜索的功能联系相呼应。设计计算需要将形态、约束和评价目标建立对应，智能分析则可能参与从输入条件到方案结果的映射。原分析进一步关注G06F与G06N、G06N与B25J等类别之间的组合，提示计算与执行知识的交叉方向。这些联系有助于组织技术解释，但其具体共现频次和任务实现方式仍需逐项专利映射支持，不将类别关联直接解释为工程决策模式已经完成转变。</w:t>
      </w:r>
    </w:p>
    <w:p xmlns:w="http://schemas.openxmlformats.org/wordprocessingml/2006/main">
      <w:pPr>
        <w:spacing w:line="480" w:lineRule="auto"/>
        <w:ind w:firstLine="480" w:firstLineChars="200"/>
        <w:rPr>
          <w:rFonts w:ascii="宋体" w:hAnsi="宋体" w:eastAsia="宋体"/>
          <w:sz w:val="24"/>
          <w:szCs w:val="24"/>
        </w:rPr>
      </w:pPr>
      <w:r>
        <w:t xml:space="preserve">传感测量方向表现出不同于持续增长的阶段性轨迹。G01B-011的度中心度由阶段1的0.0270下降至阶段2的0.0077，阶段3增至0.0746；中介中心度依次为0、0.0006和0.0195。同期接近中心度由0.1568增至0.2963和0.4191，偏心度由7降至6和5。这说明其直接联系的相对位置曾有波动，而后期桥接作用与可达性均增强。将这一变化联系到建筑空间测量及加工定位，可提出“测量—加工—控制”的功能衔接解释；毫米级控制精度则属于具体系统性能，需要测量与施工验证记录支持。</w:t>
      </w:r>
    </w:p>
    <w:p xmlns:w="http://schemas.openxmlformats.org/wordprocessingml/2006/main">
      <w:pPr>
        <w:spacing w:line="480" w:lineRule="auto"/>
        <w:ind w:firstLine="480" w:firstLineChars="200"/>
        <w:rPr>
          <w:rFonts w:ascii="宋体" w:hAnsi="宋体" w:eastAsia="宋体"/>
          <w:sz w:val="24"/>
          <w:szCs w:val="24"/>
        </w:rPr>
      </w:pPr>
      <w:r>
        <w:t xml:space="preserve">G01S-017在阶段2的度中心度为0.0193、中介中心度为0.0115，阶段3分别为0.0429和0.0041；接近中心度由0.2594升至0.3746，偏心度由6降至5。其直接联系与可达性增强，中介中心度却有所下降，表明定位感知知识的作用可能更多体现为参与范围扩大，而非桥接地位同步提高。原分析将其与B62D等类别的组合联系到自主运输和施工现场定位，为后续无人化作业场景分析提供了方向；现有表格尚不足以确定相关边的增长速度及完整的时空基准系统是否形成。</w:t>
      </w:r>
    </w:p>
    <w:p xmlns:w="http://schemas.openxmlformats.org/wordprocessingml/2006/main">
      <w:pPr>
        <w:spacing w:line="480" w:lineRule="auto"/>
        <w:ind w:firstLine="480" w:firstLineChars="200"/>
        <w:rPr>
          <w:rFonts w:ascii="宋体" w:hAnsi="宋体" w:eastAsia="宋体"/>
          <w:sz w:val="24"/>
          <w:szCs w:val="24"/>
        </w:rPr>
      </w:pPr>
      <w:r>
        <w:t xml:space="preserve">六类技术节点共同体现了关联扩展、桥接增强和结构角色调整等不同路径。其中，机器人与设计计算方向在多个指标上表现出较连续的增长，增材制造与定位感知则呈现指标间不同步变化。这种差异使技术识别能够超越单一的“由边缘进入核心”叙述，转而讨论各技术承担何种连接任务，以及这种任务如何随技术体系发展而调整。[待补充：各节点的逐期邻接表、归一化分母及具体专利映射；115个邻接节点、38个强共现节点和相关性能表述的原始依据。]</w:t>
      </w:r>
    </w:p>
    <w:p xmlns:w="http://schemas.openxmlformats.org/wordprocessingml/2006/main">
      <w:pPr>
        <w:pStyle w:val="4"/>
        <w:numPr>
          <w:numId w:val="0"/>
        </w:numPr>
      </w:pPr>
      <w:r>
        <w:t xml:space="preserve">4.2.3 关键技术与潜在关键技术识别结果</w:t>
      </w:r>
    </w:p>
    <w:p xmlns:w="http://schemas.openxmlformats.org/wordprocessingml/2006/main">
      <w:pPr>
        <w:spacing w:line="480" w:lineRule="auto"/>
        <w:ind w:firstLine="480" w:firstLineChars="200"/>
        <w:rPr>
          <w:rFonts w:ascii="宋体" w:hAnsi="宋体" w:eastAsia="宋体"/>
          <w:sz w:val="24"/>
          <w:szCs w:val="24"/>
        </w:rPr>
      </w:pPr>
      <w:r>
        <w:t xml:space="preserve">跨阶段轨迹支持将机器人、设计计算、智能分析、传感测量、定位感知与增材制造列为已有关键技术方向。该结果对应样本内的结构作用：机器人与设计计算体现较广的关联扩展，增材制造和定位感知体现直接连接与桥接地位的差异变化，传感测量则呈现先波动后增强的路径。这些方向为技术主题提供结构参照，但尚不能一一替代主题名称，也不形成工程性能优劣的排序。</w:t>
      </w:r>
    </w:p>
    <w:p xmlns:w="http://schemas.openxmlformats.org/wordprocessingml/2006/main">
      <w:pPr>
        <w:spacing w:line="480" w:lineRule="auto"/>
        <w:ind w:firstLine="480" w:firstLineChars="200"/>
        <w:rPr>
          <w:rFonts w:ascii="宋体" w:hAnsi="宋体" w:eastAsia="宋体"/>
          <w:sz w:val="24"/>
          <w:szCs w:val="24"/>
        </w:rPr>
      </w:pPr>
      <w:r>
        <w:t xml:space="preserve">潜在关键技术的识别进一步关注尚未充分展开的知识组合及其工程问题。在同一观察期内，某节点已有较高影响力仍可能存在未确定的发展空间，因此“潜在”描述的是待验证的后续作用，不要求所有候选都处于低中心度位置。按照这一边界，既有结果还保留以下六类方向，并将其作用判断与所需工程条件相联系。</w:t>
      </w:r>
    </w:p>
    <w:p xmlns:w="http://schemas.openxmlformats.org/wordprocessingml/2006/main">
      <w:pPr>
        <w:spacing w:line="480" w:lineRule="auto"/>
        <w:ind w:firstLine="480" w:firstLineChars="200"/>
        <w:rPr>
          <w:rFonts w:ascii="宋体" w:hAnsi="宋体" w:eastAsia="宋体"/>
          <w:sz w:val="24"/>
          <w:szCs w:val="24"/>
        </w:rPr>
      </w:pPr>
      <w:r>
        <w:t xml:space="preserve">在已有轨迹之外，阶段3的若干节点显示出值得持续观察的功能联系。B28C-007的度中心度为0.0164，原分析关注其与B33Y、G05D和H04W等类别之间的组合，将其联系到混凝土搅拌、配送及过程控制。当现场浇筑与预制生产之间需要更紧密的材料供应衔接时，该方向可能承担生产状态与施工需求之间的信息连接。其能否进一步形成枢纽作用，取决于组合关系是否持续、供料控制是否适应不同工艺以及现场运行条件。</w:t>
      </w:r>
    </w:p>
    <w:p xmlns:w="http://schemas.openxmlformats.org/wordprocessingml/2006/main">
      <w:pPr>
        <w:spacing w:line="480" w:lineRule="auto"/>
        <w:ind w:firstLine="480" w:firstLineChars="200"/>
        <w:rPr>
          <w:rFonts w:ascii="宋体" w:hAnsi="宋体" w:eastAsia="宋体"/>
          <w:sz w:val="24"/>
          <w:szCs w:val="24"/>
        </w:rPr>
      </w:pPr>
      <w:r>
        <w:t xml:space="preserve">G06Q-050在阶段3的度中心度为0.1524、中介中心度为0.0407，已经具有较广的类别联系。原分析将其应用范围解释为BIM协同、供应链优化和能源管理，并关注其与E04G、B25J和G06F等类别的联系。这一方向适合作为建造过程数字化管理的候选，讨论不同工程信息如何支撑任务组织与装备调度。平台类别的较高连接程度说明其参与多类组合，而管理效率和协同效果仍需结合具体平台功能与应用记录评价。</w:t>
      </w:r>
    </w:p>
    <w:p xmlns:w="http://schemas.openxmlformats.org/wordprocessingml/2006/main">
      <w:pPr>
        <w:spacing w:line="480" w:lineRule="auto"/>
        <w:ind w:firstLine="480" w:firstLineChars="200"/>
        <w:rPr>
          <w:rFonts w:ascii="宋体" w:hAnsi="宋体" w:eastAsia="宋体"/>
          <w:sz w:val="24"/>
          <w:szCs w:val="24"/>
        </w:rPr>
      </w:pPr>
      <w:r>
        <w:t xml:space="preserve">B66C-023的阶段3度中心度为0.0583、中介中心度为0.0259，其工程解释涉及智能塔吊和吊装作业。补充计算记录中阶段2中介中心度为0.0269，至阶段3略有下降，故其桥接作用不宜概括为持续快速增长。空间避障、自主导航与通信调度等方向可分别对应G01S、G05D和H04W等类别，为讨论吊装装备的协同提供功能线索。后续应关注空间感知如何转化为作业约束，以及通信和调度条件如何影响高空运输的安全与连续运行。</w:t>
      </w:r>
    </w:p>
    <w:p xmlns:w="http://schemas.openxmlformats.org/wordprocessingml/2006/main">
      <w:pPr>
        <w:spacing w:line="480" w:lineRule="auto"/>
        <w:ind w:firstLine="480" w:firstLineChars="200"/>
        <w:rPr>
          <w:rFonts w:ascii="宋体" w:hAnsi="宋体" w:eastAsia="宋体"/>
          <w:sz w:val="24"/>
          <w:szCs w:val="24"/>
        </w:rPr>
      </w:pPr>
      <w:r>
        <w:t xml:space="preserve">C08L-097在阶段3的度中心度为0.0061、接近中心度为0.2716，表现为直接联系有限而具有一定可达性的节点。原分析将其联系到生物质纤维增强材料及绿色建造，并关注其与C04B、B29C和E04C等类别的组合。材料的可降解性、耐久性与构件适用性需要配方和试验资料确认，接近中心度本身不用于判定材料新颖程度。该方向的研究价值在于考察绿色材料要求与成型工艺、结构性能之间如何形成可行的技术组合。</w:t>
      </w:r>
    </w:p>
    <w:p xmlns:w="http://schemas.openxmlformats.org/wordprocessingml/2006/main">
      <w:pPr>
        <w:spacing w:line="480" w:lineRule="auto"/>
        <w:ind w:firstLine="480" w:firstLineChars="200"/>
        <w:rPr>
          <w:rFonts w:ascii="宋体" w:hAnsi="宋体" w:eastAsia="宋体"/>
          <w:sz w:val="24"/>
          <w:szCs w:val="24"/>
        </w:rPr>
      </w:pPr>
      <w:r>
        <w:t xml:space="preserve">G16Y-010的阶段3度中心度为0.0245，原分析关注其连接G06F、H04L和G05B等异构类别的可能，将其作为建造物联网数据接口与设备互联的观察方向。接口能力可影响感知数据与控制任务之间的衔接，其发展研判应联系数据对象、协议兼容性和设备协同需求。专利是否具有标准必要性涉及权利要求与具体标准的对应关系，现有结构指标适合提供技术联系线索，尚不构成这一地位的判定依据。</w:t>
      </w:r>
    </w:p>
    <w:p xmlns:w="http://schemas.openxmlformats.org/wordprocessingml/2006/main">
      <w:pPr>
        <w:spacing w:line="480" w:lineRule="auto"/>
        <w:ind w:firstLine="480" w:firstLineChars="200"/>
        <w:rPr>
          <w:rFonts w:ascii="宋体" w:hAnsi="宋体" w:eastAsia="宋体"/>
          <w:sz w:val="24"/>
          <w:szCs w:val="24"/>
        </w:rPr>
      </w:pPr>
      <w:r>
        <w:t xml:space="preserve">E02D-033在阶段3的度中心度为0.0337、中介中心度为0.0076，原分析将其与地基监测、地质探测、安全告警和预测分析相联系，关注G01V、G08B和G06N等类别的组合。地下空间与地基工程对状态感知和风险识别提出连续性要求，使该方向具有明确的工程问题背景。候选技术能否从局部监测延伸至综合预警，仍取决于数据覆盖、异常识别及处置衔接等条件。</w:t>
      </w:r>
    </w:p>
    <w:p xmlns:w="http://schemas.openxmlformats.org/wordprocessingml/2006/main">
      <w:pPr>
        <w:spacing w:line="480" w:lineRule="auto"/>
        <w:ind w:firstLine="480" w:firstLineChars="200"/>
        <w:rPr>
          <w:rFonts w:ascii="宋体" w:hAnsi="宋体" w:eastAsia="宋体"/>
          <w:sz w:val="24"/>
          <w:szCs w:val="24"/>
        </w:rPr>
      </w:pPr>
      <w:r>
        <w:t xml:space="preserve">上述六类对象分别覆盖材料供应、过程管理、吊装控制、绿色材料、设备接口和地下工程监测，其候选价值来自已观察指标与工程需求之间的联系。既有分析提出的未来3—5年可保留为第五章组织条件性情景的观察时域，但现有网络分析尚未建立对应时间跨度的预测模型。本章据此输出候选方向及其需要进一步解释的条件，为大语言模型辅助研判限定对象，而不将候选清单表述为已验证的地位跃迁预测。</w:t>
      </w:r>
    </w:p>
    <w:p xmlns:w="http://schemas.openxmlformats.org/wordprocessingml/2006/main">
      <w:pPr>
        <w:pStyle w:val="3"/>
        <w:numPr>
          <w:numId w:val="0"/>
        </w:numPr>
      </w:pPr>
      <w:r>
        <w:t xml:space="preserve">4.3 基于 BERTopic 的关键技术主题识别</w:t>
      </w:r>
    </w:p>
    <w:p xmlns:w="http://schemas.openxmlformats.org/wordprocessingml/2006/main">
      <w:pPr>
        <w:pStyle w:val="4"/>
        <w:numPr>
          <w:numId w:val="0"/>
        </w:numPr>
      </w:pPr>
      <w:r>
        <w:t xml:space="preserve">4.3.1 技术节点与专利文本映射</w:t>
      </w:r>
    </w:p>
    <w:p xmlns:w="http://schemas.openxmlformats.org/wordprocessingml/2006/main">
      <w:pPr>
        <w:spacing w:line="480" w:lineRule="auto"/>
        <w:ind w:firstLine="480" w:firstLineChars="200"/>
        <w:rPr>
          <w:rFonts w:ascii="宋体" w:hAnsi="宋体" w:eastAsia="宋体"/>
          <w:sz w:val="24"/>
          <w:szCs w:val="24"/>
        </w:rPr>
      </w:pPr>
      <w:r>
        <w:t xml:space="preserve">IPC节点提供相对一致的类别表示，但同一大组可能对应不同任务和实现方式，单纯依靠分类号难以说明技术变化的具体内容。本研究在网络分析基础上，将受到关注的节点映射至阶段2和阶段3的专利记录，以题名和摘要进一步识别技术主题。既有分析报告用于该分析的专利为926件，形成由结构筛选进入文本解释的样本集合。由于一件专利可以对应多个节点，样本组织应保留专利标识与节点之间的多重关系，并以专利记录为单位控制重复进入文本模型的情况。</w:t>
      </w:r>
    </w:p>
    <w:p xmlns:w="http://schemas.openxmlformats.org/wordprocessingml/2006/main">
      <w:pPr>
        <w:spacing w:line="480" w:lineRule="auto"/>
        <w:ind w:firstLine="480" w:firstLineChars="200"/>
        <w:rPr>
          <w:rFonts w:ascii="宋体" w:hAnsi="宋体" w:eastAsia="宋体"/>
          <w:sz w:val="24"/>
          <w:szCs w:val="24"/>
        </w:rPr>
      </w:pPr>
      <w:r>
        <w:t xml:space="preserve">主题模型的输入为自然语言文本，IPC号及年份等信息作为对应元数据保留。题名概括技术对象，摘要补充方法、构成和用途，两者结合能够为技术主题提供较完整的语义描述。节点到专利的映射同时限定了结果的适用范围：九类主题反映被选入的926件专利所呈现的技术内容，并非5926件专利全部主题的直接统计。候选阈值、重复处理或文本缺失规则发生变化时，主题组成也可能随之调整。[待补充：926件专利清单、候选IPC集合、节点—专利对应关系，以及去重和缺失文本处理记录。]</w:t>
      </w:r>
    </w:p>
    <w:p xmlns:w="http://schemas.openxmlformats.org/wordprocessingml/2006/main">
      <w:pPr>
        <w:pStyle w:val="4"/>
        <w:numPr>
          <w:numId w:val="0"/>
        </w:numPr>
      </w:pPr>
      <w:r>
        <w:t xml:space="preserve">4.3.2 主题模型构建与主题质量检验</w:t>
      </w:r>
    </w:p>
    <w:p xmlns:w="http://schemas.openxmlformats.org/wordprocessingml/2006/main">
      <w:pPr>
        <w:spacing w:line="480" w:lineRule="auto"/>
        <w:ind w:firstLine="480" w:firstLineChars="200"/>
        <w:rPr>
          <w:rFonts w:ascii="宋体" w:hAnsi="宋体" w:eastAsia="宋体"/>
          <w:sz w:val="24"/>
          <w:szCs w:val="24"/>
        </w:rPr>
      </w:pPr>
      <w:r>
        <w:t xml:space="preserve">BERTopic通过文本表示与聚类连接专利内容和主题解释。在一般处理流程中，文本经语义嵌入转化为向量，使表达不同但内容相近的专利具有可比较的表示；降维步骤将高维表示组织为适合聚类的空间，密度聚类据此划分文本集合并识别难以归入稳定类别的文档。聚类得到的文本组再通过类别词频—逆文档频率，即c-TF-IDF，提取具有区分作用的词语。其输出包含文档所属主题和主题代表词，为工程语义解读提供依据。</w:t>
      </w:r>
    </w:p>
    <w:p xmlns:w="http://schemas.openxmlformats.org/wordprocessingml/2006/main">
      <w:pPr>
        <w:spacing w:line="480" w:lineRule="auto"/>
        <w:ind w:firstLine="480" w:firstLineChars="200"/>
        <w:rPr>
          <w:rFonts w:ascii="宋体" w:hAnsi="宋体" w:eastAsia="宋体"/>
          <w:sz w:val="24"/>
          <w:szCs w:val="24"/>
        </w:rPr>
      </w:pPr>
      <w:r>
        <w:t xml:space="preserve">BERTopic方法说明以UMAP和HDBSCAN说明降维与密度聚类环节，并给出了可选嵌入模型示例。这些内容解释了BERTopic的一般技术流程，本次分析实际采用的嵌入模型、降维维数、聚类参数和随机种子尚未完整记录。既有分析表明数据处理与模型运算通过Python完成，并采用名为scientific_bertopic_model的函数组织优化。函数名称本身未说明具体改动，因此本文以已报告配置和结果进行比较，将具体实现留待代码与运行日志补充。</w:t>
      </w:r>
    </w:p>
    <w:p xmlns:w="http://schemas.openxmlformats.org/wordprocessingml/2006/main">
      <w:pPr>
        <w:spacing w:line="480" w:lineRule="auto"/>
        <w:ind w:firstLine="480" w:firstLineChars="200"/>
        <w:rPr>
          <w:rFonts w:ascii="宋体" w:hAnsi="宋体" w:eastAsia="宋体"/>
          <w:sz w:val="24"/>
          <w:szCs w:val="24"/>
        </w:rPr>
      </w:pPr>
      <w:r>
        <w:t xml:space="preserve">既有分析采用轮廓系数与Calinski-Harabasz指数评价聚类结构。默认参数模型的两项指标分别为0.415和1245.7，所报告优化模型分别为0.682和2896.3。轮廓系数从样本与本类及其他类的距离关系描述聚类分离程度，Calinski-Harabasz指数比较类间与类内离散程度；在样本、表示空间及计算口径一致的条件下，两项报告值较高支持对聚类组织改善的判断。现有材料未给出重复运行、噪声文档处理和参数搜索记录，因此这一结果仍属于给定报告下的对照，不能据此确定统计显著性或跨配置稳定性。[待补充：模型代码与版本、嵌入及聚类参数、评价空间、噪声样本数量、默认与优化配置的对应关系和运行日志。]</w:t>
      </w:r>
    </w:p>
    <w:p xmlns:w="http://schemas.openxmlformats.org/wordprocessingml/2006/main">
      <w:pPr>
        <w:spacing w:line="480" w:lineRule="auto"/>
        <w:ind w:firstLine="480" w:firstLineChars="200"/>
        <w:rPr>
          <w:rFonts w:ascii="宋体" w:hAnsi="宋体" w:eastAsia="宋体"/>
          <w:sz w:val="24"/>
          <w:szCs w:val="24"/>
        </w:rPr>
      </w:pPr>
      <w:r>
        <w:t xml:space="preserve">主题解释阶段剔除了“步骤”“通过”“能够”等通用描述词，以减少专利常见表述对技术内容辨识的干扰。代表词提供命名线索，工程功能和具体方案则赋予其含义；主题名称是对文本组的概括，不等同于算法自动识别的完整工程系统。根据既有结果，本文保留九类技术主题及其代表内容，见表4-5，并在解释中区分研究方向、典型技术表述与实际工程应用。</w:t>
      </w:r>
    </w:p>
    <w:p xmlns:w="http://schemas.openxmlformats.org/wordprocessingml/2006/main">
      <w:pPr>
        <w:spacing w:line="480" w:lineRule="auto"/>
        <w:ind w:firstLine="480" w:firstLineChars="200"/>
        <w:rPr>
          <w:rFonts w:ascii="宋体" w:hAnsi="宋体" w:eastAsia="宋体"/>
          <w:sz w:val="24"/>
          <w:szCs w:val="24"/>
        </w:rPr>
      </w:pPr>
      <w:r>
        <w:t xml:space="preserve">表4-5 智能建造领域关键技术九类主题</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4400"/>
        <w:gridCol w:w="2849"/>
      </w:tblGrid>
      <w:tr ns1:paraId="7BF54745">
        <w:trPr>
          <w:tblHeader/>
          <w:jc w:val="center"/>
        </w:trPr>
        <w:tc>
          <w:tcPr>
            <w:tcW w:w="1270" w:type="dxa"/>
            <w:tcBorders>
              <w:top w:val="single" w:color="auto" w:sz="12" w:space="0"/>
              <w:left w:val="nil"/>
              <w:bottom w:val="single" w:color="auto" w:sz="4" w:space="0"/>
              <w:right w:val="nil"/>
            </w:tcBorders>
            <w:vAlign w:val="center"/>
          </w:tcPr>
          <w:p ns1:paraId="420413FF">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主题序号</w:t>
            </w:r>
          </w:p>
        </w:tc>
        <w:tc>
          <w:tcPr>
            <w:tcW w:w="4400" w:type="dxa"/>
            <w:tcBorders>
              <w:top w:val="single" w:color="auto" w:sz="12" w:space="0"/>
              <w:left w:val="nil"/>
              <w:bottom w:val="single" w:color="auto" w:sz="4" w:space="0"/>
              <w:right w:val="nil"/>
            </w:tcBorders>
            <w:vAlign w:val="center"/>
          </w:tcPr>
          <w:p ns1:paraId="317FF501">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主题内容和特征词汇</w:t>
            </w:r>
          </w:p>
        </w:tc>
        <w:tc>
          <w:tcPr>
            <w:tcW w:w="2849" w:type="dxa"/>
            <w:tcBorders>
              <w:top w:val="single" w:color="auto" w:sz="12" w:space="0"/>
              <w:left w:val="nil"/>
              <w:bottom w:val="single" w:color="auto" w:sz="4" w:space="0"/>
              <w:right w:val="nil"/>
            </w:tcBorders>
            <w:vAlign w:val="center"/>
          </w:tcPr>
          <w:p ns1:paraId="14E6F943">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典型核心技术</w:t>
            </w:r>
          </w:p>
        </w:tc>
      </w:tr>
      <w:tr ns1:paraId="5560F7F4">
        <w:trPr>
          <w:jc w:val="center"/>
        </w:trPr>
        <w:tc>
          <w:tcPr>
            <w:tcW w:w="1270" w:type="dxa"/>
            <w:tcBorders>
              <w:top w:val="single" w:color="auto" w:sz="4" w:space="0"/>
              <w:left w:val="nil"/>
              <w:bottom w:val="nil"/>
              <w:right w:val="nil"/>
            </w:tcBorders>
            <w:vAlign w:val="center"/>
          </w:tcPr>
          <w:p ns1:paraId="0BBC0A4C">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1</w:t>
            </w:r>
          </w:p>
        </w:tc>
        <w:tc>
          <w:tcPr>
            <w:tcW w:w="4400" w:type="dxa"/>
            <w:tcBorders>
              <w:top w:val="single" w:color="auto" w:sz="4" w:space="0"/>
              <w:left w:val="nil"/>
              <w:bottom w:val="nil"/>
              <w:right w:val="nil"/>
            </w:tcBorders>
            <w:vAlign w:val="center"/>
          </w:tcPr>
          <w:p ns1:paraId="47E3AC33">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多专业协同</w:t>
            </w:r>
            <w:r>
              <w:rPr>
                <w:rFonts w:hint="eastAsia" w:ascii="宋体" w:hAnsi="宋体" w:eastAsia="宋体"/>
                <w:color w:val="000000"/>
                <w:szCs w:val="21"/>
              </w:rPr>
              <w:t>平台</w:t>
            </w:r>
            <w:r>
              <w:rPr>
                <w:rFonts w:ascii="宋体" w:hAnsi="宋体" w:eastAsia="宋体"/>
                <w:color w:val="000000"/>
                <w:szCs w:val="21"/>
              </w:rPr>
              <w:t>：BIM、协同、</w:t>
            </w:r>
            <w:r>
              <w:rPr>
                <w:rFonts w:hint="eastAsia" w:ascii="宋体" w:hAnsi="宋体" w:eastAsia="宋体"/>
                <w:color w:val="000000"/>
                <w:szCs w:val="21"/>
              </w:rPr>
              <w:t>平台</w:t>
            </w:r>
            <w:r>
              <w:rPr>
                <w:rFonts w:ascii="宋体" w:hAnsi="宋体" w:eastAsia="宋体"/>
                <w:color w:val="000000"/>
                <w:szCs w:val="21"/>
              </w:rPr>
              <w:t>、专业</w:t>
            </w:r>
            <w:r>
              <w:rPr>
                <w:rFonts w:hint="eastAsia" w:ascii="宋体" w:hAnsi="宋体" w:eastAsia="宋体"/>
                <w:color w:val="000000"/>
                <w:szCs w:val="21"/>
              </w:rPr>
              <w:t>、综合</w:t>
            </w:r>
          </w:p>
        </w:tc>
        <w:tc>
          <w:tcPr>
            <w:tcW w:w="2849" w:type="dxa"/>
            <w:tcBorders>
              <w:top w:val="single" w:color="auto" w:sz="4" w:space="0"/>
              <w:left w:val="nil"/>
              <w:bottom w:val="nil"/>
              <w:right w:val="nil"/>
            </w:tcBorders>
            <w:vAlign w:val="center"/>
          </w:tcPr>
          <w:p ns1:paraId="0451E8E9">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大型公共建筑BIM协同</w:t>
            </w:r>
            <w:r>
              <w:rPr>
                <w:rFonts w:hint="eastAsia" w:ascii="宋体" w:hAnsi="宋体" w:eastAsia="宋体"/>
                <w:color w:val="000000"/>
                <w:szCs w:val="21"/>
              </w:rPr>
              <w:t>平台</w:t>
            </w:r>
          </w:p>
        </w:tc>
      </w:tr>
      <w:tr ns1:paraId="35EEE0D4">
        <w:trPr>
          <w:jc w:val="center"/>
        </w:trPr>
        <w:tc>
          <w:tcPr>
            <w:tcW w:w="1270" w:type="dxa"/>
            <w:tcBorders>
              <w:top w:val="nil"/>
              <w:left w:val="nil"/>
              <w:bottom w:val="nil"/>
              <w:right w:val="nil"/>
            </w:tcBorders>
            <w:vAlign w:val="center"/>
          </w:tcPr>
          <w:p ns1:paraId="0415262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2</w:t>
            </w:r>
          </w:p>
        </w:tc>
        <w:tc>
          <w:tcPr>
            <w:tcW w:w="4400" w:type="dxa"/>
            <w:tcBorders>
              <w:top w:val="nil"/>
              <w:left w:val="nil"/>
              <w:bottom w:val="nil"/>
              <w:right w:val="nil"/>
            </w:tcBorders>
            <w:vAlign w:val="center"/>
          </w:tcPr>
          <w:p ns1:paraId="3A659031">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参数化与生成式设计：参数化、优化、算法、设计、约束</w:t>
            </w:r>
          </w:p>
        </w:tc>
        <w:tc>
          <w:tcPr>
            <w:tcW w:w="2849" w:type="dxa"/>
            <w:tcBorders>
              <w:top w:val="nil"/>
              <w:left w:val="nil"/>
              <w:bottom w:val="nil"/>
              <w:right w:val="nil"/>
            </w:tcBorders>
            <w:vAlign w:val="center"/>
          </w:tcPr>
          <w:p ns1:paraId="65598276">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复杂建筑形态参数化设计</w:t>
            </w:r>
          </w:p>
        </w:tc>
      </w:tr>
      <w:tr ns1:paraId="4A4A49F4">
        <w:trPr>
          <w:jc w:val="center"/>
        </w:trPr>
        <w:tc>
          <w:tcPr>
            <w:tcW w:w="1270" w:type="dxa"/>
            <w:tcBorders>
              <w:top w:val="nil"/>
              <w:left w:val="nil"/>
              <w:bottom w:val="nil"/>
              <w:right w:val="nil"/>
            </w:tcBorders>
            <w:vAlign w:val="center"/>
          </w:tcPr>
          <w:p ns1:paraId="2833F770">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3</w:t>
            </w:r>
          </w:p>
        </w:tc>
        <w:tc>
          <w:tcPr>
            <w:tcW w:w="4400" w:type="dxa"/>
            <w:tcBorders>
              <w:top w:val="nil"/>
              <w:left w:val="nil"/>
              <w:bottom w:val="nil"/>
              <w:right w:val="nil"/>
            </w:tcBorders>
            <w:vAlign w:val="center"/>
          </w:tcPr>
          <w:p ns1:paraId="6CA8560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机器人集群协同：机器人、机构、驱动、移动、协同</w:t>
            </w:r>
          </w:p>
        </w:tc>
        <w:tc>
          <w:tcPr>
            <w:tcW w:w="2849" w:type="dxa"/>
            <w:tcBorders>
              <w:top w:val="nil"/>
              <w:left w:val="nil"/>
              <w:bottom w:val="nil"/>
              <w:right w:val="nil"/>
            </w:tcBorders>
            <w:vAlign w:val="center"/>
          </w:tcPr>
          <w:p ns1:paraId="10F962A7">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建筑幕墙安装机器人集群</w:t>
            </w:r>
          </w:p>
        </w:tc>
      </w:tr>
      <w:tr ns1:paraId="388B79B9">
        <w:trPr>
          <w:jc w:val="center"/>
        </w:trPr>
        <w:tc>
          <w:tcPr>
            <w:tcW w:w="1270" w:type="dxa"/>
            <w:tcBorders>
              <w:top w:val="nil"/>
              <w:left w:val="nil"/>
              <w:bottom w:val="nil"/>
              <w:right w:val="nil"/>
            </w:tcBorders>
            <w:vAlign w:val="center"/>
          </w:tcPr>
          <w:p ns1:paraId="1F03F2B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4</w:t>
            </w:r>
          </w:p>
        </w:tc>
        <w:tc>
          <w:tcPr>
            <w:tcW w:w="4400" w:type="dxa"/>
            <w:tcBorders>
              <w:top w:val="nil"/>
              <w:left w:val="nil"/>
              <w:bottom w:val="nil"/>
              <w:right w:val="nil"/>
            </w:tcBorders>
            <w:vAlign w:val="center"/>
          </w:tcPr>
          <w:p ns1:paraId="7582ADC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施工全过程数字孪生：监测、控制、调节</w:t>
            </w:r>
            <w:r>
              <w:rPr>
                <w:rFonts w:hint="eastAsia" w:ascii="宋体" w:hAnsi="宋体" w:eastAsia="宋体"/>
                <w:color w:val="000000"/>
                <w:szCs w:val="21"/>
              </w:rPr>
              <w:t>、</w:t>
            </w:r>
            <w:r>
              <w:rPr>
                <w:rFonts w:ascii="宋体" w:hAnsi="宋体" w:eastAsia="宋体"/>
                <w:color w:val="000000"/>
                <w:szCs w:val="21"/>
              </w:rPr>
              <w:t>固定</w:t>
            </w:r>
          </w:p>
        </w:tc>
        <w:tc>
          <w:tcPr>
            <w:tcW w:w="2849" w:type="dxa"/>
            <w:tcBorders>
              <w:top w:val="nil"/>
              <w:left w:val="nil"/>
              <w:bottom w:val="nil"/>
              <w:right w:val="nil"/>
            </w:tcBorders>
            <w:vAlign w:val="center"/>
          </w:tcPr>
          <w:p ns1:paraId="31522CB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盾构机施工数字化监控系统</w:t>
            </w:r>
          </w:p>
        </w:tc>
      </w:tr>
      <w:tr ns1:paraId="284BD331">
        <w:trPr>
          <w:jc w:val="center"/>
        </w:trPr>
        <w:tc>
          <w:tcPr>
            <w:tcW w:w="1270" w:type="dxa"/>
            <w:tcBorders>
              <w:top w:val="nil"/>
              <w:left w:val="nil"/>
              <w:bottom w:val="nil"/>
              <w:right w:val="nil"/>
            </w:tcBorders>
            <w:vAlign w:val="center"/>
          </w:tcPr>
          <w:p ns1:paraId="59C97BF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5</w:t>
            </w:r>
          </w:p>
        </w:tc>
        <w:tc>
          <w:tcPr>
            <w:tcW w:w="4400" w:type="dxa"/>
            <w:tcBorders>
              <w:top w:val="nil"/>
              <w:left w:val="nil"/>
              <w:bottom w:val="nil"/>
              <w:right w:val="nil"/>
            </w:tcBorders>
            <w:vAlign w:val="center"/>
          </w:tcPr>
          <w:p ns1:paraId="21A63AD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智能规范审查：信息、数据、审查、图像、目标</w:t>
            </w:r>
          </w:p>
        </w:tc>
        <w:tc>
          <w:tcPr>
            <w:tcW w:w="2849" w:type="dxa"/>
            <w:tcBorders>
              <w:top w:val="nil"/>
              <w:left w:val="nil"/>
              <w:bottom w:val="nil"/>
              <w:right w:val="nil"/>
            </w:tcBorders>
            <w:vAlign w:val="center"/>
          </w:tcPr>
          <w:p ns1:paraId="012CA1E7">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建筑施工图智能审查系统</w:t>
            </w:r>
          </w:p>
        </w:tc>
      </w:tr>
      <w:tr ns1:paraId="44D517DE">
        <w:trPr>
          <w:jc w:val="center"/>
        </w:trPr>
        <w:tc>
          <w:tcPr>
            <w:tcW w:w="1270" w:type="dxa"/>
            <w:tcBorders>
              <w:top w:val="nil"/>
              <w:left w:val="nil"/>
              <w:bottom w:val="nil"/>
              <w:right w:val="nil"/>
            </w:tcBorders>
            <w:shd w:val="clear" w:color="auto" w:fill="auto"/>
            <w:vAlign w:val="center"/>
          </w:tcPr>
          <w:p ns1:paraId="7FF1C21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6</w:t>
            </w:r>
          </w:p>
        </w:tc>
        <w:tc>
          <w:tcPr>
            <w:tcW w:w="4400" w:type="dxa"/>
            <w:tcBorders>
              <w:top w:val="nil"/>
              <w:left w:val="nil"/>
              <w:bottom w:val="nil"/>
              <w:right w:val="nil"/>
            </w:tcBorders>
            <w:shd w:val="clear" w:color="auto" w:fill="auto"/>
            <w:vAlign w:val="center"/>
          </w:tcPr>
          <w:p ns1:paraId="78AFAFAD">
            <w:pPr>
              <w:widowControl/>
              <w:snapToGrid w:val="0"/>
              <w:spacing w:line="360" w:lineRule="auto"/>
              <w:jc w:val="center"/>
              <w:textAlignment w:val="top"/>
              <w:rPr>
                <w:rFonts w:ascii="宋体" w:hAnsi="宋体" w:eastAsia="宋体"/>
                <w:szCs w:val="21"/>
              </w:rPr>
            </w:pPr>
            <w:r>
              <w:rPr>
                <w:rFonts w:hint="eastAsia" w:ascii="宋体" w:hAnsi="宋体" w:eastAsia="宋体"/>
                <w:color w:val="000000"/>
                <w:szCs w:val="21"/>
              </w:rPr>
              <w:t>建筑工程大模型技术</w:t>
            </w:r>
            <w:r>
              <w:rPr>
                <w:rFonts w:ascii="宋体" w:hAnsi="宋体" w:eastAsia="宋体"/>
                <w:color w:val="000000"/>
                <w:szCs w:val="21"/>
              </w:rPr>
              <w:t>：</w:t>
            </w:r>
            <w:r>
              <w:rPr>
                <w:rFonts w:hint="eastAsia" w:ascii="宋体" w:hAnsi="宋体" w:eastAsia="宋体"/>
                <w:color w:val="000000"/>
                <w:szCs w:val="21"/>
              </w:rPr>
              <w:t>大模型</w:t>
            </w:r>
            <w:r>
              <w:rPr>
                <w:rFonts w:ascii="宋体" w:hAnsi="宋体" w:eastAsia="宋体"/>
                <w:color w:val="000000"/>
                <w:szCs w:val="21"/>
              </w:rPr>
              <w:t>、</w:t>
            </w:r>
            <w:r>
              <w:rPr>
                <w:rFonts w:hint="eastAsia" w:ascii="宋体" w:hAnsi="宋体" w:eastAsia="宋体"/>
                <w:color w:val="000000"/>
                <w:szCs w:val="21"/>
              </w:rPr>
              <w:t>机器学习</w:t>
            </w:r>
            <w:r>
              <w:rPr>
                <w:rFonts w:ascii="宋体" w:hAnsi="宋体" w:eastAsia="宋体"/>
                <w:color w:val="000000"/>
                <w:szCs w:val="21"/>
              </w:rPr>
              <w:t>、</w:t>
            </w:r>
            <w:r>
              <w:rPr>
                <w:rFonts w:hint="eastAsia" w:ascii="宋体" w:hAnsi="宋体" w:eastAsia="宋体"/>
                <w:color w:val="000000"/>
                <w:szCs w:val="21"/>
              </w:rPr>
              <w:t>规划、平面</w:t>
            </w:r>
          </w:p>
        </w:tc>
        <w:tc>
          <w:tcPr>
            <w:tcW w:w="2849" w:type="dxa"/>
            <w:tcBorders>
              <w:top w:val="nil"/>
              <w:left w:val="nil"/>
              <w:bottom w:val="nil"/>
              <w:right w:val="nil"/>
            </w:tcBorders>
            <w:shd w:val="clear" w:color="auto" w:fill="auto"/>
            <w:vAlign w:val="center"/>
          </w:tcPr>
          <w:p ns1:paraId="06F374D1">
            <w:pPr>
              <w:widowControl/>
              <w:snapToGrid w:val="0"/>
              <w:spacing w:line="360" w:lineRule="auto"/>
              <w:jc w:val="left"/>
              <w:textAlignment w:val="top"/>
              <w:rPr>
                <w:rFonts w:ascii="宋体" w:hAnsi="宋体" w:eastAsia="宋体"/>
                <w:szCs w:val="21"/>
              </w:rPr>
            </w:pPr>
            <w:r>
              <w:rPr>
                <w:rFonts w:hint="eastAsia" w:ascii="宋体" w:hAnsi="宋体" w:eastAsia="宋体"/>
                <w:color w:val="000000"/>
                <w:szCs w:val="21"/>
              </w:rPr>
              <w:t>工艺规划辅助大模型技术</w:t>
            </w:r>
          </w:p>
        </w:tc>
      </w:tr>
      <w:tr ns1:paraId="0F5EB072">
        <w:trPr>
          <w:jc w:val="center"/>
        </w:trPr>
        <w:tc>
          <w:tcPr>
            <w:tcW w:w="1270" w:type="dxa"/>
            <w:tcBorders>
              <w:top w:val="nil"/>
              <w:left w:val="nil"/>
              <w:bottom w:val="nil"/>
              <w:right w:val="nil"/>
            </w:tcBorders>
            <w:vAlign w:val="center"/>
          </w:tcPr>
          <w:p ns1:paraId="3E01845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7</w:t>
            </w:r>
          </w:p>
        </w:tc>
        <w:tc>
          <w:tcPr>
            <w:tcW w:w="4400" w:type="dxa"/>
            <w:tcBorders>
              <w:top w:val="nil"/>
              <w:left w:val="nil"/>
              <w:bottom w:val="nil"/>
              <w:right w:val="nil"/>
            </w:tcBorders>
            <w:vAlign w:val="center"/>
          </w:tcPr>
          <w:p ns1:paraId="5B3F4F5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装配式建筑技术：预制、构件、安装、标准化、生产</w:t>
            </w:r>
          </w:p>
        </w:tc>
        <w:tc>
          <w:tcPr>
            <w:tcW w:w="2849" w:type="dxa"/>
            <w:tcBorders>
              <w:top w:val="nil"/>
              <w:left w:val="nil"/>
              <w:bottom w:val="nil"/>
              <w:right w:val="nil"/>
            </w:tcBorders>
            <w:vAlign w:val="center"/>
          </w:tcPr>
          <w:p ns1:paraId="26D3332B">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钢结构装配式建筑技术</w:t>
            </w:r>
          </w:p>
        </w:tc>
      </w:tr>
      <w:tr ns1:paraId="2BEDA983">
        <w:trPr>
          <w:jc w:val="center"/>
        </w:trPr>
        <w:tc>
          <w:tcPr>
            <w:tcW w:w="1270" w:type="dxa"/>
            <w:tcBorders>
              <w:top w:val="nil"/>
              <w:left w:val="nil"/>
              <w:bottom w:val="nil"/>
              <w:right w:val="nil"/>
            </w:tcBorders>
            <w:vAlign w:val="center"/>
          </w:tcPr>
          <w:p ns1:paraId="3EA3C541">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8</w:t>
            </w:r>
          </w:p>
        </w:tc>
        <w:tc>
          <w:tcPr>
            <w:tcW w:w="4400" w:type="dxa"/>
            <w:tcBorders>
              <w:top w:val="nil"/>
              <w:left w:val="nil"/>
              <w:bottom w:val="nil"/>
              <w:right w:val="nil"/>
            </w:tcBorders>
            <w:vAlign w:val="center"/>
          </w:tcPr>
          <w:p ns1:paraId="2BD31F2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建筑规模增材制造：打印、混凝土、材料、结构、成型</w:t>
            </w:r>
          </w:p>
        </w:tc>
        <w:tc>
          <w:tcPr>
            <w:tcW w:w="2849" w:type="dxa"/>
            <w:tcBorders>
              <w:top w:val="nil"/>
              <w:left w:val="nil"/>
              <w:bottom w:val="nil"/>
              <w:right w:val="nil"/>
            </w:tcBorders>
            <w:vAlign w:val="center"/>
          </w:tcPr>
          <w:p ns1:paraId="5D5F4BD9">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混凝土3D打印建筑技术</w:t>
            </w:r>
          </w:p>
        </w:tc>
      </w:tr>
      <w:tr ns1:paraId="5A87286B">
        <w:trPr>
          <w:jc w:val="center"/>
        </w:trPr>
        <w:tc>
          <w:tcPr>
            <w:tcW w:w="1270" w:type="dxa"/>
            <w:tcBorders>
              <w:top w:val="nil"/>
              <w:left w:val="nil"/>
              <w:bottom w:val="single" w:color="auto" w:sz="12" w:space="0"/>
              <w:right w:val="nil"/>
            </w:tcBorders>
            <w:vAlign w:val="center"/>
          </w:tcPr>
          <w:p ns1:paraId="578CCCB9">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9</w:t>
            </w:r>
          </w:p>
        </w:tc>
        <w:tc>
          <w:tcPr>
            <w:tcW w:w="4400" w:type="dxa"/>
            <w:tcBorders>
              <w:top w:val="nil"/>
              <w:left w:val="nil"/>
              <w:bottom w:val="single" w:color="auto" w:sz="12" w:space="0"/>
              <w:right w:val="nil"/>
            </w:tcBorders>
            <w:vAlign w:val="center"/>
          </w:tcPr>
          <w:p ns1:paraId="4F96AFA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模块化与可重构设计：模块、重构、混合</w:t>
            </w:r>
            <w:r>
              <w:rPr>
                <w:rFonts w:hint="eastAsia" w:ascii="宋体" w:hAnsi="宋体" w:eastAsia="宋体"/>
                <w:color w:val="000000"/>
                <w:szCs w:val="21"/>
              </w:rPr>
              <w:t>、</w:t>
            </w:r>
            <w:r>
              <w:rPr>
                <w:rFonts w:ascii="宋体" w:hAnsi="宋体" w:eastAsia="宋体"/>
                <w:color w:val="000000"/>
                <w:szCs w:val="21"/>
              </w:rPr>
              <w:t>分析</w:t>
            </w:r>
          </w:p>
        </w:tc>
        <w:tc>
          <w:tcPr>
            <w:tcW w:w="2849" w:type="dxa"/>
            <w:tcBorders>
              <w:top w:val="nil"/>
              <w:left w:val="nil"/>
              <w:bottom w:val="single" w:color="auto" w:sz="12" w:space="0"/>
              <w:right w:val="nil"/>
            </w:tcBorders>
            <w:vAlign w:val="center"/>
          </w:tcPr>
          <w:p ns1:paraId="62DD2FF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模块化应急避难所技术</w:t>
            </w:r>
          </w:p>
        </w:tc>
      </w:tr>
    </w:tbl>
    <w:p xmlns:w="http://schemas.openxmlformats.org/wordprocessingml/2006/main">
      <w:pPr>
        <w:pStyle w:val="4"/>
        <w:numPr>
          <w:numId w:val="0"/>
        </w:numPr>
      </w:pPr>
      <w:r>
        <w:t xml:space="preserve">4.3.3 关键技术主题及其工程内涵</w:t>
      </w:r>
    </w:p>
    <w:p xmlns:w="http://schemas.openxmlformats.org/wordprocessingml/2006/main">
      <w:pPr>
        <w:spacing w:line="480" w:lineRule="auto"/>
        <w:ind w:firstLine="480" w:firstLineChars="200"/>
        <w:rPr>
          <w:rFonts w:ascii="宋体" w:hAnsi="宋体" w:eastAsia="宋体"/>
          <w:sz w:val="24"/>
          <w:szCs w:val="24"/>
        </w:rPr>
      </w:pPr>
      <w:r>
        <w:t xml:space="preserve">主题1“多专业协同平台”以BIM、协同、平台、专业和综合为主要特征词，典型内容为大型公共建筑BIM协同平台。其技术内涵在于将不同专业对同一工程对象的描述组织起来，使设计信息、业务状态与参与主体之间形成对应。平台的作用因此不止于集中存储模型，还涉及对象标识、信息关联与业务协同。该主题为第三章工程软件和数据平台之间的功能联系提供了进一步解释，其协同效果则取决于数据的一致性与任务组织方式。</w:t>
      </w:r>
    </w:p>
    <w:p xmlns:w="http://schemas.openxmlformats.org/wordprocessingml/2006/main">
      <w:pPr>
        <w:spacing w:line="480" w:lineRule="auto"/>
        <w:ind w:firstLine="480" w:firstLineChars="200"/>
        <w:rPr>
          <w:rFonts w:ascii="宋体" w:hAnsi="宋体" w:eastAsia="宋体"/>
          <w:sz w:val="24"/>
          <w:szCs w:val="24"/>
        </w:rPr>
      </w:pPr>
      <w:r>
        <w:t xml:space="preserve">主题2“参数化与生成式设计”围绕参数化、优化、算法、设计和约束展开，典型内容为复杂建筑形态参数化设计。设计对象通过几何参数及规则表达后，方案变化可以与目标和约束建立联系，从而支持方案生成、性能比较与迭代调整。该主题关注从人工逐项修改向规则化方案搜索的延伸，与G06F-030和G06N-003所提示的计算类知识扩展具有功能上的对应。参数化表示和优化计算解决不同层次的问题，二者的结合仍需明确工程约束及评价依据。</w:t>
      </w:r>
    </w:p>
    <w:p xmlns:w="http://schemas.openxmlformats.org/wordprocessingml/2006/main">
      <w:pPr>
        <w:spacing w:line="480" w:lineRule="auto"/>
        <w:ind w:firstLine="480" w:firstLineChars="200"/>
        <w:rPr>
          <w:rFonts w:ascii="宋体" w:hAnsi="宋体" w:eastAsia="宋体"/>
          <w:sz w:val="24"/>
          <w:szCs w:val="24"/>
        </w:rPr>
      </w:pPr>
      <w:r>
        <w:t xml:space="preserve">主题3“机器人集群协同”包含机器人、机构、驱动、移动和协同等特征词，以建筑幕墙安装机器人集群作为典型技术表述。机器人在特定任务中的作业能力依赖机构与控制的配合，多设备协同又增加了任务分配、空间协调与状态交换的要求。该主题由单机能力延伸至共同作业的组织，与机器人类别的关联拓展形成解释联系。表中集群名称用于概括研究方向，尚需具体专利及试验资料确认其设备数量、协调方式和施工效果。</w:t>
      </w:r>
    </w:p>
    <w:p xmlns:w="http://schemas.openxmlformats.org/wordprocessingml/2006/main">
      <w:pPr>
        <w:spacing w:line="480" w:lineRule="auto"/>
        <w:ind w:firstLine="480" w:firstLineChars="200"/>
        <w:rPr>
          <w:rFonts w:ascii="宋体" w:hAnsi="宋体" w:eastAsia="宋体"/>
          <w:sz w:val="24"/>
          <w:szCs w:val="24"/>
        </w:rPr>
      </w:pPr>
      <w:r>
        <w:t xml:space="preserve">主题4“施工全过程数字孪生”以监测、控制、调节和固定等词语形成内容线索，典型内容为盾构机施工数字化监控系统。其核心问题是将现场状态与数字表达相联系，使监测数据能够进入过程分析，并为后续控制或调整提供依据。传感器获取的状态、工程模型表达的对象和施工过程中的动作应保持对应，这种联系赋予数字镜像以工程用途。主题命名具有全过程的概括性，具体文本覆盖哪些施工环节、是否形成连续反馈，仍应由代表专利的功能范围说明。</w:t>
      </w:r>
    </w:p>
    <w:p xmlns:w="http://schemas.openxmlformats.org/wordprocessingml/2006/main">
      <w:pPr>
        <w:spacing w:line="480" w:lineRule="auto"/>
        <w:ind w:firstLine="480" w:firstLineChars="200"/>
        <w:rPr>
          <w:rFonts w:ascii="宋体" w:hAnsi="宋体" w:eastAsia="宋体"/>
          <w:sz w:val="24"/>
          <w:szCs w:val="24"/>
        </w:rPr>
      </w:pPr>
      <w:r>
        <w:t xml:space="preserve">主题5“智能规范审查”涉及信息、数据、审查、图像和目标，典型内容为建筑施工图智能审查系统。其研究方向是将规范要求与设计对象建立可处理的对应，通过规则表示或信息识别支持条文检索、条件比对与问题提示。规范内容中的对象范围和适用条件影响审查结果，复杂条文的解释也与专业知识相联系。因此，自动比对可以承担部分核查任务，完整的合规判断仍需结合条文语义和工程情境讨论，不由“智能审查”这一主题名称推导全面替代人工的结论。</w:t>
      </w:r>
    </w:p>
    <w:p xmlns:w="http://schemas.openxmlformats.org/wordprocessingml/2006/main">
      <w:pPr>
        <w:spacing w:line="480" w:lineRule="auto"/>
        <w:ind w:firstLine="480" w:firstLineChars="200"/>
        <w:rPr>
          <w:rFonts w:ascii="宋体" w:hAnsi="宋体" w:eastAsia="宋体"/>
          <w:sz w:val="24"/>
          <w:szCs w:val="24"/>
        </w:rPr>
      </w:pPr>
      <w:r>
        <w:t xml:space="preserve">主题6“建筑工程大模型技术”围绕大模型、机器学习、规划和平面等内容展开，以工艺规划辅助大模型技术作为典型方向。其工程内涵是将行业知识与语言或多模态信息处理相结合，面向知识检索、方案辅助和决策支持形成应用。领域模型训练、知识注入和面向任务的调用属于不同实现方式，主题识别仅说明相关技术内容进入了所分析的专利集合。该主题不表示本研究训练了建筑领域大模型；第五章以既有技术证据为输入组织多智能体研判，属于本研究采用的分析方法，与此处作为研究对象的建筑工程大模型主题应予区分。</w:t>
      </w:r>
    </w:p>
    <w:p xmlns:w="http://schemas.openxmlformats.org/wordprocessingml/2006/main">
      <w:pPr>
        <w:spacing w:line="480" w:lineRule="auto"/>
        <w:ind w:firstLine="480" w:firstLineChars="200"/>
        <w:rPr>
          <w:rFonts w:ascii="宋体" w:hAnsi="宋体" w:eastAsia="宋体"/>
          <w:sz w:val="24"/>
          <w:szCs w:val="24"/>
        </w:rPr>
      </w:pPr>
      <w:r>
        <w:t xml:space="preserve">主题7“装配式建筑技术”以预制、构件、安装、标准化和生产为主要内容，典型技术为钢结构装配式建筑。其功能联系贯穿构件设计、工厂制造与现场安装，使部分现场作业转移至较稳定的生产环境。标准化构件与连接方式需要适应运输和安装条件，数字信息的传递则有助于衔接各环节要求。减少湿作业和建筑垃圾、改善资源利用是该方向的重要目标，但具体环境收益仍受材料、运输和施工组织影响，需独立评价资料支持。</w:t>
      </w:r>
    </w:p>
    <w:p xmlns:w="http://schemas.openxmlformats.org/wordprocessingml/2006/main">
      <w:pPr>
        <w:spacing w:line="480" w:lineRule="auto"/>
        <w:ind w:firstLine="480" w:firstLineChars="200"/>
        <w:rPr>
          <w:rFonts w:ascii="宋体" w:hAnsi="宋体" w:eastAsia="宋体"/>
          <w:sz w:val="24"/>
          <w:szCs w:val="24"/>
        </w:rPr>
      </w:pPr>
      <w:r>
        <w:t xml:space="preserve">主题8“建筑规模增材制造”包含打印、混凝土、材料、结构和成型，以混凝土3D打印建筑技术作为典型方向。其技术特征是通过材料逐层堆积形成构件，将几何表达、打印路径与材料性能相联系。相较于依赖固定模具的成型方式，该方向为定制化形态提供了工艺选择，同时对可打印性、层间连接及结构性能提出要求。主题中的“建筑规模”指研究对象和工艺应用方向，实际制造尺度、连续作业能力与批量生产水平应由相应技术记录判定。</w:t>
      </w:r>
    </w:p>
    <w:p xmlns:w="http://schemas.openxmlformats.org/wordprocessingml/2006/main">
      <w:pPr>
        <w:spacing w:line="480" w:lineRule="auto"/>
        <w:ind w:firstLine="480" w:firstLineChars="200"/>
        <w:rPr>
          <w:rFonts w:ascii="宋体" w:hAnsi="宋体" w:eastAsia="宋体"/>
          <w:sz w:val="24"/>
          <w:szCs w:val="24"/>
        </w:rPr>
      </w:pPr>
      <w:r>
        <w:t xml:space="preserve">主题9“模块化与可重构设计”围绕模块、重构、混合和分析展开，典型内容为模块化应急避难所技术。其重点是以标准模块和连接关系组织空间，使组装、拆卸及功能调整具有可操作的基础。应急救援、临时设施与使用功能经常变化的建筑，为讨论模块复用和快速部署提供场景。模块化并非仅将建筑划分为若干单元，其工程价值还与单元之间的接口、结构关系及重组约束有关，这也使其与参数化设计和装配式建造具有潜在联系。</w:t>
      </w:r>
    </w:p>
    <w:p xmlns:w="http://schemas.openxmlformats.org/wordprocessingml/2006/main">
      <w:pPr>
        <w:spacing w:line="480" w:lineRule="auto"/>
        <w:ind w:firstLine="480" w:firstLineChars="200"/>
        <w:rPr>
          <w:rFonts w:ascii="宋体" w:hAnsi="宋体" w:eastAsia="宋体"/>
          <w:sz w:val="24"/>
          <w:szCs w:val="24"/>
        </w:rPr>
      </w:pPr>
      <w:r>
        <w:t xml:space="preserve">九类主题共同覆盖设计表达、知识处理、实体生产与施工协同，但分布具有相互交叉的特点。原分析将这些方向与《“十四五”建筑业发展规划》等政策任务相对照，可作为理解研究问题背景的补充；政策方向相近并不直接检验主题划分的准确性。具体主题仍以文本内容、代表词和样本对应为基础，在此基础上分析关联结构，才能将工程上的功能联系与模型中的语义相似性区别开来。[待补充：各主题样本量、代表专利和人工命名依据，以及政策对应条文原文。]</w:t>
      </w:r>
    </w:p>
    <w:p xmlns:w="http://schemas.openxmlformats.org/wordprocessingml/2006/main">
      <w:pPr>
        <w:pStyle w:val="3"/>
        <w:numPr>
          <w:numId w:val="0"/>
        </w:numPr>
      </w:pPr>
      <w:r>
        <w:t xml:space="preserve">4.4 关键技术主题的动态演化与协同关系</w:t>
      </w:r>
    </w:p>
    <w:p xmlns:w="http://schemas.openxmlformats.org/wordprocessingml/2006/main">
      <w:pPr>
        <w:pStyle w:val="4"/>
        <w:numPr>
          <w:numId w:val="0"/>
        </w:numPr>
      </w:pPr>
      <w:r>
        <w:t xml:space="preserve">4.4.1 关键技术主题的阶段演化路径</w:t>
      </w:r>
    </w:p>
    <w:p xmlns:w="http://schemas.openxmlformats.org/wordprocessingml/2006/main">
      <w:pPr>
        <w:spacing w:line="480" w:lineRule="auto"/>
        <w:ind w:firstLine="480" w:firstLineChars="200"/>
        <w:rPr>
          <w:rFonts w:ascii="宋体" w:hAnsi="宋体" w:eastAsia="宋体"/>
          <w:sz w:val="24"/>
          <w:szCs w:val="24"/>
        </w:rPr>
      </w:pPr>
      <w:r>
        <w:t xml:space="preserve">关键技术主题的动态演化以同一技术对象在不同阶段的可比变化为基础。网络部分已经提供分类节点的阶段轨迹，主题部分则将阶段2与阶段3选取的专利合并为926件文本进行内容识别，因此两类结果具有不同的时间分辨率。当前能够直接观察的是IPC节点影响力的变化和汇总文本中的主题内涵；逐阶段主题规模、主题内部语义转移及其发生时间尚缺少文档级记录。本节据此区分已观测的结构路径与由主题内容形成的功能解释，使二者在共同对象上衔接。</w:t>
      </w:r>
    </w:p>
    <w:p xmlns:w="http://schemas.openxmlformats.org/wordprocessingml/2006/main">
      <w:pPr>
        <w:spacing w:line="480" w:lineRule="auto"/>
        <w:ind w:firstLine="480" w:firstLineChars="200"/>
        <w:rPr>
          <w:rFonts w:ascii="宋体" w:hAnsi="宋体" w:eastAsia="宋体"/>
          <w:sz w:val="24"/>
          <w:szCs w:val="24"/>
        </w:rPr>
      </w:pPr>
      <w:r>
        <w:t xml:space="preserve">机器人方向体现了由较少组合联系向多类作业关联扩展的结构路径。B25J-011在三个窗口中的度中心度和接近中心度连续提高，说明其在样本中的关系范围与可达性发生变化；机器人主题包含机构、驱动、移动和协同等内容，为这一变化提供了从执行能力到共同作业组织的解释线索。结合构件生产、幕墙安装及质量检测等任务，可以讨论机器人与感知、设计表达和控制之间的依赖关系，但现有文本汇总尚不足以确定“单机—协同”转变发生在哪一阶段，也不能计算集群技术在各阶段的占比。</w:t>
      </w:r>
    </w:p>
    <w:p xmlns:w="http://schemas.openxmlformats.org/wordprocessingml/2006/main">
      <w:pPr>
        <w:spacing w:line="480" w:lineRule="auto"/>
        <w:ind w:firstLine="480" w:firstLineChars="200"/>
        <w:rPr>
          <w:rFonts w:ascii="宋体" w:hAnsi="宋体" w:eastAsia="宋体"/>
          <w:sz w:val="24"/>
          <w:szCs w:val="24"/>
        </w:rPr>
      </w:pPr>
      <w:r>
        <w:t xml:space="preserve">设计计算与智能分析方向呈现后两阶段关联范围扩展的路径。G06F-030和G06N-003的多个指标共同提高，与参数化与生成式设计、智能规范审查及建筑工程大模型等主题所涉及的信息处理能力具有解释联系。设计对象的参数表达为方案生成提供基础，约束表示使方案能够接受评价，行业知识处理则支持更复杂的任务描述。三者构成可讨论的功能递进关系，其历史形成次序仍需按年份排列的专利文本验证，不能由当期主题名称的排列顺序推出。</w:t>
      </w:r>
    </w:p>
    <w:p xmlns:w="http://schemas.openxmlformats.org/wordprocessingml/2006/main">
      <w:pPr>
        <w:spacing w:line="480" w:lineRule="auto"/>
        <w:ind w:firstLine="480" w:firstLineChars="200"/>
        <w:rPr>
          <w:rFonts w:ascii="宋体" w:hAnsi="宋体" w:eastAsia="宋体"/>
          <w:sz w:val="24"/>
          <w:szCs w:val="24"/>
        </w:rPr>
      </w:pPr>
      <w:r>
        <w:t xml:space="preserve">增材制造方向的演化表现为连接角色的调整。B33Y-070在后两阶段的度中心度下降而中介中心度提高，说明其参与关系的相对广度和桥接作用并未同步变化。建筑规模增材制造主题所涉及的材料、结构与成型，为解释其连接不同知识组合提供了内容依据。若增材制造逐步面向具体构件和施工条件形成适配，可能出现联系集中而跨类作用增强的现象；当前指标支持该类解释的提出，尚不能判定其唯一成因。材料性能、工艺稳定性和结构验证应作为后续研判中的条件，而非由桥接增强直接推定的既有成绩。</w:t>
      </w:r>
    </w:p>
    <w:p xmlns:w="http://schemas.openxmlformats.org/wordprocessingml/2006/main">
      <w:pPr>
        <w:spacing w:line="480" w:lineRule="auto"/>
        <w:ind w:firstLine="480" w:firstLineChars="200"/>
        <w:rPr>
          <w:rFonts w:ascii="宋体" w:hAnsi="宋体" w:eastAsia="宋体"/>
          <w:sz w:val="24"/>
          <w:szCs w:val="24"/>
        </w:rPr>
      </w:pPr>
      <w:r>
        <w:t xml:space="preserve">传感测量与定位感知方向则说明，参与范围扩大可以伴随不同的中介变化。G01B-011在阶段2的相对连接广度下降后于阶段3回升，G01S-017在后两阶段增加直接联系而降低中介中心度。数字孪生与机器人主题所依赖的现场状态和空间信息，为这些技术提供共同的应用解释，但两类轨迹不能归并为完全相同的扩散路径。对某项技术而言，进入更多方案和成为跨类桥梁分别代表不同作用；在第五章提出发展命题时，需要保留这种差异，避免把所有方向统一预测为持续走向网络核心。</w:t>
      </w:r>
    </w:p>
    <w:p xmlns:w="http://schemas.openxmlformats.org/wordprocessingml/2006/main">
      <w:pPr>
        <w:spacing w:line="480" w:lineRule="auto"/>
        <w:ind w:firstLine="480" w:firstLineChars="200"/>
        <w:rPr>
          <w:rFonts w:ascii="宋体" w:hAnsi="宋体" w:eastAsia="宋体"/>
          <w:sz w:val="24"/>
          <w:szCs w:val="24"/>
        </w:rPr>
      </w:pPr>
      <w:r>
        <w:t xml:space="preserve">从节点演化进入主题演化，还需要将主题标签与专利年份保持逐条对应。对于统一主题定义下的阶段比较，阶段主题强度可表达为该阶段归入某主题的有效文档数占该阶段有效主题样本文档总数的比例，并同步保留分子、分母与绝对数量。如此得到的强度描述的是筛选样本内部的相对构成，不能直接作为全部5926件专利的技术份额。若出现噪声文档、重复专利或多主题归属，应明确其是否进入分母及如何计数，避免统计规则变化形成表面趋势。</w:t>
      </w:r>
    </w:p>
    <w:p xmlns:w="http://schemas.openxmlformats.org/wordprocessingml/2006/main">
      <w:pPr>
        <w:spacing w:line="480" w:lineRule="auto"/>
        <w:ind w:firstLine="480" w:firstLineChars="200"/>
        <w:rPr>
          <w:rFonts w:ascii="宋体" w:hAnsi="宋体" w:eastAsia="宋体"/>
          <w:sz w:val="24"/>
          <w:szCs w:val="24"/>
        </w:rPr>
      </w:pPr>
      <w:r>
        <w:t xml:space="preserve">语义变化的判断进一步依赖阶段代表词与代表专利的对应。保持统一主题定义有助于追踪同一对象，而各阶段分别拟合模型时，同一编号未必对应相同技术，必须通过文档内容与主题表示重新对齐。主题强度增加也可能只反映某类应用场景进入样本，其含义需由阶段文本解释。在现有材料范围内，主题强度、阶段代表词及语义迁移均保留为未独立验证的分析项，网络轨迹作为已知动态证据进入后续证据包。[待补充：926件专利的唯一标识、申请与公开年份、IPC集合、主题标签、噪声标签，以及各阶段主题频数、代表词和代表文本；如采用分阶段独立模型，还需主题对齐记录。]</w:t>
      </w:r>
    </w:p>
    <w:p xmlns:w="http://schemas.openxmlformats.org/wordprocessingml/2006/main">
      <w:pPr>
        <w:spacing w:line="480" w:lineRule="auto"/>
        <w:ind w:firstLine="480" w:firstLineChars="200"/>
        <w:rPr>
          <w:rFonts w:ascii="宋体" w:hAnsi="宋体" w:eastAsia="宋体"/>
          <w:sz w:val="24"/>
          <w:szCs w:val="24"/>
        </w:rPr>
      </w:pPr>
      <w:r>
        <w:t xml:space="preserve">[图4-5 关键技术主题分阶段强度与语义演化图（待补充逐专利时间—主题映射后绘制并插入）]</w:t>
      </w:r>
    </w:p>
    <w:p xmlns:w="http://schemas.openxmlformats.org/wordprocessingml/2006/main">
      <w:pPr>
        <w:pStyle w:val="4"/>
        <w:numPr>
          <w:numId w:val="0"/>
        </w:numPr>
      </w:pPr>
      <w:r>
        <w:t xml:space="preserve">4.4.2 技术主题间的关联与知识组合</w:t>
      </w:r>
    </w:p>
    <w:p xmlns:w="http://schemas.openxmlformats.org/wordprocessingml/2006/main">
      <w:pPr>
        <w:spacing w:line="480" w:lineRule="auto"/>
        <w:ind w:firstLine="480" w:firstLineChars="200"/>
        <w:rPr>
          <w:rFonts w:ascii="宋体" w:hAnsi="宋体" w:eastAsia="宋体"/>
          <w:sz w:val="24"/>
          <w:szCs w:val="24"/>
        </w:rPr>
      </w:pPr>
      <w:r>
        <w:t xml:space="preserve">为观察不同主题的内容侧重，原分析构建了九个主题与十八项技术词语之间的关联热力图，如图4-6所示。图中以0—1范围内的加权数值表达主题与所列词语之间的关系。该数值来自文本表示，其解释对象是相应词语在主题中的关联权重；主题间的工程协同、技术成熟度和融合概率属于不同问题，应结合专利内容及关系证据讨论。原图将权重标注为TF-IDF，其归一化方式及与BERTopic中c-TF-IDF表示的对应关系尚待原矩阵说明。</w:t>
      </w:r>
    </w:p>
    <w:p xmlns:w="http://schemas.openxmlformats.org/wordprocessingml/2006/main">
      <w:pPr>
        <w:spacing w:line="480" w:lineRule="auto"/>
        <w:ind w:firstLine="480" w:firstLineChars="200"/>
        <w:rPr>
          <w:rFonts w:ascii="宋体" w:hAnsi="宋体" w:eastAsia="宋体"/>
          <w:sz w:val="24"/>
          <w:szCs w:val="24"/>
        </w:rPr>
      </w:pPr>
      <w:r>
        <w:t xml:space="preserve">[图4-6 智能建造专利主题—技术关键词关联热力图（待插入）]</w:t>
      </w:r>
    </w:p>
    <w:p xmlns:w="http://schemas.openxmlformats.org/wordprocessingml/2006/main">
      <w:pPr>
        <w:spacing w:line="480" w:lineRule="auto"/>
        <w:ind w:firstLine="480" w:firstLineChars="200"/>
        <w:rPr>
          <w:rFonts w:ascii="宋体" w:hAnsi="宋体" w:eastAsia="宋体"/>
          <w:sz w:val="24"/>
          <w:szCs w:val="24"/>
        </w:rPr>
      </w:pPr>
      <w:r>
        <w:t xml:space="preserve">图4-6中，主题2与参数化生成相关词语的权重为1.00，与BIM和数字孪生的权重分别为0.63和0.34，表明其表示同时包含设计规则、模型表达及状态映射等内容。主题4与数字孪生的权重为1.00，与智能施工、施工监测及装配式相关词语的权重分别为0.63、0.56和0.44，体现施工状态获取与过程组织之间的语义联系。上述结果为设计与施工主题的内容差异提供了描述，但词语共同出现尚需通过具体方案说明其功能配合方式。</w:t>
      </w:r>
    </w:p>
    <w:p xmlns:w="http://schemas.openxmlformats.org/wordprocessingml/2006/main">
      <w:pPr>
        <w:spacing w:line="480" w:lineRule="auto"/>
        <w:ind w:firstLine="480" w:firstLineChars="200"/>
        <w:rPr>
          <w:rFonts w:ascii="宋体" w:hAnsi="宋体" w:eastAsia="宋体"/>
          <w:sz w:val="24"/>
          <w:szCs w:val="24"/>
        </w:rPr>
      </w:pPr>
      <w:r>
        <w:t xml:space="preserve">主题3与机器人、主题7与装配式、主题8与打印的权重均为1.00，说明这些词语在相应主题表示中具有突出的作用。主题8与装配式的权重为0.17，可作为增材制造和构件生产之间存在内容联系的线索。主题1与BIM、参数化生成和装配式的权重分别为0.64、0.56和0.21，较符合协同平台连接不同工程环节的解释。主题9与大数据、BIM、施工监测和数字孪生的权重分别为0.56、0.25、0.19和0.11，其内容表示比“模块化与可重构设计”的命名更为宽泛，需结合代表文档进一步解释。</w:t>
      </w:r>
    </w:p>
    <w:p xmlns:w="http://schemas.openxmlformats.org/wordprocessingml/2006/main">
      <w:pPr>
        <w:spacing w:line="480" w:lineRule="auto"/>
        <w:ind w:firstLine="480" w:firstLineChars="200"/>
        <w:rPr>
          <w:rFonts w:ascii="宋体" w:hAnsi="宋体" w:eastAsia="宋体"/>
          <w:sz w:val="24"/>
          <w:szCs w:val="24"/>
        </w:rPr>
      </w:pPr>
      <w:r>
        <w:t xml:space="preserve">图中主题6与建筑大模型的权重为0.63，因此部分技术列出现零值并不支持将大模型整体概括为缺乏关联。主题5与大数据、虚拟现实的权重分别为0.35和0.18，而其“智能规范审查”命名依据的代表词与图中词表并非完全对应。这一差异提示，人工选择的技术词语未必覆盖主题的主要语义，主题名称也可能概括了较宽的文本内容。对区块链、虚拟现实等列出现的较低值或零值，应理解为当前词表及权重表示下的结果，不据此判断相关技术在产业中是否存在或处于何种成熟阶段。[待补充：热力图原始矩阵、词语选择与归一化规则，以及主题5、主题9命名对应的代表文档。]</w:t>
      </w:r>
    </w:p>
    <w:p xmlns:w="http://schemas.openxmlformats.org/wordprocessingml/2006/main">
      <w:pPr>
        <w:spacing w:line="480" w:lineRule="auto"/>
        <w:ind w:firstLine="480" w:firstLineChars="200"/>
        <w:rPr>
          <w:rFonts w:ascii="宋体" w:hAnsi="宋体" w:eastAsia="宋体"/>
          <w:sz w:val="24"/>
          <w:szCs w:val="24"/>
        </w:rPr>
      </w:pPr>
      <w:r>
        <w:t xml:space="preserve">主题层次聚类进一步观察主题表示之间的相似关系，结果如图4-7所示。原分析以主题词分布的余弦距离说明主题差异，通过逐步合并形成层次结构。树中合并顺序为讨论语义接近程度提供依据，而分组结果取决于截断位置及聚合方法。由于尚未提供完整距离矩阵与连接方法，本章依据图示讨论相对结构，合并高度采用近似值，不将其解释为工程系统之间的物理距离或技术融合概率。</w:t>
      </w:r>
    </w:p>
    <w:p xmlns:w="http://schemas.openxmlformats.org/wordprocessingml/2006/main">
      <w:pPr>
        <w:spacing w:line="480" w:lineRule="auto"/>
        <w:ind w:firstLine="480" w:firstLineChars="200"/>
        <w:rPr>
          <w:rFonts w:ascii="宋体" w:hAnsi="宋体" w:eastAsia="宋体"/>
          <w:sz w:val="24"/>
          <w:szCs w:val="24"/>
        </w:rPr>
      </w:pPr>
      <w:r>
        <w:t xml:space="preserve">[图4-7 智能建造专利主题层次聚类图（待插入）]</w:t>
      </w:r>
    </w:p>
    <w:p xmlns:w="http://schemas.openxmlformats.org/wordprocessingml/2006/main">
      <w:pPr>
        <w:spacing w:line="480" w:lineRule="auto"/>
        <w:ind w:firstLine="480" w:firstLineChars="200"/>
        <w:rPr>
          <w:rFonts w:ascii="宋体" w:hAnsi="宋体" w:eastAsia="宋体"/>
          <w:sz w:val="24"/>
          <w:szCs w:val="24"/>
        </w:rPr>
      </w:pPr>
      <w:r>
        <w:t xml:space="preserve">主题2与主题5在约0.9的高度合并，主题9在约1.15的高度加入，构成较紧密的语义子组。结合主题内容，可以将这一关系解释为参数化设计、模块化重构与规范审查之间的功能联系：设计规则产生方案，模块关系组织空间与构造，规范条件约束方案的适用性。以1.2作为图示截断高度时，这三个主题可归入同一子组。因此，“设计—审查协同”具有主题层次结构与功能解释的双重线索，但完整的生成、重构和审查系统是否已经形成，仍需具体方案证据支持。</w:t>
      </w:r>
    </w:p>
    <w:p xmlns:w="http://schemas.openxmlformats.org/wordprocessingml/2006/main">
      <w:pPr>
        <w:spacing w:line="480" w:lineRule="auto"/>
        <w:ind w:firstLine="480" w:firstLineChars="200"/>
        <w:rPr>
          <w:rFonts w:ascii="宋体" w:hAnsi="宋体" w:eastAsia="宋体"/>
          <w:sz w:val="24"/>
          <w:szCs w:val="24"/>
        </w:rPr>
      </w:pPr>
      <w:r>
        <w:t xml:space="preserve">施工相关主题表现为逐层扩展的关联。主题7与主题4在约1.1处合并，主题6约在1.25处加入，主题3约在1.3处加入。以1.2为严格截断高度时，能够归并的是装配式建筑与施工全过程数字孪生两个主题，建筑工程大模型和机器人集群协同尚未进入这一子组。结合主题1和主题8，此时九个主题形成两个多主题子组与四个单独主题，共六组。若在更宽尺度下观察，四者又可以形成“规划辅助—作业执行—状态管控”的功能关联。因此，紧密子组与较宽范围的施工智能化联系应分别表达，避免以同一截断阈值解释不同层级的聚合关系。</w:t>
      </w:r>
    </w:p>
    <w:p xmlns:w="http://schemas.openxmlformats.org/wordprocessingml/2006/main">
      <w:pPr>
        <w:spacing w:line="480" w:lineRule="auto"/>
        <w:ind w:firstLine="480" w:firstLineChars="200"/>
        <w:rPr>
          <w:rFonts w:ascii="宋体" w:hAnsi="宋体" w:eastAsia="宋体"/>
          <w:sz w:val="24"/>
          <w:szCs w:val="24"/>
        </w:rPr>
      </w:pPr>
      <w:r>
        <w:t xml:space="preserve">主题1和主题8在1.2高度下均保持独立，在约1.34附近开始合并。多专业协同平台跨越设计、生产和施工的信息组织，增材制造则侧重材料与成型工艺，两者的主题表示与前述较紧密子组存在差异。这里的独立性指给定表示与阈值下尚未合并，并不表示其与其他技术缺少工程联系。协同平台可以为制造信息传递提供条件，增材制造也可以进入装配式构件生产，具体关系应从功能和专利方案继续解释。</w:t>
      </w:r>
    </w:p>
    <w:p xmlns:w="http://schemas.openxmlformats.org/wordprocessingml/2006/main">
      <w:pPr>
        <w:spacing w:line="480" w:lineRule="auto"/>
        <w:ind w:firstLine="480" w:firstLineChars="200"/>
        <w:rPr>
          <w:rFonts w:ascii="宋体" w:hAnsi="宋体" w:eastAsia="宋体"/>
          <w:sz w:val="24"/>
          <w:szCs w:val="24"/>
        </w:rPr>
      </w:pPr>
      <w:r>
        <w:t xml:space="preserve">层次结构由此呈现不同尺度的语义组织：较紧密的设计与审查联系、由装配式与数字孪生扩展出的施工关联，以及在较高合并位置连接的协同平台和增材制造。原图所示合并高度与既有分析近似描述总体对应，但节点合并矩阵和距离实现仍决定精确分组。本文将其用于解释主题的相对接近关系，保留不同截断条件下的差异。[待补充：主题距离矩阵、层次聚类连接方法、合并矩阵及精确高度；原图读值为近似值。]</w:t>
      </w:r>
    </w:p>
    <w:p xmlns:w="http://schemas.openxmlformats.org/wordprocessingml/2006/main">
      <w:pPr>
        <w:pStyle w:val="4"/>
        <w:numPr>
          <w:numId w:val="0"/>
        </w:numPr>
      </w:pPr>
      <w:r>
        <w:t xml:space="preserve">4.4.3 技术协同关系及其工程功能</w:t>
      </w:r>
    </w:p>
    <w:p xmlns:w="http://schemas.openxmlformats.org/wordprocessingml/2006/main">
      <w:pPr>
        <w:spacing w:line="480" w:lineRule="auto"/>
        <w:ind w:firstLine="480" w:firstLineChars="200"/>
        <w:rPr>
          <w:rFonts w:ascii="宋体" w:hAnsi="宋体" w:eastAsia="宋体"/>
          <w:sz w:val="24"/>
          <w:szCs w:val="24"/>
        </w:rPr>
      </w:pPr>
      <w:r>
        <w:t xml:space="preserve">网络轨迹反映技术类别在关系结构中的变化，主题关联则说明不同工程内容的接近与互补。将两者联系起来，技术协同的分析可以进一步落实到设计、生产和施工任务之间的信息传递及功能配合。由此形成的接口条件，为下一章提出发展命题提供工程依据，其可行性仍需具体方案与应用记录支持。</w:t>
      </w:r>
    </w:p>
    <w:p xmlns:w="http://schemas.openxmlformats.org/wordprocessingml/2006/main">
      <w:pPr>
        <w:spacing w:line="480" w:lineRule="auto"/>
        <w:ind w:firstLine="480" w:firstLineChars="200"/>
        <w:rPr>
          <w:rFonts w:ascii="宋体" w:hAnsi="宋体" w:eastAsia="宋体"/>
          <w:sz w:val="24"/>
          <w:szCs w:val="24"/>
        </w:rPr>
      </w:pPr>
      <w:r>
        <w:t xml:space="preserve">协同关系的工程意义取决于输入与输出是否能够在技术之间传递。设计—审查联系中，参数化模型输出几何与属性信息，规范审查需要将这些信息对应到适用条文和判断条件，模块化重构则要求修改结果仍满足接口与结构约束。若各环节使用的对象定义不一致，即使主题语义接近，也难以形成可执行的方案迭代。由此，主题2、主题5和主题9的紧密联系适合支持对共同信息对象与约束表达的研究，而非直接证明一体化设计系统已经建立。</w:t>
      </w:r>
    </w:p>
    <w:p xmlns:w="http://schemas.openxmlformats.org/wordprocessingml/2006/main">
      <w:pPr>
        <w:spacing w:line="480" w:lineRule="auto"/>
        <w:ind w:firstLine="480" w:firstLineChars="200"/>
        <w:rPr>
          <w:rFonts w:ascii="宋体" w:hAnsi="宋体" w:eastAsia="宋体"/>
          <w:sz w:val="24"/>
          <w:szCs w:val="24"/>
        </w:rPr>
      </w:pPr>
      <w:r>
        <w:t xml:space="preserve">施工相关联系需要进一步处理数字信息与实体作业之间的转换。数字孪生侧重状态表达与过程反馈，机器人侧重动作执行，装配式技术侧重构件与工序组织，大模型辅助侧重知识处理与任务表达。它们在工程上具有互补性，但任务规划能否转换为现场可执行动作，还涉及装备能力、施工空间、安全约束和状态更新。现有层次结构反映内容接近程度，功能分析据此提出需要验证的接口关系，从而把“可能协同”的判断落实为第五章可审查的发展命题。</w:t>
      </w:r>
    </w:p>
    <w:p xmlns:w="http://schemas.openxmlformats.org/wordprocessingml/2006/main">
      <w:pPr>
        <w:spacing w:line="480" w:lineRule="auto"/>
        <w:ind w:firstLine="480" w:firstLineChars="200"/>
        <w:rPr>
          <w:rFonts w:ascii="宋体" w:hAnsi="宋体" w:eastAsia="宋体"/>
          <w:sz w:val="24"/>
          <w:szCs w:val="24"/>
        </w:rPr>
      </w:pPr>
      <w:r>
        <w:t xml:space="preserve">协同平台和增材制造处于不同的功能层次。前者组织跨专业信息，其联系可以覆盖多个主题；后者围绕材料成型形成较具体的技术约束，需要与设计、构件制造及现场安装衔接。热图或层次树中的相对独立性不削弱这种工程联系，而是说明当前文本表示对其内容重点的区分。对这类对象，发展研判应关注何种信息、工艺和验证条件能够支持联系建立，避免用语义距离直接确定技术融合的优先级。</w:t>
      </w:r>
    </w:p>
    <w:p xmlns:w="http://schemas.openxmlformats.org/wordprocessingml/2006/main">
      <w:pPr>
        <w:pStyle w:val="3"/>
        <w:numPr>
          <w:numId w:val="0"/>
        </w:numPr>
      </w:pPr>
      <w:r>
        <w:t xml:space="preserve">4.5 识别结果验证与研判输入构建</w:t>
      </w:r>
    </w:p>
    <w:p xmlns:w="http://schemas.openxmlformats.org/wordprocessingml/2006/main">
      <w:pPr>
        <w:pStyle w:val="4"/>
        <w:numPr>
          <w:numId w:val="0"/>
        </w:numPr>
      </w:pPr>
      <w:r>
        <w:t xml:space="preserve">4.5.1 网络识别结果与语义主题的交叉验证</w:t>
      </w:r>
    </w:p>
    <w:p xmlns:w="http://schemas.openxmlformats.org/wordprocessingml/2006/main">
      <w:pPr>
        <w:spacing w:line="480" w:lineRule="auto"/>
        <w:ind w:firstLine="480" w:firstLineChars="200"/>
        <w:rPr>
          <w:rFonts w:ascii="宋体" w:hAnsi="宋体" w:eastAsia="宋体"/>
          <w:sz w:val="24"/>
          <w:szCs w:val="24"/>
        </w:rPr>
      </w:pPr>
      <w:r>
        <w:t xml:space="preserve">识别结果的检验应与证据类型对应。网络指标说明分类节点的结构位置，主题结果说明文本集合的技术内容，二者的一致性能够支持工程解释；完整的技术效果仍需独立应用数据。本节选择机器人、增材制造和测量设计相关技术进行对照，考察指标轨迹能否与主题中的功能联系相互解释，同时利用阈值与分组差异检验结论边界。现有材料支持内部一致性分析，尚未形成专家评价、外部样本或工程性能的独立验证。</w:t>
      </w:r>
    </w:p>
    <w:p xmlns:w="http://schemas.openxmlformats.org/wordprocessingml/2006/main">
      <w:pPr>
        <w:spacing w:line="480" w:lineRule="auto"/>
        <w:ind w:firstLine="480" w:firstLineChars="200"/>
        <w:rPr>
          <w:rFonts w:ascii="宋体" w:hAnsi="宋体" w:eastAsia="宋体"/>
          <w:sz w:val="24"/>
          <w:szCs w:val="24"/>
        </w:rPr>
      </w:pPr>
      <w:r>
        <w:t xml:space="preserve">B25J-011在三个阶段的度中心度持续提高，中介中心度由0转为较高水平，与机器人主题从机构和驱动延伸至移动及协同的内容具有一致的功能方向。第三章列示的施工机器人涉及砌筑、安装和测量等任务，也为作业范围的多样性提供背景。上述证据共同支持将机器人作为关键技术方向进一步分析，但网络节点对应的是分类类别，主题3对应的是926件文本中的一个集合，两者精确重叠的样本尚待逐项映射确认。因此，其一致性主要体现为方向上的相互解释，而非主题覆盖率的定量验证。</w:t>
      </w:r>
    </w:p>
    <w:p xmlns:w="http://schemas.openxmlformats.org/wordprocessingml/2006/main">
      <w:pPr>
        <w:spacing w:line="480" w:lineRule="auto"/>
        <w:ind w:firstLine="480" w:firstLineChars="200"/>
        <w:rPr>
          <w:rFonts w:ascii="宋体" w:hAnsi="宋体" w:eastAsia="宋体"/>
          <w:sz w:val="24"/>
          <w:szCs w:val="24"/>
        </w:rPr>
      </w:pPr>
      <w:r>
        <w:t xml:space="preserve">B33Y-070的桥接作用增强，与建筑规模增材制造主题连接材料、结构和成型工艺的内容相呼应。其度中心度从0.1257降至0.0951又为单向增长假设提供了反例：相对连接广度下降时，中介作用仍可能提高。结合第三章所列建筑打印技术，这一方向适合从材料—成型—构件任务的关系解释，而不将某一个指标的上升直接转化为产业化判断。该案例说明，多指标比较可以保留技术角色变化的差异，从而提高结果解释的细致程度。</w:t>
      </w:r>
    </w:p>
    <w:p xmlns:w="http://schemas.openxmlformats.org/wordprocessingml/2006/main">
      <w:pPr>
        <w:spacing w:line="480" w:lineRule="auto"/>
        <w:ind w:firstLine="480" w:firstLineChars="200"/>
        <w:rPr>
          <w:rFonts w:ascii="宋体" w:hAnsi="宋体" w:eastAsia="宋体"/>
          <w:sz w:val="24"/>
          <w:szCs w:val="24"/>
        </w:rPr>
      </w:pPr>
      <w:r>
        <w:t xml:space="preserve">G01B-011的后期连接范围和中介作用增强，与施工监测、数字孪生及机器人定位所需的状态信息具有功能联系。其阶段2度中心度曾下降，说明技术在整体网络中的相对位置可能受到网络扩展与组合变化的共同影响。G06F-030则在阶段2到阶段3表现出度中心度、中介中心度和接近中心度共同提高，与参数化设计及模型表达的主题内容相互呼应。两类方向分别提供测量状态和数字表达，能够为分析“感知—表达—执行”之间的联系提供对象，但闭环性能与控制精度仍需系统级证据。</w:t>
      </w:r>
    </w:p>
    <w:p xmlns:w="http://schemas.openxmlformats.org/wordprocessingml/2006/main">
      <w:pPr>
        <w:pStyle w:val="4"/>
        <w:numPr>
          <w:numId w:val="0"/>
        </w:numPr>
      </w:pPr>
      <w:r>
        <w:t xml:space="preserve">4.5.2 关键技术识别结果的稳健性与适用边界</w:t>
      </w:r>
    </w:p>
    <w:p xmlns:w="http://schemas.openxmlformats.org/wordprocessingml/2006/main">
      <w:pPr>
        <w:spacing w:line="480" w:lineRule="auto"/>
        <w:ind w:firstLine="480" w:firstLineChars="200"/>
        <w:rPr>
          <w:rFonts w:ascii="宋体" w:hAnsi="宋体" w:eastAsia="宋体"/>
          <w:sz w:val="24"/>
          <w:szCs w:val="24"/>
        </w:rPr>
      </w:pPr>
      <w:r>
        <w:t xml:space="preserve">补充的IPC网络计算记录允许对已报告指标开展算术复核。三个阶段分别包含75、518和979行互不重复的IPC记录；按全部已列记录求均值，阶段1度中心度、中介中心度和接近中心度约为0.041436、0.012453和0.117519，阶段2分别约为0.013924、0.003966和0.228734，阶段3分别约为0.012089、0.002082和0.288949。这些数值来自所提供计算表的汇总，不是由原始专利及边表重新计算网络得到的结果。</w:t>
      </w:r>
    </w:p>
    <w:p xmlns:w="http://schemas.openxmlformats.org/wordprocessingml/2006/main">
      <w:pPr>
        <w:spacing w:line="480" w:lineRule="auto"/>
        <w:ind w:firstLine="480" w:firstLineChars="200"/>
        <w:rPr>
          <w:rFonts w:ascii="宋体" w:hAnsi="宋体" w:eastAsia="宋体"/>
          <w:sz w:val="24"/>
          <w:szCs w:val="24"/>
        </w:rPr>
      </w:pPr>
      <w:r>
        <w:t xml:space="preserve">复核值与既有分析阶段1采用的0.032、0.018和0.165存在差异，阶段3中介中心度的全表均值也与原文援引的0.019不同。差异可能涉及节点筛除、连通范围或报告版本，但现有材料尚不能确定原因。因此，本章没有用复核均值直接替换原筛选阈值，而是将表中逐节点指标作为可追踪事实，保留候选筛选需进一步统一口径的限制。这一处理也影响926件主题样本的来源核验：在明确筛选范围前，其规模可作为原分析报告值保留，筛选过程的可复现性仍需清单与规则支撑。</w:t>
      </w:r>
    </w:p>
    <w:p xmlns:w="http://schemas.openxmlformats.org/wordprocessingml/2006/main">
      <w:pPr>
        <w:spacing w:line="480" w:lineRule="auto"/>
        <w:ind w:firstLine="480" w:firstLineChars="200"/>
        <w:rPr>
          <w:rFonts w:ascii="宋体" w:hAnsi="宋体" w:eastAsia="宋体"/>
          <w:sz w:val="24"/>
          <w:szCs w:val="24"/>
        </w:rPr>
      </w:pPr>
      <w:r>
        <w:t xml:space="preserve">逐项对照既有分析三张阶段指标表与补充计算记录，30条节点记录中有29条能够在相应阶段找到，对应的116个指标值一致。阶段1的G01B-011未出现在补充记录的75个节点中，其早期四项指标仍依据既有分析表格保留，缺行不作零值处理。按图4-1中可辨识的频数标注值汇总为5916件，与5926件总样本相差10件；单类887件、两类1330件与文字报告的累计数量关系则能够对应。该差异需由原始频数表确认，不据图示读值调整总样本量。表间对应与频数核验共同说明，已有结果中可追溯的部分与尚需补齐的部分应保持区分。</w:t>
      </w:r>
    </w:p>
    <w:p xmlns:w="http://schemas.openxmlformats.org/wordprocessingml/2006/main">
      <w:pPr>
        <w:spacing w:line="480" w:lineRule="auto"/>
        <w:ind w:firstLine="480" w:firstLineChars="200"/>
        <w:rPr>
          <w:rFonts w:ascii="宋体" w:hAnsi="宋体" w:eastAsia="宋体"/>
          <w:sz w:val="24"/>
          <w:szCs w:val="24"/>
        </w:rPr>
      </w:pPr>
      <w:r>
        <w:t xml:space="preserve">结合4.2.1的阈值核对和4.4.2的主题关联分析，当前识别结果的限制主要来自筛选口径、文本映射与解释尺度。部分典型节点未满足原文所述的统一早期条件，主题词权重和聚类距离也不能直接表达技术成熟度或工程融合程度。上述差异并不抹去已观察到的指标轨迹，而是要求关键性判断保留具体依据。[待补充：统一版本的网络计算脚本与输入数据、原始IPC分类数量频数表、阶段1的G01B-011记录、阈值及926件专利的生成记录、各主题代表文档与必要的独立核验材料。]</w:t>
      </w:r>
    </w:p>
    <w:p xmlns:w="http://schemas.openxmlformats.org/wordprocessingml/2006/main">
      <w:pPr>
        <w:spacing w:line="480" w:lineRule="auto"/>
        <w:ind w:firstLine="480" w:firstLineChars="200"/>
        <w:rPr>
          <w:rFonts w:ascii="宋体" w:hAnsi="宋体" w:eastAsia="宋体"/>
          <w:sz w:val="24"/>
          <w:szCs w:val="24"/>
        </w:rPr>
      </w:pPr>
      <w:r>
        <w:t xml:space="preserve">稳健性评价与上述内部复核具有不同要求。内部复核检查已报告数值能否对应，稳健性则考察合理改变分析条件后，识别结果是否保持主要特征。网络部分涉及分类粒度、阶段边界、连通分量和候选阈值，主题部分涉及文本范围、嵌入配置、聚类参数及随机性。若同一技术仅在某一特定阈值下入选，其解释应依赖该条件；若不同设置下仍保持相近结构角色，才具有进一步讨论稳定性的依据。当前没有成组重算记录，因此不报告稳定入选率、排名一致性或置信区间。[待补充：控制数据范围的阈值与窗口敏感性分析、网络计算配置、主题模型重复运行记录及其对象对应结果。]</w:t>
      </w:r>
    </w:p>
    <w:p xmlns:w="http://schemas.openxmlformats.org/wordprocessingml/2006/main">
      <w:pPr>
        <w:spacing w:line="480" w:lineRule="auto"/>
        <w:ind w:firstLine="480" w:firstLineChars="200"/>
        <w:rPr>
          <w:rFonts w:ascii="宋体" w:hAnsi="宋体" w:eastAsia="宋体"/>
          <w:sz w:val="24"/>
          <w:szCs w:val="24"/>
        </w:rPr>
      </w:pPr>
      <w:r>
        <w:t xml:space="preserve">这一区分使本章的验证结论保持在可支持的层次。现有表间一致性支持数值转录与来源对应，结构和语义的相互解释支持技术方向的合理性，但均不等同于外部样本上的识别准确率。尤其在主题对应样本尚未完整公开时，网络候选与主题之间的关系只能保持功能层面的解释。潜在关键技术清单由此具有继续观察的价值，其未来地位变化仍属于下一章需要在条件约束下讨论的问题。</w:t>
      </w:r>
    </w:p>
    <w:p xmlns:w="http://schemas.openxmlformats.org/wordprocessingml/2006/main">
      <w:pPr>
        <w:pStyle w:val="4"/>
        <w:numPr>
          <w:numId w:val="0"/>
        </w:numPr>
      </w:pPr>
      <w:r>
        <w:t xml:space="preserve">4.5.3 研判对象筛选与演化证据包构建</w:t>
      </w:r>
    </w:p>
    <w:p xmlns:w="http://schemas.openxmlformats.org/wordprocessingml/2006/main">
      <w:pPr>
        <w:spacing w:line="480" w:lineRule="auto"/>
        <w:ind w:firstLine="480" w:firstLineChars="200"/>
        <w:rPr>
          <w:rFonts w:ascii="宋体" w:hAnsi="宋体" w:eastAsia="宋体"/>
          <w:sz w:val="24"/>
          <w:szCs w:val="24"/>
        </w:rPr>
      </w:pPr>
      <w:r>
        <w:t xml:space="preserve">发展研判的输入应同时保留技术对象、观察结果及其适用范围。仅将九个主题名称传递给大语言模型，会使后续输出更多依赖一般知识，难以判断其是否真正承接了本章的动态分析；仅传递中心度数值，则又缺少技术所面向的工程任务。本文以表4-5的九个主题为主对象，按照其顺序设置T01—T09编号，将主题定义、代表词、典型技术表述与可关联的网络记录组织为同一证据包。这样既保持对象名称稳定，也允许逐条检查发展命题所依据的材料。</w:t>
      </w:r>
    </w:p>
    <w:p xmlns:w="http://schemas.openxmlformats.org/wordprocessingml/2006/main">
      <w:pPr>
        <w:spacing w:line="480" w:lineRule="auto"/>
        <w:ind w:firstLine="480" w:firstLineChars="200"/>
        <w:rPr>
          <w:rFonts w:ascii="宋体" w:hAnsi="宋体" w:eastAsia="宋体"/>
          <w:sz w:val="24"/>
          <w:szCs w:val="24"/>
        </w:rPr>
      </w:pPr>
      <w:r>
        <w:t xml:space="preserve">研判对象的进入条件是具有明确主题内涵和可定位的来源，不能只因名称具有前沿性而入选。九主题作为既有文本分析形成的结果，构成本章的研判对象集合；4.2.3的六类潜在关键技术另以C01—C06保留候选身份及已有指标，不通过改名强行并入九主题。对于其与某主题的关系，应根据具体专利或功能解释分别记录。材料供应、吊装控制、绿色材料、设备接口和地下工程监测等方向因而可以作为后续审查相关场景时的候选背景，但尚不据此增加本章已报告的主题数量。</w:t>
      </w:r>
    </w:p>
    <w:p xmlns:w="http://schemas.openxmlformats.org/wordprocessingml/2006/main">
      <w:pPr>
        <w:spacing w:line="480" w:lineRule="auto"/>
        <w:ind w:firstLine="480" w:firstLineChars="200"/>
        <w:rPr>
          <w:rFonts w:ascii="宋体" w:hAnsi="宋体" w:eastAsia="宋体"/>
          <w:sz w:val="24"/>
          <w:szCs w:val="24"/>
        </w:rPr>
      </w:pPr>
      <w:r>
        <w:t xml:space="preserve">证据包按对象组织身份信息、网络记录、主题证据、关联解释、判断边界与来源。身份信息记录主题编号、名称和定义，数据关联记录主题所属文本集合以及可追踪的IPC和专利标识。时间信息同时保留检索截止日、网络窗口和领域发展背景，并将单项技术自身的生命周期判定设置为独立字段。第三章提供的是智能建造领域的总体发展分析，当缺少某一主题的专利增长序列和独立拟合结果时，不向该主题赋予未经验证的成熟阶段。</w:t>
      </w:r>
    </w:p>
    <w:p xmlns:w="http://schemas.openxmlformats.org/wordprocessingml/2006/main">
      <w:pPr>
        <w:spacing w:line="480" w:lineRule="auto"/>
        <w:ind w:firstLine="480" w:firstLineChars="200"/>
        <w:rPr>
          <w:rFonts w:ascii="宋体" w:hAnsi="宋体" w:eastAsia="宋体"/>
          <w:sz w:val="24"/>
          <w:szCs w:val="24"/>
        </w:rPr>
      </w:pPr>
      <w:r>
        <w:t xml:space="preserve">网络证据保留节点编号、阶段、指标名称、数值和来源位置，使一个节点的不同指标可以共同进入研判。技术与节点之间的联系另设对应状态，区分逐专利映射与工程功能解释。当前B25J-011与机器人主题、B33Y-070与增材制造主题、G06F-030与参数化设计主题之间具有可解释的功能联系，但926件专利的完整映射尚未补齐，因而这些联系只作为候选上下文，不作为已验证的样本归属。没有找到对应节点的主题仍保留文本结果，不以其他主题的指标填补。</w:t>
      </w:r>
    </w:p>
    <w:p xmlns:w="http://schemas.openxmlformats.org/wordprocessingml/2006/main">
      <w:pPr>
        <w:spacing w:line="480" w:lineRule="auto"/>
        <w:ind w:firstLine="480" w:firstLineChars="200"/>
        <w:rPr>
          <w:rFonts w:ascii="宋体" w:hAnsi="宋体" w:eastAsia="宋体"/>
          <w:sz w:val="24"/>
          <w:szCs w:val="24"/>
        </w:rPr>
      </w:pPr>
      <w:r>
        <w:t xml:space="preserve">以T03机器人集群协同为例，主题定义和代表词来自表4-5，B25J-011的三阶段数值来自表4-1至表4-3。证据包据此允许提出“机器人相关分类节点的直接关联范围在样本期内扩展”这一观察，并保留其与集群协同主题之间的功能解释。由于缺少逐专利对应和设备试验资料，尚不能进一步认定“集群协同专利占比持续提高”或“多机协同施工效率已经提升”。将允许判断与不支持判断同时保存，有助于第五章反向审查角色定位由分类层面跨越到具体工程性能的推理问题。</w:t>
      </w:r>
    </w:p>
    <w:p xmlns:w="http://schemas.openxmlformats.org/wordprocessingml/2006/main">
      <w:pPr>
        <w:spacing w:line="480" w:lineRule="auto"/>
        <w:ind w:firstLine="480" w:firstLineChars="200"/>
        <w:rPr>
          <w:rFonts w:ascii="宋体" w:hAnsi="宋体" w:eastAsia="宋体"/>
          <w:sz w:val="24"/>
          <w:szCs w:val="24"/>
        </w:rPr>
      </w:pPr>
      <w:r>
        <w:t xml:space="preserve">T08建筑规模增材制造的处理保留不同指标方向。其候选结构背景是B33Y-070在阶段2到阶段3度中心度由0.1257降至0.0951、中介中心度由0.0349升至0.0532。该记录支持桥接角色调整的讨论，不支持将全部影响力概括为同步增强。后续发展命题若提出其与材料或装配式工艺的进一步协同，应另列相应主题关联、工程条件与竞争解释，而不能把中心度变化直接转换为产业化年份。对于其余主题，同样沿用来源与结论逐项对应的组织方式。</w:t>
      </w:r>
    </w:p>
    <w:p xmlns:w="http://schemas.openxmlformats.org/wordprocessingml/2006/main">
      <w:pPr>
        <w:spacing w:line="480" w:lineRule="auto"/>
        <w:ind w:firstLine="480" w:firstLineChars="200"/>
        <w:rPr>
          <w:rFonts w:ascii="宋体" w:hAnsi="宋体" w:eastAsia="宋体"/>
          <w:sz w:val="24"/>
          <w:szCs w:val="24"/>
        </w:rPr>
      </w:pPr>
      <w:r>
        <w:t xml:space="preserve">主题证据记录代表词、典型技术表述、已报告聚类结果及相关语义联系。阶段样本数、主题占比、语义迁移和单项生命周期在没有真实记录时保留为空，空值表示未知而非数值为零。瓶颈字段也仅接收有来源的观测材料；依据一般工程原理提出的限制条件另作为分析假设保留，不补写为专利样本已经证实的瓶颈。对象间联系注明来源是共现关系、主题权重、层次聚类还是功能解释，避免不同证据在输入组织中失去层次。</w:t>
      </w:r>
    </w:p>
    <w:p xmlns:w="http://schemas.openxmlformats.org/wordprocessingml/2006/main">
      <w:pPr>
        <w:spacing w:line="480" w:lineRule="auto"/>
        <w:ind w:firstLine="480" w:firstLineChars="200"/>
        <w:rPr>
          <w:rFonts w:ascii="宋体" w:hAnsi="宋体" w:eastAsia="宋体"/>
          <w:sz w:val="24"/>
          <w:szCs w:val="24"/>
        </w:rPr>
      </w:pPr>
      <w:r>
        <w:t xml:space="preserve">依照上述规则，本章将现有报告整理为演化证据包初版，包含九个主题对象及可定位的阶段节点记录。其作用是把已经获得的结果和仍然缺失的证据一并转化为可读取、可检查的研究输入，尚未形成覆盖全部主题阶段变化的完整证据集合。主题事实按Q01—Q09记录来源，阶段节点采用包含阶段与IPC编号的证据标识，静态层次关系单独保存。来源记录保留原始材料、表格或段落定位，证据版本随样本映射与动态分析的补充而更新；同一轮研判固定使用同一版本，使命题之间具有一致的事实基础。[待补充：各主题逐专利映射、分阶段主题统计、主题语义变化记录、技术自身生命周期判定及有来源的瓶颈观测。]</w:t>
      </w:r>
    </w:p>
    <w:p xmlns:w="http://schemas.openxmlformats.org/wordprocessingml/2006/main">
      <w:pPr>
        <w:spacing w:line="480" w:lineRule="auto"/>
        <w:ind w:firstLine="480" w:firstLineChars="200"/>
        <w:rPr>
          <w:rFonts w:ascii="宋体" w:hAnsi="宋体" w:eastAsia="宋体"/>
          <w:sz w:val="24"/>
          <w:szCs w:val="24"/>
        </w:rPr>
      </w:pPr>
      <w:r>
        <w:t xml:space="preserve">第五章接收的是这一既有分析成果，不另行生成网络指标或重新赋予主题标签。其输入组织根据研判对象选取有关记录，围绕发展方向、阶段路径和应用条件生成命题，再由审查环节核对证据引用与论断强度。若命题依赖的字段为空，应保留缺失并降低判断强度；如涉及本章尚未证明的节点—主题对应，则须在结论中保留该前提。通过这种分工，第四章承担历史识别与证据形成，第五章承担条件性推演及其评价，两者以同一技术对象和来源关系连续衔接。</w:t>
      </w:r>
    </w:p>
    <w:p xmlns:w="http://schemas.openxmlformats.org/wordprocessingml/2006/main">
      <w:pPr>
        <w:pStyle w:val="3"/>
        <w:numPr>
          <w:numId w:val="0"/>
        </w:numPr>
      </w:pPr>
      <w:r>
        <w:t xml:space="preserve">4.6 本章小结</w:t>
      </w:r>
    </w:p>
    <w:p xmlns:w="http://schemas.openxmlformats.org/wordprocessingml/2006/main">
      <w:pPr>
        <w:spacing w:line="480" w:lineRule="auto"/>
        <w:ind w:firstLine="480" w:firstLineChars="200"/>
        <w:rPr>
          <w:rFonts w:ascii="宋体" w:hAnsi="宋体" w:eastAsia="宋体"/>
          <w:sz w:val="24"/>
          <w:szCs w:val="24"/>
        </w:rPr>
      </w:pPr>
      <w:r>
        <w:t xml:space="preserve">本章在第三章领域发展背景与时间组织的基础上，将专利分类关系、技术节点轨迹和文本主题连接起来，形成智能建造关键技术的识别与动态解释。分阶段IPC网络显示，技术关系随观察窗口扩展而包含更多知识类别，机器人、设计计算与智能分析等方向的关联范围增加，增材制造及定位感知则呈现直接连接和桥接作用不同步变化。关键技术的结构作用因此同时体现为参与范围、连接任务及其跨期调整，不能由单一指标概括为统一的地位跃迁。</w:t>
      </w:r>
    </w:p>
    <w:p xmlns:w="http://schemas.openxmlformats.org/wordprocessingml/2006/main">
      <w:pPr>
        <w:spacing w:line="480" w:lineRule="auto"/>
        <w:ind w:firstLine="480" w:firstLineChars="200"/>
        <w:rPr>
          <w:rFonts w:ascii="宋体" w:hAnsi="宋体" w:eastAsia="宋体"/>
          <w:sz w:val="24"/>
          <w:szCs w:val="24"/>
        </w:rPr>
      </w:pPr>
      <w:r>
        <w:t xml:space="preserve">通过对926件专利题名与摘要的既有分析，本章保留九类技术主题及其工程内涵，并结合主题词权重与层次结构解释设计、审查、生产和施工之间的联系。网络部分提供已经观测的动态轨迹，主题部分说明这些结构线索可关联的技术内容；阶段主题强度和语义变化尚需文档级时间映射支持。典型案例与表间核验进一步明确了指标、阈值和主题解释的适用范围，使潜在发展方向与已经获得的识别结果保持区分。</w:t>
      </w:r>
    </w:p>
    <w:p xmlns:w="http://schemas.openxmlformats.org/wordprocessingml/2006/main">
      <w:pPr>
        <w:spacing w:line="480" w:lineRule="auto"/>
        <w:ind w:firstLine="480" w:firstLineChars="200"/>
        <w:rPr>
          <w:rFonts w:ascii="宋体" w:hAnsi="宋体" w:eastAsia="宋体"/>
          <w:sz w:val="24"/>
          <w:szCs w:val="24"/>
        </w:rPr>
      </w:pPr>
      <w:r>
        <w:t xml:space="preserve">本章按九个主题组织演化证据包初版，将主题定义、阶段节点记录、来源、候选对应关系和判断边界共同传递至下一章。当前证据能够支持对技术结构作用及功能联系的讨论，尚未支持的阶段主题变化、工程成熟程度及瓶颈实证保留为空缺。第五章据此采用多智能体分工和流程约束开展发展研判，在固定历史证据的前提下提出未来命题、检查竞争解释并评价支持程度，使识别结果成为后续预测的具体依据。</w:t>
      </w:r>
    </w:p>
    <w:sectPr xmlns:w="http://schemas.openxmlformats.org/wordprocessingml/2006/main">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 w:val="AF7F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47</Pages>
  <Words>9709</Words>
  <Characters>10195</Characters>
  <Lines>899</Lines>
  <Paragraphs>253</Paragraphs>
  <TotalTime>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2026-09-29T16:13:49Z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