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F3AE8A9">
      <w:pPr>
        <w:jc w:val="center"/>
        <w:rPr>
          <w:rFonts w:ascii="黑体" w:hAnsi="黑体" w:eastAsia="黑体"/>
          <w:sz w:val="44"/>
          <w:szCs w:val="44"/>
        </w:rPr>
      </w:pPr>
      <w:r>
        <w:rPr>
          <w:rFonts w:hint="eastAsia" w:ascii="黑体" w:hAnsi="黑体" w:eastAsia="黑体"/>
          <w:sz w:val="44"/>
          <w:szCs w:val="44"/>
        </w:rPr>
        <w:t>信号失真度测量装置</w:t>
      </w:r>
    </w:p>
    <w:p w14:paraId="2FC97FAC">
      <w:pPr>
        <w:rPr>
          <w:bCs/>
        </w:rPr>
      </w:pPr>
      <w:r>
        <w:rPr>
          <w:rFonts w:hint="eastAsia"/>
          <w:b/>
          <w:bCs/>
        </w:rPr>
        <w:t>摘要：</w:t>
      </w:r>
      <w:r>
        <w:rPr>
          <w:spacing w:val="-2"/>
        </w:rPr>
        <w:t>本设计实现的</w:t>
      </w:r>
      <w:r>
        <w:rPr>
          <w:rFonts w:hint="eastAsia"/>
          <w:spacing w:val="-2"/>
        </w:rPr>
        <w:t>信号失真度测量装置</w:t>
      </w:r>
      <w:r>
        <w:rPr>
          <w:spacing w:val="-2"/>
        </w:rPr>
        <w:t>，可以实现</w:t>
      </w:r>
      <w:r>
        <w:rPr>
          <w:rFonts w:hint="eastAsia"/>
          <w:spacing w:val="-2"/>
        </w:rPr>
        <w:t>对函数/任意波形发生器的周期信号进行采集分析，测得输入信号的总谐波失真T</w:t>
      </w:r>
      <w:r>
        <w:rPr>
          <w:spacing w:val="-2"/>
        </w:rPr>
        <w:t>HD</w:t>
      </w:r>
      <w:r>
        <w:rPr>
          <w:rFonts w:hint="eastAsia"/>
          <w:spacing w:val="-2"/>
        </w:rPr>
        <w:t>，并可在手机上显示测量信息。</w:t>
      </w:r>
      <w:r>
        <w:rPr>
          <w:spacing w:val="-1"/>
        </w:rPr>
        <w:t>系统以</w:t>
      </w:r>
      <w:r>
        <w:rPr>
          <w:rFonts w:eastAsia="Times New Roman"/>
          <w:spacing w:val="-2"/>
        </w:rPr>
        <w:t>MSPM0G3507</w:t>
      </w:r>
      <w:r>
        <w:rPr>
          <w:rFonts w:hint="eastAsia"/>
          <w:spacing w:val="-2"/>
        </w:rPr>
        <w:t>单片机</w:t>
      </w:r>
      <w:r>
        <w:rPr>
          <w:spacing w:val="-7"/>
        </w:rPr>
        <w:t>为核心</w:t>
      </w:r>
      <w:bookmarkStart w:id="12" w:name="_GoBack"/>
      <w:bookmarkEnd w:id="12"/>
      <w:r>
        <w:rPr>
          <w:spacing w:val="-7"/>
        </w:rPr>
        <w:t>，由</w:t>
      </w:r>
      <w:r>
        <w:rPr>
          <w:rFonts w:hint="eastAsia"/>
          <w:spacing w:val="-7"/>
        </w:rPr>
        <w:t>单片机、运算放大器、偏置电路、A</w:t>
      </w:r>
      <w:r>
        <w:rPr>
          <w:spacing w:val="-7"/>
        </w:rPr>
        <w:t>DC</w:t>
      </w:r>
      <w:r>
        <w:rPr>
          <w:rFonts w:hint="eastAsia"/>
          <w:spacing w:val="-7"/>
        </w:rPr>
        <w:t>模块、蓝牙模块</w:t>
      </w:r>
      <w:r>
        <w:rPr>
          <w:rFonts w:hint="eastAsia"/>
          <w:spacing w:val="-2"/>
        </w:rPr>
        <w:t>等</w:t>
      </w:r>
      <w:r>
        <w:rPr>
          <w:spacing w:val="-2"/>
        </w:rPr>
        <w:t>组成。在</w:t>
      </w:r>
      <w:r>
        <w:rPr>
          <w:rFonts w:hint="eastAsia"/>
          <w:spacing w:val="-2"/>
        </w:rPr>
        <w:t>手机上可以显示输入信号的1</w:t>
      </w:r>
      <w:r>
        <w:rPr>
          <w:spacing w:val="-2"/>
        </w:rPr>
        <w:t>-5</w:t>
      </w:r>
      <w:r>
        <w:rPr>
          <w:rFonts w:hint="eastAsia"/>
          <w:spacing w:val="-2"/>
        </w:rPr>
        <w:t>次谐波的归一化幅度以及总谐波失真T</w:t>
      </w:r>
      <w:r>
        <w:rPr>
          <w:spacing w:val="-2"/>
        </w:rPr>
        <w:t>HD</w:t>
      </w:r>
      <w:r>
        <w:rPr>
          <w:rFonts w:hint="eastAsia"/>
          <w:spacing w:val="-2"/>
        </w:rPr>
        <w:t>，并能够显示1个以上周期的波形</w:t>
      </w:r>
      <w:r>
        <w:rPr>
          <w:spacing w:val="-5"/>
        </w:rPr>
        <w:t>。装置可以</w:t>
      </w:r>
      <w:r>
        <w:rPr>
          <w:rFonts w:hint="eastAsia"/>
          <w:spacing w:val="-5"/>
        </w:rPr>
        <w:t>在</w:t>
      </w:r>
      <w:r>
        <w:rPr>
          <w:rFonts w:hint="eastAsia"/>
          <w:spacing w:val="-2"/>
        </w:rPr>
        <w:t>2s</w:t>
      </w:r>
      <w:r>
        <w:rPr>
          <w:rFonts w:hint="eastAsia"/>
          <w:spacing w:val="-5"/>
        </w:rPr>
        <w:t>内实现谐波归一化幅度、总谐波失真T</w:t>
      </w:r>
      <w:r>
        <w:rPr>
          <w:spacing w:val="-5"/>
        </w:rPr>
        <w:t>HD</w:t>
      </w:r>
      <w:r>
        <w:rPr>
          <w:rFonts w:hint="eastAsia"/>
          <w:spacing w:val="-5"/>
        </w:rPr>
        <w:t>以及波形的显示，信号失真度误差小于</w:t>
      </w:r>
      <w:r>
        <w:rPr>
          <w:rFonts w:hint="eastAsia"/>
          <w:spacing w:val="-2"/>
        </w:rPr>
        <w:t>3%</w:t>
      </w:r>
      <w:r>
        <w:rPr>
          <w:spacing w:val="-2"/>
        </w:rPr>
        <w:t>。</w:t>
      </w:r>
    </w:p>
    <w:p w14:paraId="2A503152">
      <w:r>
        <w:rPr>
          <w:rFonts w:hint="eastAsia"/>
          <w:b/>
          <w:bCs/>
        </w:rPr>
        <w:t>关键词：</w:t>
      </w:r>
      <w:bookmarkStart w:id="0" w:name="_Toc294170425"/>
      <w:bookmarkStart w:id="1" w:name="_Toc294816048"/>
      <w:bookmarkStart w:id="2" w:name="_Toc294850595"/>
      <w:bookmarkStart w:id="3" w:name="_Toc418876831"/>
      <w:bookmarkStart w:id="4" w:name="_Toc294170686"/>
      <w:bookmarkStart w:id="5" w:name="_Toc294265924"/>
      <w:bookmarkStart w:id="6" w:name="_Toc294528931"/>
      <w:bookmarkStart w:id="7" w:name="_Toc294260051"/>
      <w:bookmarkStart w:id="8" w:name="_Toc294699339"/>
      <w:bookmarkStart w:id="9" w:name="_Toc294722931"/>
      <w:r>
        <w:t>FFT</w:t>
      </w:r>
      <w:r>
        <w:rPr>
          <w:rFonts w:hint="eastAsia"/>
        </w:rPr>
        <w:t>；</w:t>
      </w:r>
      <w:r>
        <w:rPr>
          <w:rFonts w:hint="eastAsia"/>
          <w:spacing w:val="-10"/>
          <w:sz w:val="23"/>
        </w:rPr>
        <w:t>谐波分析；总谐波失真T</w:t>
      </w:r>
      <w:r>
        <w:rPr>
          <w:spacing w:val="-10"/>
          <w:sz w:val="23"/>
        </w:rPr>
        <w:t>HD</w:t>
      </w:r>
    </w:p>
    <w:p w14:paraId="6180D4C1"/>
    <w:p w14:paraId="266ED245"/>
    <w:p w14:paraId="048578F6"/>
    <w:p w14:paraId="0F7E2B52"/>
    <w:p w14:paraId="765093DF"/>
    <w:p w14:paraId="0C45BCDD"/>
    <w:p w14:paraId="6A6B1EA8"/>
    <w:p w14:paraId="2A8411F6"/>
    <w:p w14:paraId="27B1D8AB"/>
    <w:p w14:paraId="6CD1EAD7"/>
    <w:p w14:paraId="4C2B2853"/>
    <w:p w14:paraId="2EB6D97C"/>
    <w:p w14:paraId="37C24203"/>
    <w:p w14:paraId="326B505F"/>
    <w:p w14:paraId="59F719D6"/>
    <w:p w14:paraId="5B5CF9A5"/>
    <w:p w14:paraId="18E2154C"/>
    <w:p w14:paraId="6A7AC10F">
      <w:pPr>
        <w:sectPr>
          <w:headerReference r:id="rId5" w:type="default"/>
          <w:footerReference r:id="rId6" w:type="default"/>
          <w:endnotePr>
            <w:numFmt w:val="decimal"/>
          </w:endnotePr>
          <w:pgSz w:w="11906" w:h="16838"/>
          <w:pgMar w:top="1701" w:right="1797" w:bottom="1440" w:left="1797" w:header="851" w:footer="992" w:gutter="0"/>
          <w:cols w:space="720" w:num="1"/>
          <w:titlePg/>
          <w:docGrid w:type="linesAndChars" w:linePitch="326" w:charSpace="0"/>
        </w:sectPr>
      </w:pPr>
    </w:p>
    <w:p w14:paraId="024D3A43">
      <w:pPr>
        <w:pStyle w:val="2"/>
        <w:spacing w:before="260" w:after="163"/>
      </w:pPr>
      <w:r>
        <w:rPr>
          <w:rFonts w:hint="eastAsia"/>
        </w:rPr>
        <w:t>方案论证</w:t>
      </w:r>
    </w:p>
    <w:p w14:paraId="67C0DFB3">
      <w:pPr>
        <w:pStyle w:val="3"/>
      </w:pPr>
      <w:r>
        <w:rPr>
          <w:rFonts w:hint="eastAsia"/>
        </w:rPr>
        <w:t>方案比较与选择</w:t>
      </w:r>
    </w:p>
    <w:p w14:paraId="6D52BB2E">
      <w:pPr>
        <w:pStyle w:val="5"/>
        <w:spacing w:before="163" w:after="163"/>
      </w:pPr>
      <w:r>
        <w:rPr>
          <w:rFonts w:hint="eastAsia"/>
        </w:rPr>
        <w:t>单片机主控方案方案选择</w:t>
      </w:r>
    </w:p>
    <w:p w14:paraId="19E3CCCC">
      <w:pPr>
        <w:ind w:firstLine="480" w:firstLineChars="200"/>
      </w:pPr>
      <w:r>
        <w:rPr>
          <w:rFonts w:hint="eastAsia"/>
          <w:b/>
          <w:bCs/>
        </w:rPr>
        <w:t>方案一：</w:t>
      </w:r>
      <w:r>
        <w:rPr>
          <w:rFonts w:hint="eastAsia"/>
        </w:rPr>
        <w:t>使用M</w:t>
      </w:r>
      <w:r>
        <w:t>SPM0L1306</w:t>
      </w:r>
      <w:r>
        <w:rPr>
          <w:rFonts w:hint="eastAsia"/>
        </w:rPr>
        <w:t>单片机作为控制核心。</w:t>
      </w:r>
    </w:p>
    <w:p w14:paraId="7886B2B9">
      <w:pPr>
        <w:ind w:firstLine="480" w:firstLineChars="200"/>
      </w:pPr>
      <w:r>
        <w:rPr>
          <w:rFonts w:hint="eastAsia"/>
          <w:b/>
          <w:bCs/>
        </w:rPr>
        <w:t>方案二：</w:t>
      </w:r>
      <w:r>
        <w:rPr>
          <w:rFonts w:hint="eastAsia"/>
        </w:rPr>
        <w:t>使用M</w:t>
      </w:r>
      <w:r>
        <w:t>SPM0G3507</w:t>
      </w:r>
      <w:r>
        <w:rPr>
          <w:rFonts w:hint="eastAsia"/>
        </w:rPr>
        <w:t>单片机作为控制核心。</w:t>
      </w:r>
    </w:p>
    <w:p w14:paraId="2BE2DF4F">
      <w:pPr>
        <w:ind w:firstLine="480" w:firstLineChars="200"/>
      </w:pPr>
      <w:r>
        <w:rPr>
          <w:rFonts w:hint="eastAsia"/>
          <w:b/>
          <w:bCs/>
        </w:rPr>
        <w:t>方案选择：</w:t>
      </w:r>
      <w:r>
        <w:rPr>
          <w:rFonts w:hint="eastAsia"/>
        </w:rPr>
        <w:t>方案一的单片机主频仅为</w:t>
      </w:r>
      <w:r>
        <w:t>32MHz</w:t>
      </w:r>
      <w:r>
        <w:rPr>
          <w:rFonts w:hint="eastAsia"/>
        </w:rPr>
        <w:t>，定时器的精度不够，无法获得精确的采样率；方案二，使用M</w:t>
      </w:r>
      <w:r>
        <w:t>SPM0G3507</w:t>
      </w:r>
      <w:r>
        <w:rPr>
          <w:rFonts w:hint="eastAsia"/>
        </w:rPr>
        <w:t>单片机，主频为8</w:t>
      </w:r>
      <w:r>
        <w:t>0MHz</w:t>
      </w:r>
      <w:r>
        <w:rPr>
          <w:rFonts w:hint="eastAsia"/>
        </w:rPr>
        <w:t>，可以获得更高的定时精度，便于A</w:t>
      </w:r>
      <w:r>
        <w:t>DC</w:t>
      </w:r>
      <w:r>
        <w:rPr>
          <w:rFonts w:hint="eastAsia"/>
        </w:rPr>
        <w:t>采集及后续的频谱分析</w:t>
      </w:r>
      <w:r>
        <w:rPr>
          <w:rFonts w:hint="eastAsia" w:cs="Times New Roman"/>
        </w:rPr>
        <w:t>。</w:t>
      </w:r>
    </w:p>
    <w:p w14:paraId="5D673A65">
      <w:pPr>
        <w:pStyle w:val="5"/>
        <w:spacing w:before="163" w:after="163"/>
      </w:pPr>
      <w:r>
        <w:rPr>
          <w:rFonts w:hint="eastAsia"/>
          <w:lang w:val="en-US" w:eastAsia="zh-CN"/>
        </w:rPr>
        <w:t>输入信号调理</w:t>
      </w:r>
      <w:r>
        <w:rPr>
          <w:rFonts w:hint="eastAsia"/>
        </w:rPr>
        <w:t>方案选择</w:t>
      </w:r>
    </w:p>
    <w:p w14:paraId="09E9E410">
      <w:pPr>
        <w:ind w:firstLine="480" w:firstLineChars="200"/>
        <w:rPr>
          <w:rFonts w:hint="eastAsia" w:ascii="Times New Roman" w:hAnsi="Times New Roman"/>
          <w:lang w:val="en-US" w:eastAsia="zh-CN"/>
        </w:rPr>
      </w:pPr>
      <w:r>
        <w:rPr>
          <w:rFonts w:hint="eastAsia"/>
          <w:b/>
          <w:bCs/>
          <w:lang w:val="zh-CN"/>
        </w:rPr>
        <w:t>方案一：</w:t>
      </w:r>
      <w:r>
        <w:rPr>
          <w:rFonts w:hint="eastAsia" w:ascii="Times New Roman" w:hAnsi="Times New Roman"/>
          <w:lang w:val="en-US" w:eastAsia="zh-CN"/>
        </w:rPr>
        <w:t>使用继电器加上不同方法倍数的放大器，根据输入信号的幅度来控制继电器开断，实现对不同输入信号幅度的放大，使其达到单片机能够测准的大小。</w:t>
      </w:r>
    </w:p>
    <w:p w14:paraId="5113EA3A">
      <w:pPr>
        <w:ind w:firstLine="480" w:firstLineChars="200"/>
        <w:rPr>
          <w:rFonts w:hint="eastAsia" w:ascii="Times New Roman" w:hAnsi="Times New Roman"/>
          <w:lang w:val="en-US" w:eastAsia="zh-CN"/>
        </w:rPr>
      </w:pPr>
      <w:r>
        <w:rPr>
          <w:rFonts w:hint="eastAsia"/>
          <w:b/>
          <w:bCs/>
          <w:lang w:val="zh-CN"/>
        </w:rPr>
        <w:t>方案二：</w:t>
      </w:r>
      <w:r>
        <w:rPr>
          <w:rFonts w:hint="eastAsia" w:ascii="Times New Roman" w:hAnsi="Times New Roman"/>
          <w:lang w:val="en-US" w:eastAsia="zh-CN"/>
        </w:rPr>
        <w:t>使用自动增益电路，即AGC电路，实现在题目范围内的频率和幅度的自动放大或者衰减，将输入信号的幅度控制在某一个定值。</w:t>
      </w:r>
    </w:p>
    <w:p w14:paraId="08124490">
      <w:pPr>
        <w:ind w:firstLine="480" w:firstLineChars="200"/>
        <w:rPr>
          <w:lang w:val="zh-CN"/>
        </w:rPr>
      </w:pPr>
      <w:r>
        <w:rPr>
          <w:rFonts w:hint="eastAsia"/>
          <w:b/>
          <w:bCs/>
          <w:lang w:val="zh-CN"/>
        </w:rPr>
        <w:t>方案选择：</w:t>
      </w:r>
      <w:r>
        <w:rPr>
          <w:rFonts w:hint="eastAsia"/>
          <w:lang w:val="zh-CN"/>
        </w:rPr>
        <w:t>方案一的电路相对复杂，</w:t>
      </w:r>
      <w:r>
        <w:rPr>
          <w:rFonts w:hint="eastAsia"/>
          <w:lang w:val="en-US" w:eastAsia="zh-CN"/>
        </w:rPr>
        <w:t>继电器的切换需要时间，容易使谐波分析准确率下降</w:t>
      </w:r>
      <w:r>
        <w:rPr>
          <w:rFonts w:hint="eastAsia"/>
          <w:lang w:val="zh-CN"/>
        </w:rPr>
        <w:t>；方案二</w:t>
      </w:r>
      <w:r>
        <w:rPr>
          <w:rFonts w:hint="eastAsia"/>
          <w:lang w:val="en-US" w:eastAsia="zh-CN"/>
        </w:rPr>
        <w:t>电路实现简单，ADC采样的幅度稳定。综合考虑电路复杂性和测量精度，</w:t>
      </w:r>
      <w:r>
        <w:rPr>
          <w:rFonts w:hint="eastAsia"/>
          <w:lang w:val="zh-CN"/>
        </w:rPr>
        <w:t>选择方案</w:t>
      </w:r>
      <w:r>
        <w:rPr>
          <w:rFonts w:hint="eastAsia"/>
          <w:lang w:val="en-US" w:eastAsia="zh-CN"/>
        </w:rPr>
        <w:t>二</w:t>
      </w:r>
      <w:r>
        <w:rPr>
          <w:rFonts w:hint="eastAsia"/>
          <w:lang w:val="zh-CN"/>
        </w:rPr>
        <w:t>。</w:t>
      </w:r>
    </w:p>
    <w:p w14:paraId="21B6B7BD">
      <w:pPr>
        <w:ind w:firstLine="480" w:firstLineChars="200"/>
        <w:rPr>
          <w:lang w:val="zh-CN"/>
        </w:rPr>
      </w:pPr>
    </w:p>
    <w:p w14:paraId="641AD695">
      <w:pPr>
        <w:pStyle w:val="5"/>
        <w:spacing w:before="163" w:after="163"/>
      </w:pPr>
      <w:r>
        <w:rPr>
          <w:rFonts w:hint="eastAsia"/>
        </w:rPr>
        <w:t>谐波测量方案选择</w:t>
      </w:r>
    </w:p>
    <w:p w14:paraId="06D47521">
      <w:pPr>
        <w:ind w:firstLine="480" w:firstLineChars="200"/>
        <w:rPr>
          <w:lang w:val="zh-CN"/>
        </w:rPr>
      </w:pPr>
      <w:bookmarkStart w:id="10" w:name="_Toc25913348"/>
      <w:r>
        <w:rPr>
          <w:b/>
          <w:bCs/>
          <w:lang w:val="zh-CN"/>
        </w:rPr>
        <w:t>方案一：</w:t>
      </w:r>
      <w:r>
        <w:rPr>
          <w:lang w:val="zh-CN"/>
        </w:rPr>
        <w:t>硬件滤波。通过使用硬件滤波器，来分离出信号中的各个谐波成分。通过测量滤波后的信号来确定各次谐波的幅度</w:t>
      </w:r>
      <w:r>
        <w:rPr>
          <w:rFonts w:hint="eastAsia"/>
          <w:lang w:val="zh-CN"/>
        </w:rPr>
        <w:t>，从而计算谐波有效值。</w:t>
      </w:r>
    </w:p>
    <w:p w14:paraId="1F9E35C0">
      <w:pPr>
        <w:ind w:firstLine="480" w:firstLineChars="200"/>
        <w:rPr>
          <w:lang w:val="zh-CN"/>
        </w:rPr>
      </w:pPr>
      <w:r>
        <w:rPr>
          <w:b/>
          <w:bCs/>
          <w:lang w:val="zh-CN"/>
        </w:rPr>
        <w:t>方案二：</w:t>
      </w:r>
      <w:r>
        <w:rPr>
          <w:lang w:val="zh-CN"/>
        </w:rPr>
        <w:t>DFT测量。使用离散傅里叶变换（DFT）对采样信号进行频域分析。DFT能够提供信号的频谱分布，从而识别出谐波成分</w:t>
      </w:r>
      <w:r>
        <w:rPr>
          <w:rFonts w:hint="eastAsia"/>
          <w:lang w:val="zh-CN"/>
        </w:rPr>
        <w:t>，进而计算谐波有效值</w:t>
      </w:r>
      <w:r>
        <w:rPr>
          <w:lang w:val="zh-CN"/>
        </w:rPr>
        <w:t>。</w:t>
      </w:r>
    </w:p>
    <w:p w14:paraId="1380DA86">
      <w:pPr>
        <w:ind w:firstLine="480" w:firstLineChars="200"/>
        <w:rPr>
          <w:lang w:val="zh-CN"/>
        </w:rPr>
      </w:pPr>
      <w:r>
        <w:rPr>
          <w:b/>
          <w:bCs/>
          <w:lang w:val="zh-CN"/>
        </w:rPr>
        <w:t>方案三：</w:t>
      </w:r>
      <w:r>
        <w:rPr>
          <w:lang w:val="zh-CN"/>
        </w:rPr>
        <w:t>FFT测量。此方案采用快速傅里叶变换（FFT）来分析信号的频谱。FFT是DFT的快速算法版本，能够以较低的计算成本快速获得频谱信息。</w:t>
      </w:r>
    </w:p>
    <w:p w14:paraId="74853D8B">
      <w:pPr>
        <w:ind w:firstLine="480" w:firstLineChars="200"/>
        <w:rPr>
          <w:lang w:val="zh-CN"/>
        </w:rPr>
      </w:pPr>
      <w:r>
        <w:rPr>
          <w:rFonts w:hint="eastAsia"/>
          <w:b/>
          <w:bCs/>
          <w:lang w:val="zh-CN"/>
        </w:rPr>
        <w:t>方案选择：</w:t>
      </w:r>
      <w:r>
        <w:rPr>
          <w:rFonts w:hint="eastAsia"/>
          <w:lang w:val="zh-CN"/>
        </w:rPr>
        <w:t>方案一电路设计过于复杂，对特定频率的谐波测量可能需要多个滤波器；方案二计算复杂度较高，计算量和时间成本较大；因此选择方案三。</w:t>
      </w:r>
    </w:p>
    <w:p w14:paraId="79B3998F">
      <w:pPr>
        <w:pStyle w:val="3"/>
      </w:pPr>
      <w:r>
        <w:rPr>
          <w:rFonts w:hint="eastAsia"/>
        </w:rPr>
        <w:t>系统总体方案描述</w:t>
      </w:r>
      <w:bookmarkEnd w:id="10"/>
    </w:p>
    <w:p w14:paraId="7DD2A26D">
      <w:pPr>
        <w:pStyle w:val="14"/>
        <w:ind w:firstLine="480" w:firstLineChars="200"/>
        <w:rPr>
          <w:rFonts w:hint="eastAsia"/>
          <w:szCs w:val="24"/>
          <w:lang w:eastAsia="zh-CN"/>
        </w:rPr>
      </w:pPr>
      <w:r>
        <w:rPr>
          <w:rFonts w:hint="eastAsia"/>
          <w:szCs w:val="24"/>
          <w:lang w:eastAsia="zh-CN"/>
        </w:rPr>
        <w:t>系统总体方案如图1</w:t>
      </w:r>
      <w:r>
        <w:rPr>
          <w:szCs w:val="24"/>
          <w:lang w:eastAsia="zh-CN"/>
        </w:rPr>
        <w:t>.1</w:t>
      </w:r>
      <w:r>
        <w:rPr>
          <w:rFonts w:hint="eastAsia"/>
          <w:szCs w:val="24"/>
          <w:lang w:eastAsia="zh-CN"/>
        </w:rPr>
        <w:t>所示。</w:t>
      </w:r>
      <w:r>
        <w:rPr>
          <w:rFonts w:hint="eastAsia"/>
          <w:bCs/>
          <w:lang w:eastAsia="zh-CN"/>
        </w:rPr>
        <w:t>以MSPM0G3507单片机为数据处理及控制核心，设计并实现了具有测量函数发生器产生信号的各次谐波幅度及总谐波失真T</w:t>
      </w:r>
      <w:r>
        <w:rPr>
          <w:bCs/>
          <w:lang w:eastAsia="zh-CN"/>
        </w:rPr>
        <w:t>HD</w:t>
      </w:r>
      <w:r>
        <w:rPr>
          <w:rFonts w:hint="eastAsia"/>
          <w:bCs/>
          <w:lang w:eastAsia="zh-CN"/>
        </w:rPr>
        <w:t>，并在手机上显示一个以上周期的波形的系统。将输入信号经过前级放大、偏置、滤波电路后由单片机的片内A</w:t>
      </w:r>
      <w:r>
        <w:rPr>
          <w:bCs/>
          <w:lang w:eastAsia="zh-CN"/>
        </w:rPr>
        <w:t>DC</w:t>
      </w:r>
      <w:r>
        <w:rPr>
          <w:rFonts w:hint="eastAsia"/>
          <w:bCs/>
          <w:lang w:eastAsia="zh-CN"/>
        </w:rPr>
        <w:t>进行采集，将采集的信号进行F</w:t>
      </w:r>
      <w:r>
        <w:rPr>
          <w:bCs/>
          <w:lang w:eastAsia="zh-CN"/>
        </w:rPr>
        <w:t>FT</w:t>
      </w:r>
      <w:r>
        <w:rPr>
          <w:rFonts w:hint="eastAsia"/>
          <w:bCs/>
          <w:lang w:eastAsia="zh-CN"/>
        </w:rPr>
        <w:t>，得到频谱后寻找各次谐波分量，完成总谐波失真T</w:t>
      </w:r>
      <w:r>
        <w:rPr>
          <w:bCs/>
          <w:lang w:eastAsia="zh-CN"/>
        </w:rPr>
        <w:t>HD</w:t>
      </w:r>
      <w:r>
        <w:rPr>
          <w:rFonts w:hint="eastAsia"/>
          <w:bCs/>
          <w:lang w:eastAsia="zh-CN"/>
        </w:rPr>
        <w:t>的计算。计算结果通过蓝牙模块H</w:t>
      </w:r>
      <w:r>
        <w:rPr>
          <w:bCs/>
          <w:lang w:eastAsia="zh-CN"/>
        </w:rPr>
        <w:t>C-05</w:t>
      </w:r>
      <w:r>
        <w:rPr>
          <w:rFonts w:hint="eastAsia"/>
          <w:bCs/>
          <w:lang w:eastAsia="zh-CN"/>
        </w:rPr>
        <w:t>发送至手机进行显示。</w:t>
      </w:r>
    </w:p>
    <w:p w14:paraId="5FE3A0B5">
      <w:pPr>
        <w:keepNext/>
        <w:spacing w:line="240" w:lineRule="auto"/>
        <w:jc w:val="center"/>
        <w:rPr>
          <w:rFonts w:hint="eastAsia" w:eastAsia="宋体"/>
          <w:lang w:eastAsia="zh-CN"/>
        </w:rPr>
      </w:pPr>
      <w:r>
        <w:drawing>
          <wp:inline distT="0" distB="0" distL="114300" distR="114300">
            <wp:extent cx="2693670" cy="4064000"/>
            <wp:effectExtent l="0" t="0" r="381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2693670" cy="4064000"/>
                    </a:xfrm>
                    <a:prstGeom prst="rect">
                      <a:avLst/>
                    </a:prstGeom>
                    <a:noFill/>
                    <a:ln>
                      <a:noFill/>
                    </a:ln>
                  </pic:spPr>
                </pic:pic>
              </a:graphicData>
            </a:graphic>
          </wp:inline>
        </w:drawing>
      </w:r>
    </w:p>
    <w:p w14:paraId="062D4DE8">
      <w:pPr>
        <w:pStyle w:val="12"/>
        <w:spacing w:line="440" w:lineRule="exact"/>
      </w:pPr>
      <w:r>
        <w:t xml:space="preserve">图 </w:t>
      </w:r>
      <w:r>
        <w:fldChar w:fldCharType="begin"/>
      </w:r>
      <w:r>
        <w:instrText xml:space="preserve"> STYLEREF 1 \s </w:instrText>
      </w:r>
      <w:r>
        <w:fldChar w:fldCharType="separate"/>
      </w:r>
      <w:r>
        <w:t>1</w:t>
      </w:r>
      <w:r>
        <w:fldChar w:fldCharType="end"/>
      </w:r>
      <w:r>
        <w:t>.</w:t>
      </w:r>
      <w:r>
        <w:fldChar w:fldCharType="begin"/>
      </w:r>
      <w:r>
        <w:instrText xml:space="preserve"> SEQ 图 \* ARABIC \s 1 </w:instrText>
      </w:r>
      <w:r>
        <w:fldChar w:fldCharType="separate"/>
      </w:r>
      <w:r>
        <w:t>1</w:t>
      </w:r>
      <w:r>
        <w:fldChar w:fldCharType="end"/>
      </w:r>
      <w:r>
        <w:t xml:space="preserve"> </w:t>
      </w:r>
      <w:r>
        <w:rPr>
          <w:rFonts w:hint="eastAsia"/>
        </w:rPr>
        <w:t>系统总体框图</w:t>
      </w:r>
    </w:p>
    <w:bookmarkEnd w:id="0"/>
    <w:bookmarkEnd w:id="1"/>
    <w:bookmarkEnd w:id="2"/>
    <w:bookmarkEnd w:id="3"/>
    <w:bookmarkEnd w:id="4"/>
    <w:bookmarkEnd w:id="5"/>
    <w:bookmarkEnd w:id="6"/>
    <w:bookmarkEnd w:id="7"/>
    <w:bookmarkEnd w:id="8"/>
    <w:bookmarkEnd w:id="9"/>
    <w:p w14:paraId="202D078A">
      <w:pPr>
        <w:pStyle w:val="2"/>
        <w:spacing w:before="260" w:after="163"/>
      </w:pPr>
      <w:r>
        <w:rPr>
          <w:rFonts w:hint="eastAsia"/>
        </w:rPr>
        <w:t>理论分析与计算</w:t>
      </w:r>
    </w:p>
    <w:p w14:paraId="25AF1AC8">
      <w:pPr>
        <w:pStyle w:val="3"/>
      </w:pPr>
      <w:r>
        <w:rPr>
          <w:rFonts w:hint="eastAsia"/>
        </w:rPr>
        <w:t>A</w:t>
      </w:r>
      <w:r>
        <w:t>DC</w:t>
      </w:r>
      <w:r>
        <w:rPr>
          <w:rFonts w:hint="eastAsia"/>
        </w:rPr>
        <w:t>采集原理分析</w:t>
      </w:r>
    </w:p>
    <w:p w14:paraId="2AA90AFB">
      <w:pPr>
        <w:ind w:firstLine="480" w:firstLineChars="200"/>
        <w:rPr>
          <w:rFonts w:hint="eastAsia"/>
        </w:rPr>
      </w:pPr>
      <w:r>
        <w:rPr>
          <w:rFonts w:hint="eastAsia"/>
        </w:rPr>
        <w:t>经过前级预处理电路后，信号被整理为易于被片内A</w:t>
      </w:r>
      <w:r>
        <w:t>DC</w:t>
      </w:r>
      <w:r>
        <w:rPr>
          <w:rFonts w:hint="eastAsia"/>
        </w:rPr>
        <w:t>采集的形式。对于1</w:t>
      </w:r>
      <w:r>
        <w:t>kHz~100kHz</w:t>
      </w:r>
      <w:r>
        <w:rPr>
          <w:rFonts w:hint="eastAsia"/>
        </w:rPr>
        <w:t>的信号，由奈奎斯特采样定律，至少需要2</w:t>
      </w:r>
      <w:r>
        <w:t>00kHz</w:t>
      </w:r>
      <w:r>
        <w:rPr>
          <w:rFonts w:hint="eastAsia"/>
        </w:rPr>
        <w:t>的采样率才能保证采集信号不失真。为获得更好的波形，采用1</w:t>
      </w:r>
      <w:r>
        <w:t>.024MHz</w:t>
      </w:r>
      <w:r>
        <w:rPr>
          <w:rFonts w:hint="eastAsia"/>
        </w:rPr>
        <w:t>采样率。为获得更高的频率分辨率，F</w:t>
      </w:r>
      <w:r>
        <w:t>FT</w:t>
      </w:r>
      <w:r>
        <w:rPr>
          <w:rFonts w:hint="eastAsia"/>
        </w:rPr>
        <w:t>采用2</w:t>
      </w:r>
      <w:r>
        <w:t>048</w:t>
      </w:r>
      <w:r>
        <w:rPr>
          <w:rFonts w:hint="eastAsia"/>
        </w:rPr>
        <w:t>点，频率分辨率为5</w:t>
      </w:r>
      <w:r>
        <w:t>00Hz</w:t>
      </w:r>
      <w:r>
        <w:rPr>
          <w:rFonts w:hint="eastAsia"/>
        </w:rPr>
        <w:t>。A</w:t>
      </w:r>
      <w:r>
        <w:t>DC</w:t>
      </w:r>
      <w:r>
        <w:rPr>
          <w:rFonts w:hint="eastAsia"/>
        </w:rPr>
        <w:t>采用定时器触发，定时器频率由主频分频得到，最终实际频率为1</w:t>
      </w:r>
      <w:r>
        <w:t>.025MHz</w:t>
      </w:r>
      <w:r>
        <w:rPr>
          <w:rFonts w:hint="eastAsia"/>
        </w:rPr>
        <w:t>。</w:t>
      </w:r>
    </w:p>
    <w:p w14:paraId="34B1D21E">
      <w:pPr>
        <w:pStyle w:val="3"/>
      </w:pPr>
      <w:r>
        <w:rPr>
          <w:rFonts w:hint="eastAsia"/>
          <w:lang w:val="en-US"/>
        </w:rPr>
        <w:t>谐波归一化幅度</w:t>
      </w:r>
      <w:r>
        <w:rPr>
          <w:lang w:val="en-US"/>
        </w:rPr>
        <w:t>测量</w:t>
      </w:r>
      <w:r>
        <w:rPr>
          <w:rFonts w:hint="eastAsia"/>
          <w:lang w:val="en-US"/>
        </w:rPr>
        <w:t>原理分析</w:t>
      </w:r>
    </w:p>
    <w:p w14:paraId="48F6CF7C">
      <w:pPr>
        <w:ind w:firstLine="480" w:firstLineChars="200"/>
        <w:rPr>
          <w:rFonts w:hint="eastAsia"/>
        </w:rPr>
      </w:pPr>
      <w:r>
        <w:rPr>
          <w:rFonts w:hint="eastAsia"/>
        </w:rPr>
        <w:t>根据谐波的定义来计算。从F</w:t>
      </w:r>
      <w:r>
        <w:t>FT</w:t>
      </w:r>
      <w:r>
        <w:rPr>
          <w:rFonts w:hint="eastAsia"/>
        </w:rPr>
        <w:t>得到的频谱中提取各次谐波成分。幅度最大的为基波即一次谐波成分</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m1</m:t>
            </m:r>
            <m:ctrlPr>
              <w:rPr>
                <w:rFonts w:ascii="Cambria Math" w:hAnsi="Cambria Math"/>
                <w:i/>
              </w:rPr>
            </m:ctrlPr>
          </m:sub>
        </m:sSub>
      </m:oMath>
      <w:r>
        <w:rPr>
          <w:rFonts w:hint="eastAsia"/>
        </w:rPr>
        <w:t>，其倍频为其余各次谐波成分</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m3</m:t>
            </m:r>
            <m:ctrlPr>
              <w:rPr>
                <w:rFonts w:ascii="Cambria Math" w:hAnsi="Cambria Math"/>
                <w:i/>
              </w:rPr>
            </m:ctrlPr>
          </m:sub>
        </m:sSub>
      </m:oMath>
      <w:r>
        <w:rPr>
          <w:rFonts w:hint="eastAsia"/>
        </w:rPr>
        <w:t>等。归一化幅度分别为1、</w:t>
      </w:r>
      <m:oMath>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m2</m:t>
                </m:r>
                <m:ctrlPr>
                  <w:rPr>
                    <w:rFonts w:ascii="Cambria Math" w:hAnsi="Cambria Math"/>
                    <w:i/>
                  </w:rPr>
                </m:ctrlPr>
              </m:sub>
            </m:sSub>
            <m:r>
              <m:rPr>
                <m:lit/>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m1</m:t>
                </m:r>
                <m:ctrlPr>
                  <w:rPr>
                    <w:rFonts w:ascii="Cambria Math" w:hAnsi="Cambria Math"/>
                    <w:i/>
                  </w:rPr>
                </m:ctrlPr>
              </m:sub>
            </m:sSub>
            <m:ctrlPr>
              <w:rPr>
                <w:rFonts w:ascii="Cambria Math" w:hAnsi="Cambria Math"/>
                <w:i/>
              </w:rPr>
            </m:ctrlPr>
          </m:e>
        </m:d>
      </m:oMath>
      <w:r>
        <w:rPr>
          <w:rFonts w:hint="eastAsia"/>
        </w:rPr>
        <w:t>、</w:t>
      </w:r>
      <m:oMath>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m3</m:t>
                </m:r>
                <m:ctrlPr>
                  <w:rPr>
                    <w:rFonts w:ascii="Cambria Math" w:hAnsi="Cambria Math"/>
                    <w:i/>
                  </w:rPr>
                </m:ctrlPr>
              </m:sub>
            </m:sSub>
            <m:r>
              <m:rPr>
                <m:lit/>
              </m:rPr>
              <w:rPr>
                <w:rFonts w:ascii="Cambria Math" w:hAnsi="Cambria Math"/>
              </w:rPr>
              <m:t>/</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m1</m:t>
                </m:r>
                <m:ctrlPr>
                  <w:rPr>
                    <w:rFonts w:ascii="Cambria Math" w:hAnsi="Cambria Math"/>
                    <w:i/>
                  </w:rPr>
                </m:ctrlPr>
              </m:sub>
            </m:sSub>
            <m:ctrlPr>
              <w:rPr>
                <w:rFonts w:ascii="Cambria Math" w:hAnsi="Cambria Math"/>
                <w:i/>
              </w:rPr>
            </m:ctrlPr>
          </m:e>
        </m:d>
      </m:oMath>
      <w:r>
        <w:rPr>
          <w:rFonts w:hint="eastAsia"/>
        </w:rPr>
        <w:t>等。</w:t>
      </w:r>
    </w:p>
    <w:p w14:paraId="019A3384">
      <w:pPr>
        <w:pStyle w:val="3"/>
      </w:pPr>
      <w:r>
        <w:rPr>
          <w:rFonts w:hint="eastAsia"/>
          <w:lang w:val="en-US"/>
        </w:rPr>
        <w:t>总谐波失真T</w:t>
      </w:r>
      <w:r>
        <w:rPr>
          <w:lang w:val="en-US"/>
        </w:rPr>
        <w:t>HD计</w:t>
      </w:r>
      <w:r>
        <w:rPr>
          <w:rFonts w:hint="eastAsia"/>
        </w:rPr>
        <w:t>算分析</w:t>
      </w:r>
    </w:p>
    <w:p w14:paraId="261FD010">
      <w:pPr>
        <w:ind w:firstLine="480" w:firstLineChars="200"/>
      </w:pPr>
      <w:r>
        <w:t>谐波分析通过FFT提取</w:t>
      </w:r>
      <w:r>
        <w:rPr>
          <w:rFonts w:hint="eastAsia"/>
        </w:rPr>
        <w:t>输入信号</w:t>
      </w:r>
      <w:r>
        <w:t>的</w:t>
      </w:r>
      <w:r>
        <w:rPr>
          <w:rFonts w:hint="eastAsia"/>
          <w:spacing w:val="-2"/>
        </w:rPr>
        <w:t>2~5</w:t>
      </w:r>
      <w:r>
        <w:t>次谐波。</w:t>
      </w:r>
    </w:p>
    <w:p w14:paraId="79E99E1A">
      <w:pPr>
        <w:ind w:firstLine="480" w:firstLineChars="200"/>
      </w:pPr>
      <w:r>
        <w:rPr>
          <w:rFonts w:hint="eastAsia"/>
        </w:rPr>
        <w:t>总谐波失真T</w:t>
      </w:r>
      <w:r>
        <w:t>HD</w:t>
      </w:r>
      <w:r>
        <w:rPr>
          <w:rFonts w:hint="eastAsia"/>
        </w:rPr>
        <w:t>的</w:t>
      </w:r>
      <w:r>
        <w:t>计算公式为：</w:t>
      </w:r>
    </w:p>
    <w:p w14:paraId="2369EEE3">
      <w:pPr>
        <w:pStyle w:val="15"/>
        <w:spacing w:before="163" w:after="163" w:line="292" w:lineRule="auto"/>
        <w:ind w:left="142" w:right="423" w:firstLine="480"/>
        <w:rPr>
          <w:rFonts w:ascii="Times New Roman" w:hAnsi="Times New Roman" w:cstheme="minorBidi"/>
          <w:szCs w:val="20"/>
        </w:rPr>
      </w:pPr>
      <m:oMathPara>
        <m:oMath>
          <m:r>
            <m:rPr/>
            <w:rPr>
              <w:rFonts w:ascii="Cambria Math" w:hAnsi="Cambria Math" w:cstheme="minorBidi"/>
              <w:szCs w:val="20"/>
            </w:rPr>
            <m:t>TH</m:t>
          </m:r>
          <m:sSub>
            <m:sSubPr>
              <m:ctrlPr>
                <w:rPr>
                  <w:rFonts w:ascii="Cambria Math" w:hAnsi="Cambria Math" w:cstheme="minorBidi"/>
                  <w:szCs w:val="20"/>
                </w:rPr>
              </m:ctrlPr>
            </m:sSubPr>
            <m:e>
              <m:r>
                <m:rPr/>
                <w:rPr>
                  <w:rFonts w:ascii="Cambria Math" w:hAnsi="Cambria Math" w:cstheme="minorBidi"/>
                  <w:szCs w:val="20"/>
                </w:rPr>
                <m:t>D</m:t>
              </m:r>
              <m:ctrlPr>
                <w:rPr>
                  <w:rFonts w:ascii="Cambria Math" w:hAnsi="Cambria Math" w:cstheme="minorBidi"/>
                  <w:szCs w:val="20"/>
                </w:rPr>
              </m:ctrlPr>
            </m:e>
            <m:sub>
              <m:r>
                <m:rPr/>
                <w:rPr>
                  <w:rFonts w:ascii="Cambria Math" w:hAnsi="Cambria Math" w:cstheme="minorBidi"/>
                  <w:szCs w:val="20"/>
                </w:rPr>
                <m:t>o</m:t>
              </m:r>
              <m:ctrlPr>
                <w:rPr>
                  <w:rFonts w:ascii="Cambria Math" w:hAnsi="Cambria Math" w:cstheme="minorBidi"/>
                  <w:szCs w:val="20"/>
                </w:rPr>
              </m:ctrlPr>
            </m:sub>
          </m:sSub>
          <m:r>
            <m:rPr>
              <m:sty m:val="p"/>
            </m:rPr>
            <w:rPr>
              <w:rFonts w:ascii="Cambria Math" w:hAnsi="Cambria Math" w:cstheme="minorBidi"/>
              <w:szCs w:val="20"/>
            </w:rPr>
            <m:t>=</m:t>
          </m:r>
          <m:f>
            <m:fPr>
              <m:ctrlPr>
                <w:rPr>
                  <w:rFonts w:ascii="Cambria Math" w:hAnsi="Cambria Math" w:cstheme="minorBidi"/>
                  <w:szCs w:val="20"/>
                </w:rPr>
              </m:ctrlPr>
            </m:fPr>
            <m:num>
              <m:rad>
                <m:radPr>
                  <m:degHide m:val="1"/>
                  <m:ctrlPr>
                    <w:rPr>
                      <w:rFonts w:ascii="Cambria Math" w:hAnsi="Cambria Math" w:cstheme="minorBidi"/>
                      <w:szCs w:val="20"/>
                    </w:rPr>
                  </m:ctrlPr>
                </m:radPr>
                <m:deg>
                  <m:ctrlPr>
                    <w:rPr>
                      <w:rFonts w:ascii="Cambria Math" w:hAnsi="Cambria Math" w:cstheme="minorBidi"/>
                      <w:szCs w:val="20"/>
                    </w:rPr>
                  </m:ctrlPr>
                </m:deg>
                <m:e>
                  <m:sSubSup>
                    <m:sSubSupPr>
                      <m:ctrlPr>
                        <w:rPr>
                          <w:rFonts w:ascii="Cambria Math" w:hAnsi="Cambria Math" w:cstheme="minorBidi"/>
                          <w:szCs w:val="20"/>
                        </w:rPr>
                      </m:ctrlPr>
                    </m:sSubSupPr>
                    <m:e>
                      <m:r>
                        <m:rPr/>
                        <w:rPr>
                          <w:rFonts w:ascii="Cambria Math" w:hAnsi="Cambria Math" w:cstheme="minorBidi"/>
                          <w:szCs w:val="20"/>
                        </w:rPr>
                        <m:t>U</m:t>
                      </m:r>
                      <m:ctrlPr>
                        <w:rPr>
                          <w:rFonts w:ascii="Cambria Math" w:hAnsi="Cambria Math" w:cstheme="minorBidi"/>
                          <w:szCs w:val="20"/>
                        </w:rPr>
                      </m:ctrlPr>
                    </m:e>
                    <m:sub>
                      <m:r>
                        <m:rPr/>
                        <w:rPr>
                          <w:rFonts w:ascii="Cambria Math" w:hAnsi="Cambria Math" w:cstheme="minorBidi"/>
                          <w:szCs w:val="20"/>
                        </w:rPr>
                        <m:t>o</m:t>
                      </m:r>
                      <m:r>
                        <m:rPr>
                          <m:sty m:val="p"/>
                        </m:rPr>
                        <w:rPr>
                          <w:rFonts w:ascii="Cambria Math" w:hAnsi="Cambria Math" w:cstheme="minorBidi"/>
                          <w:szCs w:val="20"/>
                        </w:rPr>
                        <m:t>2</m:t>
                      </m:r>
                      <m:ctrlPr>
                        <w:rPr>
                          <w:rFonts w:ascii="Cambria Math" w:hAnsi="Cambria Math" w:cstheme="minorBidi"/>
                          <w:szCs w:val="20"/>
                        </w:rPr>
                      </m:ctrlPr>
                    </m:sub>
                    <m:sup>
                      <m:r>
                        <m:rPr>
                          <m:sty m:val="p"/>
                        </m:rPr>
                        <w:rPr>
                          <w:rFonts w:ascii="Cambria Math" w:hAnsi="Cambria Math" w:cstheme="minorBidi"/>
                          <w:szCs w:val="20"/>
                        </w:rPr>
                        <m:t>2</m:t>
                      </m:r>
                      <m:ctrlPr>
                        <w:rPr>
                          <w:rFonts w:ascii="Cambria Math" w:hAnsi="Cambria Math" w:cstheme="minorBidi"/>
                          <w:szCs w:val="20"/>
                        </w:rPr>
                      </m:ctrlPr>
                    </m:sup>
                  </m:sSubSup>
                  <m:r>
                    <m:rPr>
                      <m:sty m:val="p"/>
                    </m:rPr>
                    <w:rPr>
                      <w:rFonts w:ascii="Cambria Math" w:hAnsi="Cambria Math" w:cstheme="minorBidi"/>
                      <w:szCs w:val="20"/>
                    </w:rPr>
                    <m:t>+</m:t>
                  </m:r>
                  <m:sSubSup>
                    <m:sSubSupPr>
                      <m:ctrlPr>
                        <w:rPr>
                          <w:rFonts w:ascii="Cambria Math" w:hAnsi="Cambria Math" w:cstheme="minorBidi"/>
                          <w:szCs w:val="20"/>
                        </w:rPr>
                      </m:ctrlPr>
                    </m:sSubSupPr>
                    <m:e>
                      <m:r>
                        <m:rPr/>
                        <w:rPr>
                          <w:rFonts w:ascii="Cambria Math" w:hAnsi="Cambria Math" w:cstheme="minorBidi"/>
                          <w:szCs w:val="20"/>
                        </w:rPr>
                        <m:t>U</m:t>
                      </m:r>
                      <m:ctrlPr>
                        <w:rPr>
                          <w:rFonts w:ascii="Cambria Math" w:hAnsi="Cambria Math" w:cstheme="minorBidi"/>
                          <w:szCs w:val="20"/>
                        </w:rPr>
                      </m:ctrlPr>
                    </m:e>
                    <m:sub>
                      <m:r>
                        <m:rPr/>
                        <w:rPr>
                          <w:rFonts w:ascii="Cambria Math" w:hAnsi="Cambria Math" w:cstheme="minorBidi"/>
                          <w:szCs w:val="20"/>
                        </w:rPr>
                        <m:t>o</m:t>
                      </m:r>
                      <m:r>
                        <m:rPr>
                          <m:sty m:val="p"/>
                        </m:rPr>
                        <w:rPr>
                          <w:rFonts w:ascii="Cambria Math" w:hAnsi="Cambria Math" w:cstheme="minorBidi"/>
                          <w:szCs w:val="20"/>
                        </w:rPr>
                        <m:t>3</m:t>
                      </m:r>
                      <m:ctrlPr>
                        <w:rPr>
                          <w:rFonts w:ascii="Cambria Math" w:hAnsi="Cambria Math" w:cstheme="minorBidi"/>
                          <w:szCs w:val="20"/>
                        </w:rPr>
                      </m:ctrlPr>
                    </m:sub>
                    <m:sup>
                      <m:r>
                        <m:rPr>
                          <m:sty m:val="p"/>
                        </m:rPr>
                        <w:rPr>
                          <w:rFonts w:ascii="Cambria Math" w:hAnsi="Cambria Math" w:cstheme="minorBidi"/>
                          <w:szCs w:val="20"/>
                        </w:rPr>
                        <m:t>2</m:t>
                      </m:r>
                      <m:ctrlPr>
                        <w:rPr>
                          <w:rFonts w:ascii="Cambria Math" w:hAnsi="Cambria Math" w:cstheme="minorBidi"/>
                          <w:szCs w:val="20"/>
                        </w:rPr>
                      </m:ctrlPr>
                    </m:sup>
                  </m:sSubSup>
                  <m:r>
                    <m:rPr>
                      <m:sty m:val="p"/>
                    </m:rPr>
                    <w:rPr>
                      <w:rFonts w:ascii="Cambria Math" w:hAnsi="Cambria Math" w:cstheme="minorBidi"/>
                      <w:szCs w:val="20"/>
                    </w:rPr>
                    <m:t>+</m:t>
                  </m:r>
                  <m:sSubSup>
                    <m:sSubSupPr>
                      <m:ctrlPr>
                        <w:rPr>
                          <w:rFonts w:ascii="Cambria Math" w:hAnsi="Cambria Math" w:cstheme="minorBidi"/>
                          <w:szCs w:val="20"/>
                        </w:rPr>
                      </m:ctrlPr>
                    </m:sSubSupPr>
                    <m:e>
                      <m:r>
                        <m:rPr/>
                        <w:rPr>
                          <w:rFonts w:ascii="Cambria Math" w:hAnsi="Cambria Math" w:cstheme="minorBidi"/>
                          <w:szCs w:val="20"/>
                        </w:rPr>
                        <m:t>U</m:t>
                      </m:r>
                      <m:ctrlPr>
                        <w:rPr>
                          <w:rFonts w:ascii="Cambria Math" w:hAnsi="Cambria Math" w:cstheme="minorBidi"/>
                          <w:szCs w:val="20"/>
                        </w:rPr>
                      </m:ctrlPr>
                    </m:e>
                    <m:sub>
                      <m:r>
                        <m:rPr/>
                        <w:rPr>
                          <w:rFonts w:ascii="Cambria Math" w:hAnsi="Cambria Math" w:cstheme="minorBidi"/>
                          <w:szCs w:val="20"/>
                        </w:rPr>
                        <m:t>o</m:t>
                      </m:r>
                      <m:r>
                        <m:rPr>
                          <m:sty m:val="p"/>
                        </m:rPr>
                        <w:rPr>
                          <w:rFonts w:ascii="Cambria Math" w:hAnsi="Cambria Math" w:cstheme="minorBidi"/>
                          <w:szCs w:val="20"/>
                        </w:rPr>
                        <m:t>4</m:t>
                      </m:r>
                      <m:ctrlPr>
                        <w:rPr>
                          <w:rFonts w:ascii="Cambria Math" w:hAnsi="Cambria Math" w:cstheme="minorBidi"/>
                          <w:szCs w:val="20"/>
                        </w:rPr>
                      </m:ctrlPr>
                    </m:sub>
                    <m:sup>
                      <m:r>
                        <m:rPr>
                          <m:sty m:val="p"/>
                        </m:rPr>
                        <w:rPr>
                          <w:rFonts w:ascii="Cambria Math" w:hAnsi="Cambria Math" w:cstheme="minorBidi"/>
                          <w:szCs w:val="20"/>
                        </w:rPr>
                        <m:t>2</m:t>
                      </m:r>
                      <m:ctrlPr>
                        <w:rPr>
                          <w:rFonts w:ascii="Cambria Math" w:hAnsi="Cambria Math" w:cstheme="minorBidi"/>
                          <w:szCs w:val="20"/>
                        </w:rPr>
                      </m:ctrlPr>
                    </m:sup>
                  </m:sSubSup>
                  <m:r>
                    <m:rPr>
                      <m:sty m:val="p"/>
                    </m:rPr>
                    <w:rPr>
                      <w:rFonts w:ascii="Cambria Math" w:hAnsi="Cambria Math" w:cstheme="minorBidi"/>
                      <w:szCs w:val="20"/>
                    </w:rPr>
                    <m:t>+</m:t>
                  </m:r>
                  <m:sSubSup>
                    <m:sSubSupPr>
                      <m:ctrlPr>
                        <w:rPr>
                          <w:rFonts w:ascii="Cambria Math" w:hAnsi="Cambria Math" w:cstheme="minorBidi"/>
                          <w:szCs w:val="20"/>
                        </w:rPr>
                      </m:ctrlPr>
                    </m:sSubSupPr>
                    <m:e>
                      <m:r>
                        <m:rPr/>
                        <w:rPr>
                          <w:rFonts w:ascii="Cambria Math" w:hAnsi="Cambria Math" w:cstheme="minorBidi"/>
                          <w:szCs w:val="20"/>
                        </w:rPr>
                        <m:t>U</m:t>
                      </m:r>
                      <m:ctrlPr>
                        <w:rPr>
                          <w:rFonts w:ascii="Cambria Math" w:hAnsi="Cambria Math" w:cstheme="minorBidi"/>
                          <w:szCs w:val="20"/>
                        </w:rPr>
                      </m:ctrlPr>
                    </m:e>
                    <m:sub>
                      <m:r>
                        <m:rPr/>
                        <w:rPr>
                          <w:rFonts w:ascii="Cambria Math" w:hAnsi="Cambria Math" w:cstheme="minorBidi"/>
                          <w:szCs w:val="20"/>
                        </w:rPr>
                        <m:t>o</m:t>
                      </m:r>
                      <m:r>
                        <m:rPr>
                          <m:sty m:val="p"/>
                        </m:rPr>
                        <w:rPr>
                          <w:rFonts w:ascii="Cambria Math" w:hAnsi="Cambria Math" w:cstheme="minorBidi"/>
                          <w:szCs w:val="20"/>
                        </w:rPr>
                        <m:t>5</m:t>
                      </m:r>
                      <m:ctrlPr>
                        <w:rPr>
                          <w:rFonts w:ascii="Cambria Math" w:hAnsi="Cambria Math" w:cstheme="minorBidi"/>
                          <w:szCs w:val="20"/>
                        </w:rPr>
                      </m:ctrlPr>
                    </m:sub>
                    <m:sup>
                      <m:r>
                        <m:rPr>
                          <m:sty m:val="p"/>
                        </m:rPr>
                        <w:rPr>
                          <w:rFonts w:ascii="Cambria Math" w:hAnsi="Cambria Math" w:cstheme="minorBidi"/>
                          <w:szCs w:val="20"/>
                        </w:rPr>
                        <m:t>2</m:t>
                      </m:r>
                      <m:ctrlPr>
                        <w:rPr>
                          <w:rFonts w:ascii="Cambria Math" w:hAnsi="Cambria Math" w:cstheme="minorBidi"/>
                          <w:szCs w:val="20"/>
                        </w:rPr>
                      </m:ctrlPr>
                    </m:sup>
                  </m:sSubSup>
                  <m:ctrlPr>
                    <w:rPr>
                      <w:rFonts w:ascii="Cambria Math" w:hAnsi="Cambria Math" w:cstheme="minorBidi"/>
                      <w:szCs w:val="20"/>
                    </w:rPr>
                  </m:ctrlPr>
                </m:e>
              </m:rad>
              <m:ctrlPr>
                <w:rPr>
                  <w:rFonts w:ascii="Cambria Math" w:hAnsi="Cambria Math" w:cstheme="minorBidi"/>
                  <w:szCs w:val="20"/>
                </w:rPr>
              </m:ctrlPr>
            </m:num>
            <m:den>
              <m:sSub>
                <m:sSubPr>
                  <m:ctrlPr>
                    <w:rPr>
                      <w:rFonts w:ascii="Cambria Math" w:hAnsi="Cambria Math" w:cstheme="minorBidi"/>
                      <w:szCs w:val="20"/>
                    </w:rPr>
                  </m:ctrlPr>
                </m:sSubPr>
                <m:e>
                  <m:r>
                    <m:rPr/>
                    <w:rPr>
                      <w:rFonts w:ascii="Cambria Math" w:hAnsi="Cambria Math" w:cstheme="minorBidi"/>
                      <w:szCs w:val="20"/>
                    </w:rPr>
                    <m:t>U</m:t>
                  </m:r>
                  <m:ctrlPr>
                    <w:rPr>
                      <w:rFonts w:ascii="Cambria Math" w:hAnsi="Cambria Math" w:cstheme="minorBidi"/>
                      <w:szCs w:val="20"/>
                    </w:rPr>
                  </m:ctrlPr>
                </m:e>
                <m:sub>
                  <m:r>
                    <m:rPr/>
                    <w:rPr>
                      <w:rFonts w:ascii="Cambria Math" w:hAnsi="Cambria Math" w:cstheme="minorBidi"/>
                      <w:szCs w:val="20"/>
                    </w:rPr>
                    <m:t>o</m:t>
                  </m:r>
                  <m:r>
                    <m:rPr>
                      <m:sty m:val="p"/>
                    </m:rPr>
                    <w:rPr>
                      <w:rFonts w:ascii="Cambria Math" w:hAnsi="Cambria Math" w:cstheme="minorBidi"/>
                      <w:szCs w:val="20"/>
                    </w:rPr>
                    <m:t>1</m:t>
                  </m:r>
                  <m:ctrlPr>
                    <w:rPr>
                      <w:rFonts w:ascii="Cambria Math" w:hAnsi="Cambria Math" w:cstheme="minorBidi"/>
                      <w:szCs w:val="20"/>
                    </w:rPr>
                  </m:ctrlPr>
                </m:sub>
              </m:sSub>
              <m:ctrlPr>
                <w:rPr>
                  <w:rFonts w:ascii="Cambria Math" w:hAnsi="Cambria Math" w:cstheme="minorBidi"/>
                  <w:szCs w:val="20"/>
                </w:rPr>
              </m:ctrlPr>
            </m:den>
          </m:f>
          <m:r>
            <m:rPr>
              <m:sty m:val="p"/>
            </m:rPr>
            <w:rPr>
              <w:rFonts w:hint="eastAsia" w:ascii="Cambria Math" w:hAnsi="Cambria Math" w:cstheme="minorBidi"/>
              <w:szCs w:val="20"/>
            </w:rPr>
            <m:t>×</m:t>
          </m:r>
          <m:r>
            <m:rPr>
              <m:sty m:val="p"/>
            </m:rPr>
            <w:rPr>
              <w:rFonts w:ascii="Cambria Math" w:hAnsi="Cambria Math" w:cstheme="minorBidi"/>
              <w:szCs w:val="20"/>
            </w:rPr>
            <m:t>100%</m:t>
          </m:r>
        </m:oMath>
      </m:oMathPara>
    </w:p>
    <w:p w14:paraId="540E8746">
      <w:pPr>
        <w:spacing w:line="240" w:lineRule="auto"/>
        <w:ind w:left="120" w:firstLine="360"/>
      </w:pPr>
      <w:r>
        <w:t>其中，</w:t>
      </w:r>
      <m:oMath>
        <m:sSub>
          <m:sSubPr>
            <m:ctrlPr>
              <w:rPr>
                <w:rFonts w:ascii="Cambria Math" w:hAnsi="Cambria Math"/>
                <w:i/>
              </w:rPr>
            </m:ctrlPr>
          </m:sSubPr>
          <m:e>
            <m:r>
              <m:rPr/>
              <w:rPr>
                <w:rFonts w:hint="eastAsia" w:ascii="Cambria Math" w:hAnsi="Cambria Math"/>
              </w:rPr>
              <m:t>U</m:t>
            </m:r>
            <m:ctrlPr>
              <w:rPr>
                <w:rFonts w:hint="eastAsia" w:ascii="Cambria Math" w:hAnsi="Cambria Math"/>
                <w:i/>
              </w:rPr>
            </m:ctrlPr>
          </m:e>
          <m:sub>
            <m:r>
              <m:rPr/>
              <w:rPr>
                <w:rFonts w:ascii="Cambria Math" w:hAnsi="Cambria Math"/>
              </w:rPr>
              <m:t>on</m:t>
            </m:r>
            <m:ctrlPr>
              <w:rPr>
                <w:rFonts w:ascii="Cambria Math" w:hAnsi="Cambria Math"/>
                <w:i/>
              </w:rPr>
            </m:ctrlPr>
          </m:sub>
        </m:sSub>
      </m:oMath>
      <w:r>
        <w:t>为n次谐波</w:t>
      </w:r>
      <w:r>
        <w:rPr>
          <w:rFonts w:hint="eastAsia"/>
        </w:rPr>
        <w:t>电压</w:t>
      </w:r>
      <w:r>
        <w:t>。</w:t>
      </w:r>
    </w:p>
    <w:p w14:paraId="14B03FAE">
      <w:pPr>
        <w:pStyle w:val="2"/>
        <w:keepNext w:val="0"/>
        <w:spacing w:before="260" w:after="163"/>
      </w:pPr>
      <w:bookmarkStart w:id="11" w:name="_Toc25913354"/>
      <w:r>
        <w:rPr>
          <w:rFonts w:hint="eastAsia"/>
        </w:rPr>
        <w:t>电路与程序设计</w:t>
      </w:r>
      <w:bookmarkEnd w:id="11"/>
    </w:p>
    <w:p w14:paraId="4887BF7E">
      <w:pPr>
        <w:pStyle w:val="3"/>
        <w:keepNext w:val="0"/>
      </w:pPr>
      <w:r>
        <w:rPr>
          <w:rFonts w:hint="eastAsia"/>
        </w:rPr>
        <w:t>硬件电路</w:t>
      </w:r>
    </w:p>
    <w:p w14:paraId="1ACA10FA">
      <w:pPr>
        <w:pStyle w:val="5"/>
        <w:keepNext w:val="0"/>
        <w:spacing w:before="163" w:after="163"/>
      </w:pPr>
      <w:r>
        <w:rPr>
          <w:rFonts w:hint="eastAsia"/>
          <w:lang w:val="en-US" w:eastAsia="zh-CN"/>
        </w:rPr>
        <w:t>AGC电路</w:t>
      </w:r>
      <w:r>
        <w:rPr>
          <w:rFonts w:hint="eastAsia"/>
        </w:rPr>
        <w:t>设计</w:t>
      </w:r>
    </w:p>
    <w:p w14:paraId="49F13AB5">
      <w:pPr>
        <w:pStyle w:val="12"/>
        <w:ind w:firstLine="480" w:firstLineChars="200"/>
        <w:jc w:val="both"/>
        <w:rPr>
          <w:rFonts w:hint="eastAsia"/>
          <w:lang w:val="en-US" w:eastAsia="zh-CN"/>
        </w:rPr>
      </w:pPr>
      <w:r>
        <w:rPr>
          <w:rFonts w:hint="eastAsia"/>
          <w:lang w:val="en-US" w:eastAsia="zh-CN"/>
        </w:rPr>
        <w:t>AGC电路由压控放大器VCA821和低噪声运放OPA656组成。VCA821和OPA656高达几百兆的带宽使得输入信号在频率较高时也能稳定不失真。具体原理为VCA821输出的信号经过OPA656放大器后经过OPA656与检波二极管构成的滤波器后输入到VCA821的控制端，形成反馈回路，不断地调整VCA821的输出电压，使其输出幅度达到稳定，实际电路调试中输出电压大概稳定在6V左右。</w:t>
      </w:r>
    </w:p>
    <w:p w14:paraId="40BDACA5">
      <w:pPr>
        <w:pStyle w:val="12"/>
        <w:ind w:firstLine="480" w:firstLineChars="200"/>
        <w:jc w:val="both"/>
      </w:pPr>
      <w:r>
        <w:rPr>
          <w:rFonts w:hint="eastAsia"/>
          <w:lang w:val="en-US" w:eastAsia="zh-CN"/>
        </w:rPr>
        <w:t>但是在具体调试时，为了使其自动增益的频率范围达到题目要求的范围，还需要微调C11和R19的值。</w:t>
      </w:r>
      <w:r>
        <w:rPr>
          <w:rFonts w:hint="eastAsia"/>
        </w:rPr>
        <w:t>电路图如图</w:t>
      </w:r>
      <w:r>
        <w:t>3.</w:t>
      </w:r>
      <w:r>
        <w:rPr>
          <w:rFonts w:hint="eastAsia"/>
          <w:lang w:val="en-US" w:eastAsia="zh-CN"/>
        </w:rPr>
        <w:t>1.</w:t>
      </w:r>
      <w:r>
        <w:t>1</w:t>
      </w:r>
      <w:r>
        <w:rPr>
          <w:rFonts w:hint="eastAsia"/>
        </w:rPr>
        <w:t>所示。</w:t>
      </w:r>
    </w:p>
    <w:p w14:paraId="37EFB6D8">
      <w:pPr>
        <w:spacing w:line="240" w:lineRule="auto"/>
        <w:jc w:val="center"/>
      </w:pPr>
      <w:r>
        <w:drawing>
          <wp:inline distT="0" distB="0" distL="114300" distR="114300">
            <wp:extent cx="5272405" cy="2025015"/>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2405" cy="2025015"/>
                    </a:xfrm>
                    <a:prstGeom prst="rect">
                      <a:avLst/>
                    </a:prstGeom>
                    <a:noFill/>
                    <a:ln>
                      <a:noFill/>
                    </a:ln>
                  </pic:spPr>
                </pic:pic>
              </a:graphicData>
            </a:graphic>
          </wp:inline>
        </w:drawing>
      </w:r>
    </w:p>
    <w:p w14:paraId="7944EC68">
      <w:pPr>
        <w:spacing w:line="240" w:lineRule="auto"/>
        <w:jc w:val="center"/>
      </w:pPr>
      <w:r>
        <w:rPr>
          <w:rFonts w:hint="eastAsia"/>
        </w:rPr>
        <w:t>图3</w:t>
      </w:r>
      <w:r>
        <w:t>.1</w:t>
      </w:r>
      <w:r>
        <w:rPr>
          <w:rFonts w:hint="eastAsia"/>
          <w:lang w:val="en-US" w:eastAsia="zh-CN"/>
        </w:rPr>
        <w:t>.1 AGC</w:t>
      </w:r>
      <w:r>
        <w:rPr>
          <w:rFonts w:hint="eastAsia"/>
        </w:rPr>
        <w:t>电路图</w:t>
      </w:r>
    </w:p>
    <w:p w14:paraId="1F7C0D1D">
      <w:pPr>
        <w:pStyle w:val="5"/>
        <w:keepNext w:val="0"/>
        <w:spacing w:before="163" w:after="163"/>
      </w:pPr>
      <w:r>
        <w:rPr>
          <w:rFonts w:hint="eastAsia"/>
          <w:lang w:val="en-US" w:eastAsia="zh-CN"/>
        </w:rPr>
        <w:t>衰减器电路</w:t>
      </w:r>
      <w:r>
        <w:rPr>
          <w:rFonts w:hint="eastAsia"/>
        </w:rPr>
        <w:t>设计</w:t>
      </w:r>
    </w:p>
    <w:p w14:paraId="6FA60A7F">
      <w:pPr>
        <w:ind w:firstLine="480" w:firstLineChars="200"/>
      </w:pPr>
      <w:r>
        <w:rPr>
          <w:rFonts w:hint="eastAsia"/>
          <w:lang w:val="en-US" w:eastAsia="zh-CN"/>
        </w:rPr>
        <w:t>衰减器由低噪声运放OPA690构成的反相衰减器组成。反相输入端较大的输入阻抗使得衰减器能获得前级大部分的电压。理论衰减倍数为R110/R109，实际设计为</w:t>
      </w:r>
      <w:r>
        <w:rPr>
          <w:rFonts w:hint="eastAsia"/>
          <w:spacing w:val="-2"/>
          <w:lang w:val="en-US" w:eastAsia="zh-CN"/>
        </w:rPr>
        <w:t>6</w:t>
      </w:r>
      <w:r>
        <w:rPr>
          <w:rFonts w:hint="eastAsia"/>
          <w:lang w:val="en-US" w:eastAsia="zh-CN"/>
        </w:rPr>
        <w:t>倍的衰减，输出信号峰峰值大约为1V，而且为了使电路平衡，在同相端接入R111≈R109，使得电路的性能达到最佳。衰减器将输出峰峰值控制在1V左右，使得单片机测得比较准。</w:t>
      </w:r>
      <w:r>
        <w:rPr>
          <w:rFonts w:hint="eastAsia"/>
        </w:rPr>
        <w:t>电路图如图3</w:t>
      </w:r>
      <w:r>
        <w:t>.</w:t>
      </w:r>
      <w:r>
        <w:rPr>
          <w:rFonts w:hint="eastAsia"/>
          <w:lang w:val="en-US" w:eastAsia="zh-CN"/>
        </w:rPr>
        <w:t>1.</w:t>
      </w:r>
      <w:r>
        <w:rPr>
          <w:rFonts w:hint="eastAsia"/>
        </w:rPr>
        <w:t>2所示。</w:t>
      </w:r>
    </w:p>
    <w:p w14:paraId="7E5B458F">
      <w:pPr>
        <w:spacing w:line="240" w:lineRule="auto"/>
        <w:ind w:firstLine="480" w:firstLineChars="200"/>
        <w:jc w:val="center"/>
      </w:pPr>
      <w:r>
        <w:drawing>
          <wp:inline distT="0" distB="0" distL="114300" distR="114300">
            <wp:extent cx="5273675" cy="2066290"/>
            <wp:effectExtent l="0" t="0" r="1460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3675" cy="2066290"/>
                    </a:xfrm>
                    <a:prstGeom prst="rect">
                      <a:avLst/>
                    </a:prstGeom>
                    <a:noFill/>
                    <a:ln>
                      <a:noFill/>
                    </a:ln>
                  </pic:spPr>
                </pic:pic>
              </a:graphicData>
            </a:graphic>
          </wp:inline>
        </w:drawing>
      </w:r>
    </w:p>
    <w:p w14:paraId="6761C618">
      <w:pPr>
        <w:spacing w:line="240" w:lineRule="auto"/>
        <w:ind w:firstLine="480" w:firstLineChars="200"/>
        <w:jc w:val="center"/>
        <w:rPr>
          <w:rFonts w:hint="eastAsia"/>
        </w:rPr>
      </w:pPr>
      <w:r>
        <w:rPr>
          <w:rFonts w:hint="eastAsia"/>
        </w:rPr>
        <w:t>图3</w:t>
      </w:r>
      <w:r>
        <w:t>.</w:t>
      </w:r>
      <w:r>
        <w:rPr>
          <w:rFonts w:hint="eastAsia"/>
          <w:lang w:val="en-US" w:eastAsia="zh-CN"/>
        </w:rPr>
        <w:t>1.2</w:t>
      </w:r>
      <w:r>
        <w:t xml:space="preserve"> </w:t>
      </w:r>
      <w:r>
        <w:rPr>
          <w:rFonts w:hint="eastAsia"/>
          <w:lang w:val="en-US" w:eastAsia="zh-CN"/>
        </w:rPr>
        <w:t>衰减器</w:t>
      </w:r>
      <w:r>
        <w:rPr>
          <w:rFonts w:hint="eastAsia"/>
        </w:rPr>
        <w:t>电路图</w:t>
      </w:r>
    </w:p>
    <w:p w14:paraId="1DA96C3D">
      <w:pPr>
        <w:bidi w:val="0"/>
        <w:rPr>
          <w:rFonts w:hint="eastAsia" w:ascii="Times New Roman" w:hAnsi="Times New Roman" w:eastAsia="宋体" w:cstheme="minorBidi"/>
          <w:sz w:val="24"/>
          <w:lang w:val="en-US" w:eastAsia="zh-CN" w:bidi="ar-SA"/>
        </w:rPr>
      </w:pPr>
    </w:p>
    <w:p w14:paraId="097E1EB5">
      <w:pPr>
        <w:pStyle w:val="5"/>
        <w:keepNext w:val="0"/>
        <w:spacing w:before="163" w:after="163"/>
      </w:pPr>
      <w:r>
        <w:rPr>
          <w:rFonts w:hint="eastAsia"/>
          <w:lang w:val="en-US" w:eastAsia="zh-CN"/>
        </w:rPr>
        <w:t>偏置电路</w:t>
      </w:r>
      <w:r>
        <w:rPr>
          <w:rFonts w:hint="eastAsia"/>
        </w:rPr>
        <w:t>设计</w:t>
      </w:r>
    </w:p>
    <w:p w14:paraId="5CDCA1DB">
      <w:pPr>
        <w:ind w:firstLine="480" w:firstLineChars="200"/>
        <w:rPr>
          <w:rFonts w:hint="eastAsia"/>
        </w:rPr>
      </w:pPr>
      <w:r>
        <w:rPr>
          <w:rFonts w:hint="eastAsia"/>
          <w:lang w:val="en-US" w:eastAsia="zh-CN"/>
        </w:rPr>
        <w:t>偏置电路由低噪声运放OPA690构成的同相加法器组成。同相输入端较大的输入阻抗使得加法器能获得前级大部分的电压。另一路用滑动变阻器与固定电阻分压，即可实现对输出信号加上0~5V的直流偏置，便于后面进入单片机的板载ADC进行测量。</w:t>
      </w:r>
      <w:r>
        <w:rPr>
          <w:rFonts w:hint="eastAsia"/>
        </w:rPr>
        <w:t>电路图如图3</w:t>
      </w:r>
      <w:r>
        <w:t>.</w:t>
      </w:r>
      <w:r>
        <w:rPr>
          <w:rFonts w:hint="eastAsia"/>
          <w:lang w:val="en-US" w:eastAsia="zh-CN"/>
        </w:rPr>
        <w:t>1.3</w:t>
      </w:r>
      <w:r>
        <w:rPr>
          <w:rFonts w:hint="eastAsia"/>
        </w:rPr>
        <w:t>所示。</w:t>
      </w:r>
    </w:p>
    <w:p w14:paraId="111951F8">
      <w:pPr>
        <w:spacing w:line="240" w:lineRule="auto"/>
        <w:ind w:firstLine="480" w:firstLineChars="200"/>
        <w:jc w:val="center"/>
      </w:pPr>
      <w:r>
        <w:drawing>
          <wp:inline distT="0" distB="0" distL="114300" distR="114300">
            <wp:extent cx="5270500" cy="2637790"/>
            <wp:effectExtent l="0" t="0" r="2540"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0500" cy="2637790"/>
                    </a:xfrm>
                    <a:prstGeom prst="rect">
                      <a:avLst/>
                    </a:prstGeom>
                    <a:noFill/>
                    <a:ln>
                      <a:noFill/>
                    </a:ln>
                  </pic:spPr>
                </pic:pic>
              </a:graphicData>
            </a:graphic>
          </wp:inline>
        </w:drawing>
      </w:r>
    </w:p>
    <w:p w14:paraId="6FBD7ED8">
      <w:pPr>
        <w:spacing w:line="240" w:lineRule="auto"/>
        <w:ind w:firstLine="480" w:firstLineChars="200"/>
        <w:jc w:val="center"/>
        <w:rPr>
          <w:rFonts w:hint="eastAsia"/>
        </w:rPr>
      </w:pPr>
      <w:r>
        <w:rPr>
          <w:rFonts w:hint="eastAsia"/>
        </w:rPr>
        <w:t>图3</w:t>
      </w:r>
      <w:r>
        <w:t>.</w:t>
      </w:r>
      <w:r>
        <w:rPr>
          <w:rFonts w:hint="eastAsia"/>
          <w:lang w:val="en-US" w:eastAsia="zh-CN"/>
        </w:rPr>
        <w:t>1.3</w:t>
      </w:r>
      <w:r>
        <w:t xml:space="preserve"> </w:t>
      </w:r>
      <w:r>
        <w:rPr>
          <w:rFonts w:hint="eastAsia"/>
          <w:lang w:val="en-US" w:eastAsia="zh-CN"/>
        </w:rPr>
        <w:t>偏置</w:t>
      </w:r>
      <w:r>
        <w:rPr>
          <w:rFonts w:hint="eastAsia"/>
        </w:rPr>
        <w:t>电路图</w:t>
      </w:r>
    </w:p>
    <w:p w14:paraId="36B783E7">
      <w:pPr>
        <w:ind w:firstLine="480" w:firstLineChars="200"/>
        <w:rPr>
          <w:rFonts w:hint="eastAsia"/>
        </w:rPr>
      </w:pPr>
    </w:p>
    <w:p w14:paraId="5142AAD0">
      <w:pPr>
        <w:bidi w:val="0"/>
        <w:ind w:firstLine="280" w:firstLineChars="0"/>
        <w:jc w:val="left"/>
        <w:rPr>
          <w:rFonts w:hint="eastAsia"/>
          <w:lang w:val="en-US" w:eastAsia="zh-CN"/>
        </w:rPr>
      </w:pPr>
    </w:p>
    <w:p w14:paraId="77A3AD33">
      <w:pPr>
        <w:pStyle w:val="3"/>
        <w:keepNext w:val="0"/>
      </w:pPr>
      <w:r>
        <w:rPr>
          <w:rFonts w:hint="eastAsia"/>
        </w:rPr>
        <w:t>系统软件设计</w:t>
      </w:r>
    </w:p>
    <w:p w14:paraId="5C6EDBD5">
      <w:pPr>
        <w:pStyle w:val="15"/>
        <w:spacing w:before="163" w:after="163" w:line="292" w:lineRule="auto"/>
        <w:ind w:left="142" w:right="423" w:firstLine="480"/>
        <w:rPr>
          <w:rFonts w:hint="eastAsia" w:ascii="Times New Roman" w:hAnsi="Times New Roman" w:cstheme="minorBidi"/>
          <w:szCs w:val="20"/>
        </w:rPr>
      </w:pPr>
      <w:r>
        <w:rPr>
          <w:rFonts w:ascii="Times New Roman" w:hAnsi="Times New Roman" w:cstheme="minorBidi"/>
          <w:szCs w:val="20"/>
        </w:rPr>
        <w:t>程序流程图如</w:t>
      </w:r>
      <w:r>
        <w:rPr>
          <w:rFonts w:hint="eastAsia" w:ascii="Times New Roman" w:hAnsi="Times New Roman" w:cstheme="minorBidi"/>
          <w:szCs w:val="20"/>
        </w:rPr>
        <w:t>图3</w:t>
      </w:r>
      <w:r>
        <w:rPr>
          <w:rFonts w:ascii="Times New Roman" w:hAnsi="Times New Roman" w:cstheme="minorBidi"/>
          <w:szCs w:val="20"/>
        </w:rPr>
        <w:t>.2所示。程序初始化后，</w:t>
      </w:r>
      <w:r>
        <w:rPr>
          <w:rFonts w:hint="eastAsia" w:ascii="Times New Roman" w:hAnsi="Times New Roman" w:cstheme="minorBidi"/>
          <w:szCs w:val="20"/>
        </w:rPr>
        <w:t>系统开始进行A</w:t>
      </w:r>
      <w:r>
        <w:rPr>
          <w:rFonts w:ascii="Times New Roman" w:hAnsi="Times New Roman" w:cstheme="minorBidi"/>
          <w:szCs w:val="20"/>
        </w:rPr>
        <w:t>DC</w:t>
      </w:r>
      <w:r>
        <w:rPr>
          <w:rFonts w:hint="eastAsia" w:ascii="Times New Roman" w:hAnsi="Times New Roman" w:cstheme="minorBidi"/>
          <w:szCs w:val="20"/>
        </w:rPr>
        <w:t>采集，然后进行F</w:t>
      </w:r>
      <w:r>
        <w:rPr>
          <w:rFonts w:ascii="Times New Roman" w:hAnsi="Times New Roman" w:cstheme="minorBidi"/>
          <w:szCs w:val="20"/>
        </w:rPr>
        <w:t>FT</w:t>
      </w:r>
      <w:r>
        <w:rPr>
          <w:rFonts w:hint="eastAsia" w:ascii="Times New Roman" w:hAnsi="Times New Roman" w:cstheme="minorBidi"/>
          <w:szCs w:val="20"/>
        </w:rPr>
        <w:t>计算，从得到的频谱中寻找最大值作为基波（一次谐波），在基波的倍频位置寻找</w:t>
      </w:r>
      <w:r>
        <w:rPr>
          <w:rFonts w:ascii="Times New Roman" w:hAnsi="Times New Roman" w:cstheme="minorBidi"/>
          <w:szCs w:val="20"/>
        </w:rPr>
        <w:t>2-5</w:t>
      </w:r>
      <w:r>
        <w:rPr>
          <w:rFonts w:hint="eastAsia" w:ascii="Times New Roman" w:hAnsi="Times New Roman" w:cstheme="minorBidi"/>
          <w:szCs w:val="20"/>
        </w:rPr>
        <w:t>次谐波，分别与基波的强度相比得到各次谐波的归一化幅度，代入公式可计算得总谐波失真T</w:t>
      </w:r>
      <w:r>
        <w:rPr>
          <w:rFonts w:ascii="Times New Roman" w:hAnsi="Times New Roman" w:cstheme="minorBidi"/>
          <w:szCs w:val="20"/>
        </w:rPr>
        <w:t>HD</w:t>
      </w:r>
      <w:r>
        <w:rPr>
          <w:rFonts w:hint="eastAsia" w:ascii="Times New Roman" w:hAnsi="Times New Roman" w:cstheme="minorBidi"/>
          <w:szCs w:val="20"/>
        </w:rPr>
        <w:t>。计算全部完成后将计算结果及采集波形通过蓝牙模块发送到手机。</w:t>
      </w:r>
    </w:p>
    <w:p w14:paraId="4FFC145C">
      <w:pPr>
        <w:pStyle w:val="15"/>
        <w:spacing w:before="163" w:after="163" w:line="292" w:lineRule="auto"/>
        <w:ind w:right="423"/>
        <w:rPr>
          <w:rFonts w:hint="eastAsia" w:ascii="Times New Roman" w:hAnsi="Times New Roman" w:cstheme="minorBidi"/>
          <w:szCs w:val="20"/>
        </w:rPr>
      </w:pPr>
    </w:p>
    <w:p w14:paraId="5A68F12B">
      <w:pPr>
        <w:pStyle w:val="15"/>
        <w:spacing w:before="163" w:after="163" w:line="292" w:lineRule="auto"/>
        <w:ind w:right="423"/>
        <w:rPr>
          <w:rFonts w:hint="eastAsia" w:ascii="Times New Roman" w:hAnsi="Times New Roman" w:cstheme="minorBidi"/>
          <w:szCs w:val="20"/>
        </w:rPr>
      </w:pPr>
    </w:p>
    <w:p w14:paraId="0473FC57">
      <w:pPr>
        <w:pStyle w:val="15"/>
        <w:spacing w:before="163" w:after="163" w:line="292" w:lineRule="auto"/>
        <w:ind w:right="423"/>
        <w:rPr>
          <w:rFonts w:hint="eastAsia" w:ascii="Times New Roman" w:hAnsi="Times New Roman" w:cstheme="minorBidi"/>
          <w:szCs w:val="20"/>
        </w:rPr>
      </w:pPr>
    </w:p>
    <w:p w14:paraId="4455455E">
      <w:pPr>
        <w:pStyle w:val="15"/>
        <w:spacing w:before="163" w:after="163" w:line="292" w:lineRule="auto"/>
        <w:ind w:right="423"/>
        <w:rPr>
          <w:rFonts w:hint="eastAsia" w:ascii="Times New Roman" w:hAnsi="Times New Roman" w:cstheme="minorBidi"/>
          <w:szCs w:val="20"/>
        </w:rPr>
      </w:pPr>
    </w:p>
    <w:p w14:paraId="2C522A0D">
      <w:pPr>
        <w:pStyle w:val="15"/>
        <w:spacing w:before="163" w:after="163" w:line="292" w:lineRule="auto"/>
        <w:ind w:right="423"/>
        <w:rPr>
          <w:rFonts w:hint="eastAsia" w:ascii="Times New Roman" w:hAnsi="Times New Roman" w:cstheme="minorBidi"/>
          <w:szCs w:val="20"/>
        </w:rPr>
      </w:pPr>
    </w:p>
    <w:p w14:paraId="47329205">
      <w:pPr>
        <w:pStyle w:val="15"/>
        <w:spacing w:before="163" w:after="163" w:line="292" w:lineRule="auto"/>
        <w:ind w:right="423"/>
        <w:rPr>
          <w:rFonts w:hint="eastAsia" w:ascii="Times New Roman" w:hAnsi="Times New Roman" w:cstheme="minorBidi"/>
          <w:sz w:val="21"/>
          <w:szCs w:val="16"/>
        </w:rPr>
      </w:pPr>
      <w:r>
        <w:drawing>
          <wp:anchor distT="0" distB="0" distL="114300" distR="114300" simplePos="0" relativeHeight="251659264" behindDoc="0" locked="0" layoutInCell="1" allowOverlap="1">
            <wp:simplePos x="0" y="0"/>
            <wp:positionH relativeFrom="column">
              <wp:posOffset>1402715</wp:posOffset>
            </wp:positionH>
            <wp:positionV relativeFrom="paragraph">
              <wp:posOffset>-260985</wp:posOffset>
            </wp:positionV>
            <wp:extent cx="2286000" cy="1918970"/>
            <wp:effectExtent l="0" t="0" r="0" b="127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86000" cy="1918970"/>
                    </a:xfrm>
                    <a:prstGeom prst="rect">
                      <a:avLst/>
                    </a:prstGeom>
                  </pic:spPr>
                </pic:pic>
              </a:graphicData>
            </a:graphic>
          </wp:anchor>
        </w:drawing>
      </w:r>
    </w:p>
    <w:p w14:paraId="4AA74A3D">
      <w:pPr>
        <w:pStyle w:val="15"/>
        <w:spacing w:before="163" w:after="163" w:line="292" w:lineRule="auto"/>
        <w:ind w:left="142" w:right="423" w:firstLine="480"/>
        <w:jc w:val="center"/>
        <w:rPr>
          <w:rFonts w:hint="eastAsia" w:ascii="Times New Roman" w:hAnsi="Times New Roman" w:eastAsia="宋体" w:cstheme="minorBidi"/>
          <w:sz w:val="24"/>
          <w:szCs w:val="20"/>
          <w:lang w:val="en-US" w:eastAsia="zh-CN" w:bidi="ar-SA"/>
        </w:rPr>
      </w:pPr>
      <w:r>
        <w:rPr>
          <w:rFonts w:hint="eastAsia" w:ascii="Times New Roman" w:hAnsi="Times New Roman" w:eastAsia="宋体" w:cstheme="minorBidi"/>
          <w:sz w:val="24"/>
          <w:szCs w:val="20"/>
          <w:lang w:val="en-US" w:eastAsia="zh-CN" w:bidi="ar-SA"/>
        </w:rPr>
        <w:t>图3.2 程序流程图</w:t>
      </w:r>
    </w:p>
    <w:p w14:paraId="7DE7454D">
      <w:pPr>
        <w:pStyle w:val="15"/>
        <w:spacing w:before="163" w:after="163" w:line="292" w:lineRule="auto"/>
        <w:ind w:left="142" w:right="423" w:firstLine="480"/>
        <w:rPr>
          <w:rFonts w:hint="eastAsia" w:ascii="Times New Roman" w:hAnsi="Times New Roman" w:cstheme="minorBidi"/>
          <w:szCs w:val="20"/>
        </w:rPr>
      </w:pPr>
    </w:p>
    <w:p w14:paraId="25C0D81C">
      <w:pPr>
        <w:pStyle w:val="2"/>
        <w:spacing w:before="260" w:after="163"/>
      </w:pPr>
      <w:r>
        <w:rPr>
          <w:rFonts w:hint="eastAsia"/>
        </w:rPr>
        <w:t>测试方案与测试结果</w:t>
      </w:r>
    </w:p>
    <w:p w14:paraId="722F7925">
      <w:pPr>
        <w:pStyle w:val="3"/>
      </w:pPr>
      <w:r>
        <w:rPr>
          <w:rFonts w:hint="eastAsia"/>
        </w:rPr>
        <w:t>测试使用的仪器及型号</w:t>
      </w:r>
    </w:p>
    <w:p w14:paraId="22476B84">
      <w:pPr>
        <w:ind w:firstLine="480" w:firstLineChars="200"/>
      </w:pPr>
      <w:r>
        <w:rPr>
          <w:rFonts w:hint="eastAsia"/>
          <w:szCs w:val="24"/>
        </w:rPr>
        <w:t>测试所用仪器及型号如表</w:t>
      </w:r>
      <w:r>
        <w:rPr>
          <w:rFonts w:cs="Times New Roman"/>
          <w:szCs w:val="24"/>
        </w:rPr>
        <w:t>4.1</w:t>
      </w:r>
      <w:r>
        <w:rPr>
          <w:rFonts w:hint="eastAsia"/>
          <w:szCs w:val="24"/>
        </w:rPr>
        <w:t>所</w:t>
      </w:r>
      <w:r>
        <w:rPr>
          <w:rFonts w:hint="eastAsia"/>
        </w:rPr>
        <w:t>示。</w:t>
      </w:r>
    </w:p>
    <w:p w14:paraId="28F47029">
      <w:pPr>
        <w:pStyle w:val="12"/>
        <w:keepNext/>
      </w:pPr>
      <w:r>
        <w:t xml:space="preserve">表 </w:t>
      </w:r>
      <w:r>
        <w:fldChar w:fldCharType="begin"/>
      </w:r>
      <w:r>
        <w:instrText xml:space="preserve"> STYLEREF 1 \s </w:instrText>
      </w:r>
      <w:r>
        <w:fldChar w:fldCharType="separate"/>
      </w:r>
      <w:r>
        <w:t>4</w:t>
      </w:r>
      <w:r>
        <w:fldChar w:fldCharType="end"/>
      </w:r>
      <w:r>
        <w:t>.</w:t>
      </w:r>
      <w:r>
        <w:fldChar w:fldCharType="begin"/>
      </w:r>
      <w:r>
        <w:instrText xml:space="preserve"> SEQ 表 \* ARABIC \s 1 </w:instrText>
      </w:r>
      <w:r>
        <w:fldChar w:fldCharType="separate"/>
      </w:r>
      <w:r>
        <w:t>1</w:t>
      </w:r>
      <w:r>
        <w:fldChar w:fldCharType="end"/>
      </w:r>
      <w:r>
        <w:t xml:space="preserve"> </w:t>
      </w:r>
      <w:r>
        <w:rPr>
          <w:rFonts w:hint="eastAsia"/>
        </w:rPr>
        <w:t>测试所用仪器及型号</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1"/>
        <w:gridCol w:w="4151"/>
      </w:tblGrid>
      <w:tr w14:paraId="76B5C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right w:val="nil"/>
            </w:tcBorders>
          </w:tcPr>
          <w:p w14:paraId="447F9A21">
            <w:pPr>
              <w:jc w:val="center"/>
            </w:pPr>
            <w:r>
              <w:rPr>
                <w:rFonts w:hint="eastAsia"/>
              </w:rPr>
              <w:t>仪器</w:t>
            </w:r>
          </w:p>
        </w:tc>
        <w:tc>
          <w:tcPr>
            <w:tcW w:w="4151" w:type="dxa"/>
            <w:tcBorders>
              <w:left w:val="nil"/>
              <w:right w:val="nil"/>
            </w:tcBorders>
          </w:tcPr>
          <w:p w14:paraId="6E48B788">
            <w:pPr>
              <w:jc w:val="center"/>
            </w:pPr>
            <w:r>
              <w:rPr>
                <w:rFonts w:hint="eastAsia"/>
              </w:rPr>
              <w:t>型号</w:t>
            </w:r>
          </w:p>
        </w:tc>
      </w:tr>
      <w:tr w14:paraId="22609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bottom w:val="nil"/>
              <w:right w:val="nil"/>
            </w:tcBorders>
          </w:tcPr>
          <w:p w14:paraId="37285DA9">
            <w:pPr>
              <w:jc w:val="center"/>
            </w:pPr>
            <w:r>
              <w:rPr>
                <w:rFonts w:hint="eastAsia"/>
              </w:rPr>
              <w:t>可编程线性直流电源</w:t>
            </w:r>
          </w:p>
        </w:tc>
        <w:tc>
          <w:tcPr>
            <w:tcW w:w="4151" w:type="dxa"/>
            <w:tcBorders>
              <w:left w:val="nil"/>
              <w:bottom w:val="nil"/>
              <w:right w:val="nil"/>
            </w:tcBorders>
          </w:tcPr>
          <w:p w14:paraId="229DFF87">
            <w:pPr>
              <w:jc w:val="center"/>
              <w:rPr>
                <w:rFonts w:cs="Times New Roman"/>
              </w:rPr>
            </w:pPr>
            <w:r>
              <w:rPr>
                <w:rFonts w:cs="Times New Roman"/>
              </w:rPr>
              <w:t>RIGOL DP832</w:t>
            </w:r>
          </w:p>
        </w:tc>
      </w:tr>
      <w:tr w14:paraId="2CC4C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6F84786C">
            <w:pPr>
              <w:jc w:val="center"/>
            </w:pPr>
            <w:r>
              <w:rPr>
                <w:rFonts w:hint="eastAsia"/>
              </w:rPr>
              <w:t>数字储存示波器</w:t>
            </w:r>
          </w:p>
        </w:tc>
        <w:tc>
          <w:tcPr>
            <w:tcW w:w="4151" w:type="dxa"/>
            <w:tcBorders>
              <w:top w:val="nil"/>
              <w:left w:val="nil"/>
              <w:bottom w:val="nil"/>
              <w:right w:val="nil"/>
            </w:tcBorders>
          </w:tcPr>
          <w:p w14:paraId="480CC3EA">
            <w:pPr>
              <w:jc w:val="center"/>
              <w:rPr>
                <w:rFonts w:cs="Times New Roman"/>
              </w:rPr>
            </w:pPr>
            <w:r>
              <w:rPr>
                <w:rFonts w:cs="Times New Roman"/>
              </w:rPr>
              <w:t>Tektronix TBS2000B</w:t>
            </w:r>
          </w:p>
        </w:tc>
      </w:tr>
      <w:tr w14:paraId="13545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36FA1D92">
            <w:pPr>
              <w:jc w:val="center"/>
            </w:pPr>
            <w:r>
              <w:rPr>
                <w:rFonts w:hint="eastAsia"/>
              </w:rPr>
              <w:t>万用表</w:t>
            </w:r>
          </w:p>
        </w:tc>
        <w:tc>
          <w:tcPr>
            <w:tcW w:w="4151" w:type="dxa"/>
            <w:tcBorders>
              <w:top w:val="nil"/>
              <w:left w:val="nil"/>
              <w:bottom w:val="nil"/>
              <w:right w:val="nil"/>
            </w:tcBorders>
          </w:tcPr>
          <w:p w14:paraId="344D44C7">
            <w:pPr>
              <w:jc w:val="center"/>
              <w:rPr>
                <w:rFonts w:cs="Times New Roman"/>
              </w:rPr>
            </w:pPr>
            <w:r>
              <w:rPr>
                <w:rFonts w:hint="eastAsia" w:cs="Times New Roman"/>
              </w:rPr>
              <w:t>VICTOR</w:t>
            </w:r>
            <w:r>
              <w:rPr>
                <w:rFonts w:cs="Times New Roman"/>
              </w:rPr>
              <w:t xml:space="preserve"> </w:t>
            </w:r>
            <w:r>
              <w:rPr>
                <w:rFonts w:hint="eastAsia" w:cs="Times New Roman"/>
              </w:rPr>
              <w:t>VC</w:t>
            </w:r>
            <w:r>
              <w:rPr>
                <w:rFonts w:cs="Times New Roman"/>
              </w:rPr>
              <w:t>890</w:t>
            </w:r>
            <w:r>
              <w:rPr>
                <w:rFonts w:hint="eastAsia" w:cs="Times New Roman"/>
              </w:rPr>
              <w:t>D</w:t>
            </w:r>
          </w:p>
        </w:tc>
      </w:tr>
      <w:tr w14:paraId="0579A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single" w:color="auto" w:sz="4" w:space="0"/>
              <w:right w:val="nil"/>
            </w:tcBorders>
          </w:tcPr>
          <w:p w14:paraId="14BD62F4">
            <w:pPr>
              <w:jc w:val="center"/>
            </w:pPr>
            <w:r>
              <w:rPr>
                <w:rFonts w:hint="eastAsia"/>
              </w:rPr>
              <w:t>函数发生器</w:t>
            </w:r>
          </w:p>
        </w:tc>
        <w:tc>
          <w:tcPr>
            <w:tcW w:w="4151" w:type="dxa"/>
            <w:tcBorders>
              <w:top w:val="nil"/>
              <w:left w:val="nil"/>
              <w:bottom w:val="single" w:color="auto" w:sz="4" w:space="0"/>
              <w:right w:val="nil"/>
            </w:tcBorders>
          </w:tcPr>
          <w:p w14:paraId="4089E742">
            <w:pPr>
              <w:jc w:val="center"/>
              <w:rPr>
                <w:rFonts w:cs="Times New Roman"/>
              </w:rPr>
            </w:pPr>
            <w:r>
              <w:rPr>
                <w:rFonts w:cs="Times New Roman"/>
              </w:rPr>
              <w:t>SIGLENT SDG6052X</w:t>
            </w:r>
          </w:p>
        </w:tc>
      </w:tr>
    </w:tbl>
    <w:p w14:paraId="733C815C">
      <w:pPr>
        <w:pStyle w:val="3"/>
        <w:keepNext w:val="0"/>
      </w:pPr>
      <w:r>
        <w:rPr>
          <w:rFonts w:hint="eastAsia"/>
        </w:rPr>
        <w:t>测试方案及结果记录</w:t>
      </w:r>
    </w:p>
    <w:p w14:paraId="7BC5F23C">
      <w:pPr>
        <w:ind w:firstLine="480" w:firstLineChars="200"/>
        <w:rPr>
          <w:lang w:val="zh-CN"/>
        </w:rPr>
      </w:pPr>
      <w:r>
        <w:rPr>
          <w:rFonts w:hint="eastAsia"/>
          <w:lang w:val="zh-CN"/>
        </w:rPr>
        <w:t>在系统输入接口处接入函数发生器，将测量结果与函数发生器的设定相比较。</w:t>
      </w:r>
    </w:p>
    <w:p w14:paraId="7CD21A56">
      <w:pPr>
        <w:pStyle w:val="5"/>
        <w:keepNext w:val="0"/>
        <w:spacing w:before="163" w:after="163"/>
      </w:pPr>
      <w:r>
        <w:rPr>
          <w:rFonts w:hint="eastAsia"/>
        </w:rPr>
        <w:t>谐波归一化幅度测试</w:t>
      </w:r>
    </w:p>
    <w:p w14:paraId="0668CD1B">
      <w:pPr>
        <w:pStyle w:val="12"/>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谐波归一化幅度测试表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36"/>
        <w:gridCol w:w="1917"/>
        <w:gridCol w:w="2136"/>
        <w:gridCol w:w="2123"/>
      </w:tblGrid>
      <w:tr w14:paraId="43990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left w:val="nil"/>
              <w:bottom w:val="single" w:color="000000" w:sz="4" w:space="0"/>
              <w:right w:val="nil"/>
            </w:tcBorders>
          </w:tcPr>
          <w:p w14:paraId="3A8767A1">
            <w:pPr>
              <w:jc w:val="center"/>
            </w:pPr>
            <w:r>
              <w:rPr>
                <w:rFonts w:hint="eastAsia"/>
              </w:rPr>
              <w:t>谐波次数</w:t>
            </w:r>
          </w:p>
        </w:tc>
        <w:tc>
          <w:tcPr>
            <w:tcW w:w="1917" w:type="dxa"/>
            <w:tcBorders>
              <w:left w:val="nil"/>
              <w:bottom w:val="single" w:color="000000" w:sz="4" w:space="0"/>
              <w:right w:val="nil"/>
            </w:tcBorders>
          </w:tcPr>
          <w:p w14:paraId="226707D3">
            <w:pPr>
              <w:jc w:val="center"/>
              <w:rPr>
                <w:rFonts w:hint="eastAsia"/>
              </w:rPr>
            </w:pPr>
            <w:r>
              <w:rPr>
                <w:rFonts w:hint="eastAsia"/>
              </w:rPr>
              <w:t>谐波归一化幅度</w:t>
            </w:r>
          </w:p>
        </w:tc>
        <w:tc>
          <w:tcPr>
            <w:tcW w:w="2136" w:type="dxa"/>
            <w:tcBorders>
              <w:left w:val="nil"/>
              <w:bottom w:val="single" w:color="000000" w:sz="4" w:space="0"/>
              <w:right w:val="nil"/>
            </w:tcBorders>
          </w:tcPr>
          <w:p w14:paraId="60943D98">
            <w:pPr>
              <w:jc w:val="center"/>
            </w:pPr>
            <w:r>
              <w:rPr>
                <w:rFonts w:hint="eastAsia"/>
              </w:rPr>
              <w:t>谐波归一化幅度</w:t>
            </w:r>
          </w:p>
          <w:p w14:paraId="779F524B">
            <w:pPr>
              <w:jc w:val="center"/>
            </w:pPr>
            <w:r>
              <w:rPr>
                <w:rFonts w:hint="eastAsia"/>
              </w:rPr>
              <w:t>测量值</w:t>
            </w:r>
          </w:p>
        </w:tc>
        <w:tc>
          <w:tcPr>
            <w:tcW w:w="2123" w:type="dxa"/>
            <w:tcBorders>
              <w:left w:val="nil"/>
              <w:bottom w:val="single" w:color="000000" w:sz="4" w:space="0"/>
              <w:right w:val="nil"/>
            </w:tcBorders>
          </w:tcPr>
          <w:p w14:paraId="3624FA0A">
            <w:pPr>
              <w:jc w:val="center"/>
            </w:pPr>
            <w:r>
              <w:rPr>
                <w:rFonts w:hint="eastAsia"/>
              </w:rPr>
              <w:t>误差</w:t>
            </w:r>
          </w:p>
        </w:tc>
      </w:tr>
      <w:tr w14:paraId="70574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left w:val="nil"/>
              <w:bottom w:val="nil"/>
              <w:right w:val="nil"/>
            </w:tcBorders>
          </w:tcPr>
          <w:p w14:paraId="60BB0ECF">
            <w:pPr>
              <w:jc w:val="center"/>
            </w:pPr>
            <w:r>
              <w:t>2</w:t>
            </w:r>
          </w:p>
        </w:tc>
        <w:tc>
          <w:tcPr>
            <w:tcW w:w="1917" w:type="dxa"/>
            <w:tcBorders>
              <w:left w:val="nil"/>
              <w:bottom w:val="nil"/>
              <w:right w:val="nil"/>
            </w:tcBorders>
          </w:tcPr>
          <w:p w14:paraId="5B0DC528">
            <w:pPr>
              <w:jc w:val="center"/>
              <w:rPr>
                <w:rFonts w:hint="eastAsia"/>
              </w:rPr>
            </w:pPr>
            <w:r>
              <w:rPr>
                <w:rFonts w:hint="eastAsia"/>
              </w:rPr>
              <w:t>0</w:t>
            </w:r>
            <w:r>
              <w:t>.2</w:t>
            </w:r>
          </w:p>
        </w:tc>
        <w:tc>
          <w:tcPr>
            <w:tcW w:w="2136" w:type="dxa"/>
            <w:tcBorders>
              <w:left w:val="nil"/>
              <w:bottom w:val="nil"/>
              <w:right w:val="nil"/>
            </w:tcBorders>
          </w:tcPr>
          <w:p w14:paraId="033414BD">
            <w:pPr>
              <w:jc w:val="center"/>
            </w:pPr>
            <w:r>
              <w:t>0.203</w:t>
            </w:r>
          </w:p>
        </w:tc>
        <w:tc>
          <w:tcPr>
            <w:tcW w:w="2123" w:type="dxa"/>
            <w:tcBorders>
              <w:left w:val="nil"/>
              <w:bottom w:val="nil"/>
              <w:right w:val="nil"/>
            </w:tcBorders>
          </w:tcPr>
          <w:p w14:paraId="000C3B9B">
            <w:pPr>
              <w:jc w:val="center"/>
            </w:pPr>
            <w:r>
              <w:t>1.50%</w:t>
            </w:r>
          </w:p>
        </w:tc>
      </w:tr>
      <w:tr w14:paraId="47BD7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1D2A3110">
            <w:pPr>
              <w:jc w:val="center"/>
              <w:rPr>
                <w:rFonts w:hint="eastAsia"/>
              </w:rPr>
            </w:pPr>
            <w:r>
              <w:rPr>
                <w:rFonts w:hint="eastAsia"/>
              </w:rPr>
              <w:t>3</w:t>
            </w:r>
          </w:p>
        </w:tc>
        <w:tc>
          <w:tcPr>
            <w:tcW w:w="1917" w:type="dxa"/>
            <w:tcBorders>
              <w:top w:val="nil"/>
              <w:left w:val="nil"/>
              <w:bottom w:val="nil"/>
              <w:right w:val="nil"/>
            </w:tcBorders>
          </w:tcPr>
          <w:p w14:paraId="649F8101">
            <w:pPr>
              <w:jc w:val="center"/>
              <w:rPr>
                <w:rFonts w:hint="eastAsia"/>
              </w:rPr>
            </w:pPr>
            <w:r>
              <w:rPr>
                <w:rFonts w:hint="eastAsia"/>
              </w:rPr>
              <w:t>0</w:t>
            </w:r>
            <w:r>
              <w:t>.1</w:t>
            </w:r>
          </w:p>
        </w:tc>
        <w:tc>
          <w:tcPr>
            <w:tcW w:w="2136" w:type="dxa"/>
            <w:tcBorders>
              <w:top w:val="nil"/>
              <w:left w:val="nil"/>
              <w:bottom w:val="nil"/>
              <w:right w:val="nil"/>
            </w:tcBorders>
          </w:tcPr>
          <w:p w14:paraId="76A8FFE9">
            <w:pPr>
              <w:jc w:val="center"/>
              <w:rPr>
                <w:rFonts w:hint="eastAsia"/>
              </w:rPr>
            </w:pPr>
            <w:r>
              <w:rPr>
                <w:rFonts w:hint="eastAsia"/>
              </w:rPr>
              <w:t>0</w:t>
            </w:r>
            <w:r>
              <w:t>.101</w:t>
            </w:r>
          </w:p>
        </w:tc>
        <w:tc>
          <w:tcPr>
            <w:tcW w:w="2123" w:type="dxa"/>
            <w:tcBorders>
              <w:top w:val="nil"/>
              <w:left w:val="nil"/>
              <w:bottom w:val="nil"/>
              <w:right w:val="nil"/>
            </w:tcBorders>
          </w:tcPr>
          <w:p w14:paraId="4C6E8A53">
            <w:pPr>
              <w:jc w:val="center"/>
              <w:rPr>
                <w:rFonts w:hint="eastAsia"/>
              </w:rPr>
            </w:pPr>
            <w:r>
              <w:rPr>
                <w:rFonts w:hint="eastAsia"/>
              </w:rPr>
              <w:t>1</w:t>
            </w:r>
            <w:r>
              <w:t>.00%</w:t>
            </w:r>
          </w:p>
        </w:tc>
      </w:tr>
      <w:tr w14:paraId="06BFB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4250FB28">
            <w:pPr>
              <w:jc w:val="center"/>
              <w:rPr>
                <w:rFonts w:hint="eastAsia"/>
              </w:rPr>
            </w:pPr>
            <w:r>
              <w:rPr>
                <w:rFonts w:hint="eastAsia"/>
              </w:rPr>
              <w:t>4</w:t>
            </w:r>
          </w:p>
        </w:tc>
        <w:tc>
          <w:tcPr>
            <w:tcW w:w="1917" w:type="dxa"/>
            <w:tcBorders>
              <w:top w:val="nil"/>
              <w:left w:val="nil"/>
              <w:bottom w:val="nil"/>
              <w:right w:val="nil"/>
            </w:tcBorders>
          </w:tcPr>
          <w:p w14:paraId="610D1121">
            <w:pPr>
              <w:jc w:val="center"/>
              <w:rPr>
                <w:rFonts w:hint="eastAsia"/>
              </w:rPr>
            </w:pPr>
            <w:r>
              <w:rPr>
                <w:rFonts w:hint="eastAsia"/>
              </w:rPr>
              <w:t>0</w:t>
            </w:r>
            <w:r>
              <w:t>.2</w:t>
            </w:r>
          </w:p>
        </w:tc>
        <w:tc>
          <w:tcPr>
            <w:tcW w:w="2136" w:type="dxa"/>
            <w:tcBorders>
              <w:top w:val="nil"/>
              <w:left w:val="nil"/>
              <w:bottom w:val="nil"/>
              <w:right w:val="nil"/>
            </w:tcBorders>
          </w:tcPr>
          <w:p w14:paraId="37C00799">
            <w:pPr>
              <w:jc w:val="center"/>
              <w:rPr>
                <w:rFonts w:hint="eastAsia"/>
              </w:rPr>
            </w:pPr>
            <w:r>
              <w:rPr>
                <w:rFonts w:hint="eastAsia"/>
              </w:rPr>
              <w:t>0</w:t>
            </w:r>
            <w:r>
              <w:t>.202</w:t>
            </w:r>
          </w:p>
        </w:tc>
        <w:tc>
          <w:tcPr>
            <w:tcW w:w="2123" w:type="dxa"/>
            <w:tcBorders>
              <w:top w:val="nil"/>
              <w:left w:val="nil"/>
              <w:bottom w:val="nil"/>
              <w:right w:val="nil"/>
            </w:tcBorders>
          </w:tcPr>
          <w:p w14:paraId="5CF038CB">
            <w:pPr>
              <w:jc w:val="center"/>
              <w:rPr>
                <w:rFonts w:hint="eastAsia"/>
              </w:rPr>
            </w:pPr>
            <w:r>
              <w:rPr>
                <w:rFonts w:hint="eastAsia"/>
              </w:rPr>
              <w:t>1</w:t>
            </w:r>
            <w:r>
              <w:t>.00%</w:t>
            </w:r>
          </w:p>
        </w:tc>
      </w:tr>
      <w:tr w14:paraId="28CD5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70A7B0DB">
            <w:pPr>
              <w:jc w:val="center"/>
              <w:rPr>
                <w:rFonts w:hint="eastAsia"/>
              </w:rPr>
            </w:pPr>
            <w:r>
              <w:rPr>
                <w:rFonts w:hint="eastAsia"/>
              </w:rPr>
              <w:t>5</w:t>
            </w:r>
          </w:p>
        </w:tc>
        <w:tc>
          <w:tcPr>
            <w:tcW w:w="1917" w:type="dxa"/>
            <w:tcBorders>
              <w:top w:val="nil"/>
              <w:left w:val="nil"/>
              <w:bottom w:val="nil"/>
              <w:right w:val="nil"/>
            </w:tcBorders>
          </w:tcPr>
          <w:p w14:paraId="1CABADA8">
            <w:pPr>
              <w:jc w:val="center"/>
              <w:rPr>
                <w:rFonts w:hint="eastAsia"/>
              </w:rPr>
            </w:pPr>
            <w:r>
              <w:rPr>
                <w:rFonts w:hint="eastAsia"/>
              </w:rPr>
              <w:t>0</w:t>
            </w:r>
            <w:r>
              <w:t>.1</w:t>
            </w:r>
          </w:p>
        </w:tc>
        <w:tc>
          <w:tcPr>
            <w:tcW w:w="2136" w:type="dxa"/>
            <w:tcBorders>
              <w:top w:val="nil"/>
              <w:left w:val="nil"/>
              <w:bottom w:val="nil"/>
              <w:right w:val="nil"/>
            </w:tcBorders>
          </w:tcPr>
          <w:p w14:paraId="6C38BAA4">
            <w:pPr>
              <w:jc w:val="center"/>
              <w:rPr>
                <w:rFonts w:hint="eastAsia"/>
              </w:rPr>
            </w:pPr>
            <w:r>
              <w:rPr>
                <w:rFonts w:hint="eastAsia"/>
              </w:rPr>
              <w:t>0</w:t>
            </w:r>
            <w:r>
              <w:t>.098</w:t>
            </w:r>
          </w:p>
        </w:tc>
        <w:tc>
          <w:tcPr>
            <w:tcW w:w="2123" w:type="dxa"/>
            <w:tcBorders>
              <w:top w:val="nil"/>
              <w:left w:val="nil"/>
              <w:bottom w:val="nil"/>
              <w:right w:val="nil"/>
            </w:tcBorders>
          </w:tcPr>
          <w:p w14:paraId="575D13CC">
            <w:pPr>
              <w:jc w:val="center"/>
              <w:rPr>
                <w:rFonts w:hint="eastAsia"/>
              </w:rPr>
            </w:pPr>
            <w:r>
              <w:t>2.00%</w:t>
            </w:r>
          </w:p>
        </w:tc>
      </w:tr>
      <w:tr w14:paraId="7AA44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7AE6BF89">
            <w:pPr>
              <w:jc w:val="center"/>
              <w:rPr>
                <w:rFonts w:hint="eastAsia"/>
              </w:rPr>
            </w:pPr>
            <w:r>
              <w:rPr>
                <w:rFonts w:hint="eastAsia"/>
              </w:rPr>
              <w:t>2</w:t>
            </w:r>
          </w:p>
        </w:tc>
        <w:tc>
          <w:tcPr>
            <w:tcW w:w="1917" w:type="dxa"/>
            <w:tcBorders>
              <w:top w:val="nil"/>
              <w:left w:val="nil"/>
              <w:bottom w:val="nil"/>
              <w:right w:val="nil"/>
            </w:tcBorders>
          </w:tcPr>
          <w:p w14:paraId="014EE92D">
            <w:pPr>
              <w:jc w:val="center"/>
              <w:rPr>
                <w:rFonts w:hint="eastAsia"/>
              </w:rPr>
            </w:pPr>
            <w:r>
              <w:rPr>
                <w:rFonts w:hint="eastAsia"/>
              </w:rPr>
              <w:t>0</w:t>
            </w:r>
            <w:r>
              <w:t>.3</w:t>
            </w:r>
          </w:p>
        </w:tc>
        <w:tc>
          <w:tcPr>
            <w:tcW w:w="2136" w:type="dxa"/>
            <w:tcBorders>
              <w:top w:val="nil"/>
              <w:left w:val="nil"/>
              <w:bottom w:val="nil"/>
              <w:right w:val="nil"/>
            </w:tcBorders>
          </w:tcPr>
          <w:p w14:paraId="4B54274F">
            <w:pPr>
              <w:jc w:val="center"/>
              <w:rPr>
                <w:rFonts w:hint="eastAsia"/>
              </w:rPr>
            </w:pPr>
            <w:r>
              <w:rPr>
                <w:rFonts w:hint="eastAsia"/>
              </w:rPr>
              <w:t>0</w:t>
            </w:r>
            <w:r>
              <w:t>.305</w:t>
            </w:r>
          </w:p>
        </w:tc>
        <w:tc>
          <w:tcPr>
            <w:tcW w:w="2123" w:type="dxa"/>
            <w:tcBorders>
              <w:top w:val="nil"/>
              <w:left w:val="nil"/>
              <w:bottom w:val="nil"/>
              <w:right w:val="nil"/>
            </w:tcBorders>
          </w:tcPr>
          <w:p w14:paraId="7674D1DF">
            <w:pPr>
              <w:jc w:val="center"/>
              <w:rPr>
                <w:rFonts w:hint="eastAsia"/>
              </w:rPr>
            </w:pPr>
            <w:r>
              <w:t>1.67</w:t>
            </w:r>
            <w:r>
              <w:rPr>
                <w:rFonts w:hint="eastAsia"/>
              </w:rPr>
              <w:t>%</w:t>
            </w:r>
          </w:p>
        </w:tc>
      </w:tr>
      <w:tr w14:paraId="10F49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4556F5B6">
            <w:pPr>
              <w:jc w:val="center"/>
              <w:rPr>
                <w:rFonts w:hint="eastAsia"/>
              </w:rPr>
            </w:pPr>
            <w:r>
              <w:rPr>
                <w:rFonts w:hint="eastAsia"/>
              </w:rPr>
              <w:t>3</w:t>
            </w:r>
          </w:p>
        </w:tc>
        <w:tc>
          <w:tcPr>
            <w:tcW w:w="1917" w:type="dxa"/>
            <w:tcBorders>
              <w:top w:val="nil"/>
              <w:left w:val="nil"/>
              <w:bottom w:val="nil"/>
              <w:right w:val="nil"/>
            </w:tcBorders>
          </w:tcPr>
          <w:p w14:paraId="341D1FD5">
            <w:pPr>
              <w:jc w:val="center"/>
              <w:rPr>
                <w:rFonts w:hint="eastAsia"/>
              </w:rPr>
            </w:pPr>
            <w:r>
              <w:rPr>
                <w:rFonts w:hint="eastAsia"/>
              </w:rPr>
              <w:t>0</w:t>
            </w:r>
            <w:r>
              <w:t>.2</w:t>
            </w:r>
          </w:p>
        </w:tc>
        <w:tc>
          <w:tcPr>
            <w:tcW w:w="2136" w:type="dxa"/>
            <w:tcBorders>
              <w:top w:val="nil"/>
              <w:left w:val="nil"/>
              <w:bottom w:val="nil"/>
              <w:right w:val="nil"/>
            </w:tcBorders>
          </w:tcPr>
          <w:p w14:paraId="5C5B0A9D">
            <w:pPr>
              <w:jc w:val="center"/>
              <w:rPr>
                <w:rFonts w:hint="eastAsia"/>
              </w:rPr>
            </w:pPr>
            <w:r>
              <w:rPr>
                <w:rFonts w:hint="eastAsia"/>
              </w:rPr>
              <w:t>0</w:t>
            </w:r>
            <w:r>
              <w:t>.199</w:t>
            </w:r>
          </w:p>
        </w:tc>
        <w:tc>
          <w:tcPr>
            <w:tcW w:w="2123" w:type="dxa"/>
            <w:tcBorders>
              <w:top w:val="nil"/>
              <w:left w:val="nil"/>
              <w:bottom w:val="nil"/>
              <w:right w:val="nil"/>
            </w:tcBorders>
          </w:tcPr>
          <w:p w14:paraId="2BB319E1">
            <w:pPr>
              <w:jc w:val="center"/>
              <w:rPr>
                <w:rFonts w:hint="eastAsia"/>
              </w:rPr>
            </w:pPr>
            <w:r>
              <w:t>0.50</w:t>
            </w:r>
            <w:r>
              <w:rPr>
                <w:rFonts w:hint="eastAsia"/>
              </w:rPr>
              <w:t>%</w:t>
            </w:r>
          </w:p>
        </w:tc>
      </w:tr>
      <w:tr w14:paraId="5F379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nil"/>
              <w:right w:val="nil"/>
            </w:tcBorders>
          </w:tcPr>
          <w:p w14:paraId="14AA454F">
            <w:pPr>
              <w:jc w:val="center"/>
              <w:rPr>
                <w:rFonts w:hint="eastAsia"/>
              </w:rPr>
            </w:pPr>
            <w:r>
              <w:rPr>
                <w:rFonts w:hint="eastAsia"/>
              </w:rPr>
              <w:t>4</w:t>
            </w:r>
          </w:p>
        </w:tc>
        <w:tc>
          <w:tcPr>
            <w:tcW w:w="1917" w:type="dxa"/>
            <w:tcBorders>
              <w:top w:val="nil"/>
              <w:left w:val="nil"/>
              <w:bottom w:val="nil"/>
              <w:right w:val="nil"/>
            </w:tcBorders>
          </w:tcPr>
          <w:p w14:paraId="63319D1F">
            <w:pPr>
              <w:jc w:val="center"/>
              <w:rPr>
                <w:rFonts w:hint="eastAsia"/>
              </w:rPr>
            </w:pPr>
            <w:r>
              <w:rPr>
                <w:rFonts w:hint="eastAsia"/>
              </w:rPr>
              <w:t>0</w:t>
            </w:r>
            <w:r>
              <w:t>.2</w:t>
            </w:r>
          </w:p>
        </w:tc>
        <w:tc>
          <w:tcPr>
            <w:tcW w:w="2136" w:type="dxa"/>
            <w:tcBorders>
              <w:top w:val="nil"/>
              <w:left w:val="nil"/>
              <w:bottom w:val="nil"/>
              <w:right w:val="nil"/>
            </w:tcBorders>
          </w:tcPr>
          <w:p w14:paraId="01659BA9">
            <w:pPr>
              <w:jc w:val="center"/>
              <w:rPr>
                <w:rFonts w:hint="eastAsia"/>
              </w:rPr>
            </w:pPr>
            <w:r>
              <w:rPr>
                <w:rFonts w:hint="eastAsia"/>
              </w:rPr>
              <w:t>0</w:t>
            </w:r>
            <w:r>
              <w:t>.201</w:t>
            </w:r>
          </w:p>
        </w:tc>
        <w:tc>
          <w:tcPr>
            <w:tcW w:w="2123" w:type="dxa"/>
            <w:tcBorders>
              <w:top w:val="nil"/>
              <w:left w:val="nil"/>
              <w:bottom w:val="nil"/>
              <w:right w:val="nil"/>
            </w:tcBorders>
          </w:tcPr>
          <w:p w14:paraId="32115D5D">
            <w:pPr>
              <w:jc w:val="center"/>
              <w:rPr>
                <w:rFonts w:hint="eastAsia"/>
              </w:rPr>
            </w:pPr>
            <w:r>
              <w:rPr>
                <w:rFonts w:hint="eastAsia"/>
              </w:rPr>
              <w:t>0</w:t>
            </w:r>
            <w:r>
              <w:t>.50%</w:t>
            </w:r>
          </w:p>
        </w:tc>
      </w:tr>
      <w:tr w14:paraId="52C58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36" w:type="dxa"/>
            <w:tcBorders>
              <w:top w:val="nil"/>
              <w:left w:val="nil"/>
              <w:bottom w:val="single" w:color="auto" w:sz="4" w:space="0"/>
              <w:right w:val="nil"/>
            </w:tcBorders>
          </w:tcPr>
          <w:p w14:paraId="61F842BD">
            <w:pPr>
              <w:jc w:val="center"/>
            </w:pPr>
            <w:r>
              <w:t>5</w:t>
            </w:r>
          </w:p>
        </w:tc>
        <w:tc>
          <w:tcPr>
            <w:tcW w:w="1917" w:type="dxa"/>
            <w:tcBorders>
              <w:top w:val="nil"/>
              <w:left w:val="nil"/>
              <w:bottom w:val="single" w:color="auto" w:sz="4" w:space="0"/>
              <w:right w:val="nil"/>
            </w:tcBorders>
          </w:tcPr>
          <w:p w14:paraId="6C64395C">
            <w:pPr>
              <w:jc w:val="center"/>
              <w:rPr>
                <w:rFonts w:hint="eastAsia"/>
              </w:rPr>
            </w:pPr>
            <w:r>
              <w:rPr>
                <w:rFonts w:hint="eastAsia"/>
              </w:rPr>
              <w:t>0</w:t>
            </w:r>
            <w:r>
              <w:t>.3</w:t>
            </w:r>
          </w:p>
        </w:tc>
        <w:tc>
          <w:tcPr>
            <w:tcW w:w="2136" w:type="dxa"/>
            <w:tcBorders>
              <w:top w:val="nil"/>
              <w:left w:val="nil"/>
              <w:bottom w:val="single" w:color="auto" w:sz="4" w:space="0"/>
              <w:right w:val="nil"/>
            </w:tcBorders>
          </w:tcPr>
          <w:p w14:paraId="0C25248E">
            <w:pPr>
              <w:jc w:val="center"/>
            </w:pPr>
            <w:r>
              <w:rPr>
                <w:rFonts w:hint="eastAsia"/>
              </w:rPr>
              <w:t>0</w:t>
            </w:r>
            <w:r>
              <w:t>.297</w:t>
            </w:r>
          </w:p>
        </w:tc>
        <w:tc>
          <w:tcPr>
            <w:tcW w:w="2123" w:type="dxa"/>
            <w:tcBorders>
              <w:top w:val="nil"/>
              <w:left w:val="nil"/>
              <w:bottom w:val="single" w:color="auto" w:sz="4" w:space="0"/>
              <w:right w:val="nil"/>
            </w:tcBorders>
          </w:tcPr>
          <w:p w14:paraId="07F8118A">
            <w:pPr>
              <w:jc w:val="center"/>
            </w:pPr>
            <w:r>
              <w:t>1.00%</w:t>
            </w:r>
          </w:p>
        </w:tc>
      </w:tr>
    </w:tbl>
    <w:p w14:paraId="35A3E778">
      <w:pPr>
        <w:ind w:firstLine="480" w:firstLineChars="200"/>
        <w:rPr>
          <w:rFonts w:hint="eastAsia"/>
          <w:lang w:val="zh-CN"/>
        </w:rPr>
      </w:pPr>
      <w:r>
        <w:rPr>
          <w:rFonts w:hint="eastAsia"/>
          <w:lang w:val="zh-CN"/>
        </w:rPr>
        <w:t>测试发现，电流和电压有效值的测量较为准确，误差小于</w:t>
      </w:r>
      <w:r>
        <w:rPr>
          <w:lang w:val="zh-CN"/>
        </w:rPr>
        <w:t>2%</w:t>
      </w:r>
      <w:r>
        <w:rPr>
          <w:rFonts w:hint="eastAsia"/>
          <w:lang w:val="zh-CN"/>
        </w:rPr>
        <w:t>，符合要求。</w:t>
      </w:r>
    </w:p>
    <w:p w14:paraId="1D2200F4">
      <w:pPr>
        <w:pStyle w:val="5"/>
        <w:spacing w:before="163" w:after="163"/>
      </w:pPr>
      <w:r>
        <w:rPr>
          <w:rFonts w:hint="eastAsia"/>
        </w:rPr>
        <w:t>总谐波失真测试</w:t>
      </w:r>
    </w:p>
    <w:p w14:paraId="2FF46AA4">
      <w:pPr>
        <w:jc w:val="center"/>
        <w:rPr>
          <w:lang w:val="zh-CN"/>
        </w:rPr>
      </w:pPr>
      <w:r>
        <w:rPr>
          <w:rFonts w:hint="eastAsia"/>
          <w:lang w:val="zh-CN"/>
        </w:rPr>
        <w:t>表4</w:t>
      </w:r>
      <w:r>
        <w:rPr>
          <w:lang w:val="zh-CN"/>
        </w:rPr>
        <w:t>.7 THD</w:t>
      </w:r>
      <w:r>
        <w:rPr>
          <w:rFonts w:hint="eastAsia"/>
          <w:lang w:val="zh-CN"/>
        </w:rPr>
        <w:t>测试表</w:t>
      </w:r>
    </w:p>
    <w:tbl>
      <w:tblPr>
        <w:tblStyle w:val="28"/>
        <w:tblW w:w="0" w:type="auto"/>
        <w:tblInd w:w="0" w:type="dxa"/>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8"/>
      </w:tblGrid>
      <w:tr w14:paraId="37624A71">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000000" w:sz="4" w:space="0"/>
              <w:bottom w:val="single" w:color="auto" w:sz="4" w:space="0"/>
              <w:right w:val="nil"/>
            </w:tcBorders>
          </w:tcPr>
          <w:p w14:paraId="386E008D">
            <w:pPr>
              <w:jc w:val="center"/>
              <w:rPr>
                <w:lang w:val="zh-CN"/>
              </w:rPr>
            </w:pPr>
            <w:r>
              <w:rPr>
                <w:rFonts w:hint="eastAsia"/>
                <w:lang w:val="zh-CN"/>
              </w:rPr>
              <w:t>T</w:t>
            </w:r>
            <w:r>
              <w:rPr>
                <w:lang w:val="zh-CN"/>
              </w:rPr>
              <w:t>HD</w:t>
            </w:r>
          </w:p>
        </w:tc>
        <w:tc>
          <w:tcPr>
            <w:tcW w:w="2767" w:type="dxa"/>
            <w:tcBorders>
              <w:top w:val="single" w:color="000000" w:sz="4" w:space="0"/>
              <w:left w:val="nil"/>
              <w:bottom w:val="single" w:color="auto" w:sz="4" w:space="0"/>
            </w:tcBorders>
          </w:tcPr>
          <w:p w14:paraId="6F180613">
            <w:pPr>
              <w:jc w:val="center"/>
              <w:rPr>
                <w:lang w:val="zh-CN"/>
              </w:rPr>
            </w:pPr>
            <w:r>
              <w:rPr>
                <w:rFonts w:hint="eastAsia"/>
                <w:lang w:val="zh-CN"/>
              </w:rPr>
              <w:t>T</w:t>
            </w:r>
            <w:r>
              <w:rPr>
                <w:lang w:val="zh-CN"/>
              </w:rPr>
              <w:t>HD</w:t>
            </w:r>
            <w:r>
              <w:rPr>
                <w:rFonts w:hint="eastAsia"/>
                <w:lang w:val="zh-CN"/>
              </w:rPr>
              <w:t>测量值</w:t>
            </w:r>
          </w:p>
        </w:tc>
        <w:tc>
          <w:tcPr>
            <w:tcW w:w="2768" w:type="dxa"/>
            <w:tcBorders>
              <w:top w:val="single" w:color="000000" w:sz="4" w:space="0"/>
              <w:bottom w:val="single" w:color="auto" w:sz="4" w:space="0"/>
              <w:right w:val="nil"/>
            </w:tcBorders>
          </w:tcPr>
          <w:p w14:paraId="07ADF37A">
            <w:pPr>
              <w:jc w:val="center"/>
              <w:rPr>
                <w:lang w:val="zh-CN"/>
              </w:rPr>
            </w:pPr>
            <w:r>
              <w:rPr>
                <w:rFonts w:hint="eastAsia"/>
                <w:lang w:val="zh-CN"/>
              </w:rPr>
              <w:t>误差</w:t>
            </w:r>
          </w:p>
        </w:tc>
      </w:tr>
      <w:tr w14:paraId="6402BAE1">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single" w:color="auto" w:sz="4" w:space="0"/>
              <w:bottom w:val="nil"/>
            </w:tcBorders>
          </w:tcPr>
          <w:p w14:paraId="50CE9097">
            <w:pPr>
              <w:jc w:val="center"/>
              <w:rPr>
                <w:lang w:val="zh-CN"/>
              </w:rPr>
            </w:pPr>
            <w:r>
              <w:rPr>
                <w:lang w:val="zh-CN"/>
              </w:rPr>
              <w:t>11.80%</w:t>
            </w:r>
          </w:p>
        </w:tc>
        <w:tc>
          <w:tcPr>
            <w:tcW w:w="2767" w:type="dxa"/>
            <w:tcBorders>
              <w:top w:val="single" w:color="auto" w:sz="4" w:space="0"/>
              <w:bottom w:val="nil"/>
            </w:tcBorders>
          </w:tcPr>
          <w:p w14:paraId="1F8DCBE5">
            <w:pPr>
              <w:jc w:val="center"/>
              <w:rPr>
                <w:lang w:val="zh-CN"/>
              </w:rPr>
            </w:pPr>
            <w:r>
              <w:rPr>
                <w:lang w:val="zh-CN"/>
              </w:rPr>
              <w:t>11.53</w:t>
            </w:r>
          </w:p>
        </w:tc>
        <w:tc>
          <w:tcPr>
            <w:tcW w:w="2768" w:type="dxa"/>
            <w:tcBorders>
              <w:top w:val="single" w:color="auto" w:sz="4" w:space="0"/>
              <w:bottom w:val="nil"/>
              <w:right w:val="nil"/>
            </w:tcBorders>
          </w:tcPr>
          <w:p w14:paraId="1DD3DE45">
            <w:pPr>
              <w:jc w:val="center"/>
              <w:rPr>
                <w:lang w:val="zh-CN"/>
              </w:rPr>
            </w:pPr>
            <w:r>
              <w:rPr>
                <w:lang w:val="zh-CN"/>
              </w:rPr>
              <w:t>2.29%</w:t>
            </w:r>
          </w:p>
        </w:tc>
      </w:tr>
      <w:tr w14:paraId="4D227619">
        <w:tblPrEx>
          <w:tblBorders>
            <w:top w:val="single" w:color="000000" w:sz="4" w:space="0"/>
            <w:left w:val="none" w:color="auto" w:sz="0"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c>
          <w:tcPr>
            <w:tcW w:w="2767" w:type="dxa"/>
            <w:tcBorders>
              <w:top w:val="nil"/>
              <w:bottom w:val="single" w:color="auto" w:sz="4" w:space="0"/>
            </w:tcBorders>
          </w:tcPr>
          <w:p w14:paraId="57C84452">
            <w:pPr>
              <w:jc w:val="center"/>
              <w:rPr>
                <w:lang w:val="zh-CN"/>
              </w:rPr>
            </w:pPr>
            <w:r>
              <w:rPr>
                <w:lang w:val="zh-CN"/>
              </w:rPr>
              <w:t>38.87%</w:t>
            </w:r>
          </w:p>
        </w:tc>
        <w:tc>
          <w:tcPr>
            <w:tcW w:w="2767" w:type="dxa"/>
            <w:tcBorders>
              <w:top w:val="nil"/>
              <w:bottom w:val="single" w:color="auto" w:sz="4" w:space="0"/>
            </w:tcBorders>
          </w:tcPr>
          <w:p w14:paraId="38F1DDEC">
            <w:pPr>
              <w:jc w:val="center"/>
              <w:rPr>
                <w:lang w:val="zh-CN"/>
              </w:rPr>
            </w:pPr>
            <w:r>
              <w:rPr>
                <w:rFonts w:hint="eastAsia"/>
                <w:lang w:val="zh-CN"/>
              </w:rPr>
              <w:t>3</w:t>
            </w:r>
            <w:r>
              <w:rPr>
                <w:lang w:val="zh-CN"/>
              </w:rPr>
              <w:t>8.70%</w:t>
            </w:r>
          </w:p>
        </w:tc>
        <w:tc>
          <w:tcPr>
            <w:tcW w:w="2768" w:type="dxa"/>
            <w:tcBorders>
              <w:top w:val="nil"/>
              <w:bottom w:val="single" w:color="auto" w:sz="4" w:space="0"/>
              <w:right w:val="nil"/>
            </w:tcBorders>
          </w:tcPr>
          <w:p w14:paraId="31DB824C">
            <w:pPr>
              <w:jc w:val="center"/>
              <w:rPr>
                <w:lang w:val="zh-CN"/>
              </w:rPr>
            </w:pPr>
            <w:r>
              <w:rPr>
                <w:lang w:val="zh-CN"/>
              </w:rPr>
              <w:t>0.44%</w:t>
            </w:r>
          </w:p>
        </w:tc>
      </w:tr>
    </w:tbl>
    <w:p w14:paraId="3D1B6D3F">
      <w:pPr>
        <w:ind w:firstLine="480" w:firstLineChars="200"/>
        <w:rPr>
          <w:lang w:val="zh-CN"/>
        </w:rPr>
      </w:pPr>
      <w:r>
        <w:rPr>
          <w:rFonts w:hint="eastAsia"/>
          <w:lang w:val="zh-CN"/>
        </w:rPr>
        <w:t>测试发现，</w:t>
      </w:r>
      <w:r>
        <w:rPr>
          <w:lang w:val="zh-CN"/>
        </w:rPr>
        <w:t>THD</w:t>
      </w:r>
      <w:r>
        <w:rPr>
          <w:rFonts w:hint="eastAsia"/>
          <w:lang w:val="zh-CN"/>
        </w:rPr>
        <w:t>测量较为准确，与实际值相比误差小于</w:t>
      </w:r>
      <w:r>
        <w:rPr>
          <w:lang w:val="zh-CN"/>
        </w:rPr>
        <w:t>3%</w:t>
      </w:r>
      <w:r>
        <w:rPr>
          <w:rFonts w:hint="eastAsia"/>
          <w:lang w:val="zh-CN"/>
        </w:rPr>
        <w:t>。</w:t>
      </w:r>
    </w:p>
    <w:p w14:paraId="3FBECBA2">
      <w:pPr>
        <w:pStyle w:val="3"/>
      </w:pPr>
      <w:r>
        <w:rPr>
          <w:rFonts w:hint="eastAsia"/>
        </w:rPr>
        <w:t>测试结果分析</w:t>
      </w:r>
    </w:p>
    <w:p w14:paraId="1596D7AD">
      <w:pPr>
        <w:ind w:firstLine="480" w:firstLineChars="200"/>
        <w:rPr>
          <w:lang w:val="zh-CN"/>
        </w:rPr>
      </w:pPr>
      <w:r>
        <w:rPr>
          <w:lang w:val="zh-CN"/>
        </w:rPr>
        <w:t>由测试现象和数据可知，系统</w:t>
      </w:r>
      <w:r>
        <w:rPr>
          <w:rFonts w:hint="eastAsia"/>
          <w:lang w:val="zh-CN"/>
        </w:rPr>
        <w:t>基本</w:t>
      </w:r>
      <w:r>
        <w:rPr>
          <w:lang w:val="zh-CN"/>
        </w:rPr>
        <w:t>完成了题目要求的各项功能指标，硬件部分稳定可靠，软件部分算法精度高，功能齐全，运行稳定，人机交互良好</w:t>
      </w:r>
      <w:r>
        <w:rPr>
          <w:rFonts w:hint="eastAsia"/>
          <w:lang w:val="zh-CN"/>
        </w:rPr>
        <w:t>。</w:t>
      </w:r>
    </w:p>
    <w:p w14:paraId="56DCC8CF">
      <w:pPr>
        <w:pStyle w:val="2"/>
        <w:spacing w:before="260" w:after="163"/>
      </w:pPr>
      <w:r>
        <w:rPr>
          <w:rFonts w:hint="eastAsia"/>
        </w:rPr>
        <w:t>结论</w:t>
      </w:r>
    </w:p>
    <w:p w14:paraId="5811F6B0">
      <w:pPr>
        <w:ind w:firstLine="480" w:firstLineChars="200"/>
        <w:rPr>
          <w:rFonts w:hint="eastAsia"/>
        </w:rPr>
      </w:pPr>
      <w:r>
        <w:rPr>
          <w:rFonts w:hint="eastAsia"/>
          <w:lang w:val="zh-CN"/>
        </w:rPr>
        <w:t>系统以</w:t>
      </w:r>
      <w:r>
        <w:rPr>
          <w:lang w:val="zh-CN"/>
        </w:rPr>
        <w:t>MSPM0G3507单片机</w:t>
      </w:r>
      <w:r>
        <w:rPr>
          <w:rFonts w:hint="eastAsia"/>
          <w:lang w:val="zh-CN"/>
        </w:rPr>
        <w:t>为核心</w:t>
      </w:r>
      <w:r>
        <w:rPr>
          <w:lang w:val="zh-CN"/>
        </w:rPr>
        <w:t>。该系统能够有效测量</w:t>
      </w:r>
      <w:r>
        <w:rPr>
          <w:rFonts w:hint="eastAsia"/>
          <w:lang w:val="zh-CN"/>
        </w:rPr>
        <w:t>函数发生器产生信号的各次谐波归一化幅度及总谐波失真T</w:t>
      </w:r>
      <w:r>
        <w:rPr>
          <w:lang w:val="zh-CN"/>
        </w:rPr>
        <w:t>HD</w:t>
      </w:r>
      <w:r>
        <w:rPr>
          <w:rFonts w:hint="eastAsia"/>
          <w:lang w:val="zh-CN"/>
        </w:rPr>
        <w:t>，并在手机上显示一个周期以上的波形</w:t>
      </w:r>
      <w:r>
        <w:rPr>
          <w:lang w:val="zh-CN"/>
        </w:rPr>
        <w:t>。系统的</w:t>
      </w:r>
      <w:r>
        <w:rPr>
          <w:rFonts w:hint="eastAsia"/>
          <w:lang w:val="zh-CN"/>
        </w:rPr>
        <w:t>谐波归一化幅度测量</w:t>
      </w:r>
      <w:r>
        <w:rPr>
          <w:lang w:val="zh-CN"/>
        </w:rPr>
        <w:t>误差</w:t>
      </w:r>
      <w:r>
        <w:rPr>
          <w:rFonts w:hint="eastAsia"/>
          <w:lang w:val="zh-CN"/>
        </w:rPr>
        <w:t>小于</w:t>
      </w:r>
      <w:r>
        <w:rPr>
          <w:lang w:val="zh-CN"/>
        </w:rPr>
        <w:t>3%，与设计目标一致。在谐波分析方面，总谐波失真度（THD）的计算符合标准，误差控制在3%以内。</w:t>
      </w:r>
      <w:r>
        <w:rPr>
          <w:rFonts w:hint="eastAsia"/>
        </w:rPr>
        <w:t>系统完成题目指标要求，且人机交互良好。</w:t>
      </w:r>
    </w:p>
    <w:p w14:paraId="1B04B115">
      <w:pPr>
        <w:ind w:firstLine="480" w:firstLineChars="200"/>
        <w:rPr>
          <w:rFonts w:hint="eastAsia"/>
        </w:rPr>
      </w:pPr>
    </w:p>
    <w:p w14:paraId="36DE0C6D">
      <w:pPr>
        <w:ind w:firstLine="480" w:firstLineChars="200"/>
        <w:rPr>
          <w:rFonts w:hint="eastAsia"/>
        </w:rPr>
      </w:pPr>
    </w:p>
    <w:p w14:paraId="5718C667">
      <w:pPr>
        <w:pStyle w:val="2"/>
        <w:spacing w:before="260" w:after="163"/>
      </w:pPr>
      <w:r>
        <w:rPr>
          <w:rFonts w:hint="eastAsia"/>
          <w:lang w:val="en-US" w:eastAsia="zh-CN"/>
        </w:rPr>
        <w:t>参考文献</w:t>
      </w:r>
    </w:p>
    <w:p w14:paraId="55183825">
      <w:pPr>
        <w:ind w:firstLine="480" w:firstLineChars="200"/>
        <w:rPr>
          <w:rFonts w:hint="eastAsia"/>
          <w:lang w:val="zh-CN"/>
        </w:rPr>
      </w:pPr>
      <w:r>
        <w:rPr>
          <w:rFonts w:hint="eastAsia"/>
          <w:lang w:val="zh-CN"/>
        </w:rPr>
        <w:t>[1]李新超,伍思源,孙国玺.基于MSP432的信号失真度测量仪设计[J].电子设计工程,2024,32(15):76-80+85.DOI:10.14022/j.issn1674-6236.2024.15.016.</w:t>
      </w:r>
    </w:p>
    <w:p w14:paraId="4806048E">
      <w:pPr>
        <w:ind w:firstLine="480" w:firstLineChars="200"/>
        <w:rPr>
          <w:rFonts w:hint="eastAsia"/>
          <w:lang w:val="zh-CN"/>
        </w:rPr>
      </w:pPr>
      <w:r>
        <w:rPr>
          <w:rFonts w:hint="eastAsia"/>
          <w:lang w:val="zh-CN"/>
        </w:rPr>
        <w:t>[</w:t>
      </w:r>
      <w:r>
        <w:rPr>
          <w:rFonts w:hint="eastAsia"/>
          <w:lang w:val="en-US" w:eastAsia="zh-CN"/>
        </w:rPr>
        <w:t>2</w:t>
      </w:r>
      <w:r>
        <w:rPr>
          <w:rFonts w:hint="eastAsia"/>
          <w:lang w:val="zh-CN"/>
        </w:rPr>
        <w:t>]李岳,程春雨,吴振宇.信号失真度测量装置设计[J].实验室研究与探索,2023,42(10):89-93.DOI:10.19927/j.cnki.syyt.2023.10.020.</w:t>
      </w:r>
    </w:p>
    <w:p w14:paraId="0723A133">
      <w:pPr>
        <w:ind w:firstLine="480" w:firstLineChars="200"/>
        <w:rPr>
          <w:rFonts w:hint="eastAsia"/>
          <w:lang w:val="zh-CN"/>
        </w:rPr>
      </w:pPr>
      <w:r>
        <w:rPr>
          <w:rFonts w:hint="eastAsia"/>
          <w:lang w:val="zh-CN"/>
        </w:rPr>
        <w:t>[</w:t>
      </w:r>
      <w:r>
        <w:rPr>
          <w:rFonts w:hint="eastAsia"/>
          <w:lang w:val="en-US" w:eastAsia="zh-CN"/>
        </w:rPr>
        <w:t>3</w:t>
      </w:r>
      <w:r>
        <w:rPr>
          <w:rFonts w:hint="eastAsia"/>
          <w:lang w:val="zh-CN"/>
        </w:rPr>
        <w:t>]刘欢,沈阳,曹洪奎.低频信号失真度测量仪设计[J].电子制作,2023,31(17):74-76+33.DOI:10.16589/j.cnki.cn11-3571/tn.2023.17.016.</w:t>
      </w:r>
    </w:p>
    <w:p w14:paraId="08E95EE1">
      <w:pPr>
        <w:ind w:firstLine="480" w:firstLineChars="200"/>
        <w:rPr>
          <w:rFonts w:hint="eastAsia"/>
        </w:rPr>
      </w:pPr>
    </w:p>
    <w:sectPr>
      <w:endnotePr>
        <w:numFmt w:val="decimal"/>
      </w:endnotePr>
      <w:pgSz w:w="11906" w:h="16838"/>
      <w:pgMar w:top="1701" w:right="1797" w:bottom="1440" w:left="1797" w:header="851" w:footer="992" w:gutter="0"/>
      <w:pgNumType w:start="1"/>
      <w:cols w:space="720"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2233315"/>
    </w:sdtPr>
    <w:sdtContent>
      <w:p w14:paraId="2152EE49">
        <w:pPr>
          <w:pStyle w:val="19"/>
          <w:jc w:val="right"/>
        </w:pPr>
        <w:r>
          <w:fldChar w:fldCharType="begin"/>
        </w:r>
        <w:r>
          <w:instrText xml:space="preserve">PAGE   \* MERGEFORMAT</w:instrText>
        </w:r>
        <w:r>
          <w:fldChar w:fldCharType="separate"/>
        </w:r>
        <w:r>
          <w:rPr>
            <w:lang w:val="zh-CN"/>
          </w:rPr>
          <w:t>2</w:t>
        </w:r>
        <w:r>
          <w:fldChar w:fldCharType="end"/>
        </w:r>
      </w:p>
    </w:sdtContent>
  </w:sdt>
  <w:p w14:paraId="058C17D4">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78A59">
    <w:pPr>
      <w:pStyle w:val="93"/>
      <w:pBdr>
        <w:top w:val="none" w:color="auto" w:sz="0" w:space="0"/>
      </w:pBdr>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D2FEA"/>
    <w:multiLevelType w:val="multilevel"/>
    <w:tmpl w:val="10CD2FEA"/>
    <w:lvl w:ilvl="0" w:tentative="0">
      <w:start w:val="1"/>
      <w:numFmt w:val="decimal"/>
      <w:pStyle w:val="2"/>
      <w:lvlText w:val="%1"/>
      <w:lvlJc w:val="left"/>
      <w:pPr>
        <w:ind w:left="425" w:hanging="425"/>
      </w:pPr>
      <w:rPr>
        <w:rFonts w:hint="eastAsia"/>
        <w:lang w:val="en-US"/>
      </w:rPr>
    </w:lvl>
    <w:lvl w:ilvl="1" w:tentative="0">
      <w:start w:val="1"/>
      <w:numFmt w:val="decimal"/>
      <w:pStyle w:val="3"/>
      <w:lvlText w:val="%1.%2"/>
      <w:lvlJc w:val="left"/>
      <w:pPr>
        <w:ind w:left="0" w:firstLine="0"/>
      </w:pPr>
      <w:rPr>
        <w:rFonts w:hint="eastAsia"/>
      </w:rPr>
    </w:lvl>
    <w:lvl w:ilvl="2" w:tentative="0">
      <w:start w:val="1"/>
      <w:numFmt w:val="decimal"/>
      <w:pStyle w:val="5"/>
      <w:lvlText w:val="%1.%2.%3"/>
      <w:lvlJc w:val="left"/>
      <w:pPr>
        <w:ind w:left="284" w:hanging="284"/>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60"/>
  <w:drawingGridHorizontalSpacing w:val="120"/>
  <w:drawingGridVerticalSpacing w:val="163"/>
  <w:displayHorizontalDrawingGridEvery w:val="2"/>
  <w:displayVerticalDrawingGridEvery w:val="2"/>
  <w:noPunctuationKerning w:val="1"/>
  <w:characterSpacingControl w:val="compressPunctuation"/>
  <w:doNotValidateAgainstSchema/>
  <w:doNotDemarcateInvalidXml/>
  <w:footnotePr>
    <w:footnote w:id="0"/>
    <w:footnote w:id="1"/>
  </w:footnotePr>
  <w:endnotePr>
    <w:pos w:val="sectEnd"/>
    <w:numFmt w:val="decimal"/>
    <w:endnote w:id="0"/>
    <w:endnote w:id="1"/>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Chinese Std GBT7714 (numeric)&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dfwtt5zs9fw22nezfvhv5at9wxft52tvpt2x&quot;&gt;My EndNote Library&lt;record-ids&gt;&lt;item&gt;46&lt;/item&gt;&lt;item&gt;47&lt;/item&gt;&lt;item&gt;48&lt;/item&gt;&lt;item&gt;49&lt;/item&gt;&lt;item&gt;50&lt;/item&gt;&lt;item&gt;51&lt;/item&gt;&lt;item&gt;58&lt;/item&gt;&lt;item&gt;59&lt;/item&gt;&lt;item&gt;61&lt;/item&gt;&lt;item&gt;63&lt;/item&gt;&lt;item&gt;64&lt;/item&gt;&lt;item&gt;80&lt;/item&gt;&lt;item&gt;81&lt;/item&gt;&lt;item&gt;90&lt;/item&gt;&lt;item&gt;91&lt;/item&gt;&lt;item&gt;94&lt;/item&gt;&lt;item&gt;97&lt;/item&gt;&lt;item&gt;108&lt;/item&gt;&lt;item&gt;109&lt;/item&gt;&lt;item&gt;110&lt;/item&gt;&lt;item&gt;112&lt;/item&gt;&lt;item&gt;116&lt;/item&gt;&lt;item&gt;117&lt;/item&gt;&lt;item&gt;118&lt;/item&gt;&lt;item&gt;119&lt;/item&gt;&lt;item&gt;121&lt;/item&gt;&lt;item&gt;123&lt;/item&gt;&lt;item&gt;124&lt;/item&gt;&lt;item&gt;125&lt;/item&gt;&lt;item&gt;126&lt;/item&gt;&lt;item&gt;127&lt;/item&gt;&lt;item&gt;128&lt;/item&gt;&lt;/record-ids&gt;&lt;/item&gt;&lt;/Libraries&gt;"/>
  </w:docVars>
  <w:rsids>
    <w:rsidRoot w:val="00172A27"/>
    <w:rsid w:val="0000094C"/>
    <w:rsid w:val="00001CE7"/>
    <w:rsid w:val="00004230"/>
    <w:rsid w:val="0000515F"/>
    <w:rsid w:val="000061EF"/>
    <w:rsid w:val="0001064C"/>
    <w:rsid w:val="00014587"/>
    <w:rsid w:val="000148C2"/>
    <w:rsid w:val="00014A63"/>
    <w:rsid w:val="0001543A"/>
    <w:rsid w:val="00016281"/>
    <w:rsid w:val="00016505"/>
    <w:rsid w:val="0002143B"/>
    <w:rsid w:val="00023995"/>
    <w:rsid w:val="0002593A"/>
    <w:rsid w:val="0002655A"/>
    <w:rsid w:val="00027966"/>
    <w:rsid w:val="0003074C"/>
    <w:rsid w:val="000311C9"/>
    <w:rsid w:val="0003180F"/>
    <w:rsid w:val="00033985"/>
    <w:rsid w:val="00033EC7"/>
    <w:rsid w:val="00034F04"/>
    <w:rsid w:val="00035E15"/>
    <w:rsid w:val="00040E7B"/>
    <w:rsid w:val="00041AE1"/>
    <w:rsid w:val="00041B91"/>
    <w:rsid w:val="00041CD7"/>
    <w:rsid w:val="00042DBF"/>
    <w:rsid w:val="000441D9"/>
    <w:rsid w:val="0004798A"/>
    <w:rsid w:val="00050EF0"/>
    <w:rsid w:val="00051582"/>
    <w:rsid w:val="00053AF1"/>
    <w:rsid w:val="00054F6D"/>
    <w:rsid w:val="0005747C"/>
    <w:rsid w:val="000575F6"/>
    <w:rsid w:val="000604FE"/>
    <w:rsid w:val="00062C40"/>
    <w:rsid w:val="0006406D"/>
    <w:rsid w:val="0006516B"/>
    <w:rsid w:val="00065EB1"/>
    <w:rsid w:val="0006620B"/>
    <w:rsid w:val="00066B27"/>
    <w:rsid w:val="000715DD"/>
    <w:rsid w:val="00074584"/>
    <w:rsid w:val="0007467C"/>
    <w:rsid w:val="00074C8E"/>
    <w:rsid w:val="0007512E"/>
    <w:rsid w:val="000751A7"/>
    <w:rsid w:val="000775F2"/>
    <w:rsid w:val="0008015A"/>
    <w:rsid w:val="000804BC"/>
    <w:rsid w:val="000804E4"/>
    <w:rsid w:val="00080648"/>
    <w:rsid w:val="000814EA"/>
    <w:rsid w:val="00081E8B"/>
    <w:rsid w:val="000828AD"/>
    <w:rsid w:val="00082C15"/>
    <w:rsid w:val="00083F48"/>
    <w:rsid w:val="000875D2"/>
    <w:rsid w:val="00087951"/>
    <w:rsid w:val="000917CC"/>
    <w:rsid w:val="00091C1E"/>
    <w:rsid w:val="00093CE9"/>
    <w:rsid w:val="00094738"/>
    <w:rsid w:val="000A0723"/>
    <w:rsid w:val="000A09EC"/>
    <w:rsid w:val="000A1B91"/>
    <w:rsid w:val="000A4668"/>
    <w:rsid w:val="000A51FA"/>
    <w:rsid w:val="000A6941"/>
    <w:rsid w:val="000B144D"/>
    <w:rsid w:val="000B1B53"/>
    <w:rsid w:val="000B4B11"/>
    <w:rsid w:val="000C15F3"/>
    <w:rsid w:val="000C2647"/>
    <w:rsid w:val="000C3B81"/>
    <w:rsid w:val="000D2E69"/>
    <w:rsid w:val="000D5338"/>
    <w:rsid w:val="000E02BE"/>
    <w:rsid w:val="000E1E43"/>
    <w:rsid w:val="000E341E"/>
    <w:rsid w:val="000E413B"/>
    <w:rsid w:val="000E50A2"/>
    <w:rsid w:val="000E6D8A"/>
    <w:rsid w:val="000F11C9"/>
    <w:rsid w:val="000F2E1A"/>
    <w:rsid w:val="000F4851"/>
    <w:rsid w:val="000F5CCF"/>
    <w:rsid w:val="000F733B"/>
    <w:rsid w:val="000F797C"/>
    <w:rsid w:val="001033C9"/>
    <w:rsid w:val="001058CE"/>
    <w:rsid w:val="001103E2"/>
    <w:rsid w:val="001124B9"/>
    <w:rsid w:val="0011435B"/>
    <w:rsid w:val="0011479E"/>
    <w:rsid w:val="00115489"/>
    <w:rsid w:val="00120BA1"/>
    <w:rsid w:val="00121597"/>
    <w:rsid w:val="001261E4"/>
    <w:rsid w:val="001265DB"/>
    <w:rsid w:val="00131419"/>
    <w:rsid w:val="001316FF"/>
    <w:rsid w:val="00131F28"/>
    <w:rsid w:val="00132229"/>
    <w:rsid w:val="00132664"/>
    <w:rsid w:val="001338B7"/>
    <w:rsid w:val="00134244"/>
    <w:rsid w:val="00135C39"/>
    <w:rsid w:val="0013690D"/>
    <w:rsid w:val="001369AC"/>
    <w:rsid w:val="00137B86"/>
    <w:rsid w:val="0014172E"/>
    <w:rsid w:val="0014476A"/>
    <w:rsid w:val="00144BC7"/>
    <w:rsid w:val="00145239"/>
    <w:rsid w:val="001455F0"/>
    <w:rsid w:val="00146E71"/>
    <w:rsid w:val="001526A3"/>
    <w:rsid w:val="0015430C"/>
    <w:rsid w:val="00154D4E"/>
    <w:rsid w:val="001568CE"/>
    <w:rsid w:val="00160FA5"/>
    <w:rsid w:val="00161EC6"/>
    <w:rsid w:val="001651B5"/>
    <w:rsid w:val="00165CC8"/>
    <w:rsid w:val="001662AC"/>
    <w:rsid w:val="001673E1"/>
    <w:rsid w:val="00170545"/>
    <w:rsid w:val="00171A7A"/>
    <w:rsid w:val="00171AD7"/>
    <w:rsid w:val="00172A27"/>
    <w:rsid w:val="00173B78"/>
    <w:rsid w:val="0017415B"/>
    <w:rsid w:val="0017416C"/>
    <w:rsid w:val="001750BF"/>
    <w:rsid w:val="00175571"/>
    <w:rsid w:val="001807B7"/>
    <w:rsid w:val="00180A4C"/>
    <w:rsid w:val="00181964"/>
    <w:rsid w:val="001819C8"/>
    <w:rsid w:val="00181A1E"/>
    <w:rsid w:val="00183F22"/>
    <w:rsid w:val="00184391"/>
    <w:rsid w:val="0018565B"/>
    <w:rsid w:val="001865FF"/>
    <w:rsid w:val="001873D8"/>
    <w:rsid w:val="001904EE"/>
    <w:rsid w:val="001905DF"/>
    <w:rsid w:val="00191E9C"/>
    <w:rsid w:val="00191F2A"/>
    <w:rsid w:val="00193C66"/>
    <w:rsid w:val="00194B53"/>
    <w:rsid w:val="00197544"/>
    <w:rsid w:val="001A06C5"/>
    <w:rsid w:val="001A4915"/>
    <w:rsid w:val="001A6235"/>
    <w:rsid w:val="001A663C"/>
    <w:rsid w:val="001A79D9"/>
    <w:rsid w:val="001B077C"/>
    <w:rsid w:val="001B1654"/>
    <w:rsid w:val="001B173A"/>
    <w:rsid w:val="001B29ED"/>
    <w:rsid w:val="001B3F5B"/>
    <w:rsid w:val="001B4757"/>
    <w:rsid w:val="001C0032"/>
    <w:rsid w:val="001C1619"/>
    <w:rsid w:val="001C2361"/>
    <w:rsid w:val="001C34CA"/>
    <w:rsid w:val="001C363E"/>
    <w:rsid w:val="001C4B02"/>
    <w:rsid w:val="001C4F78"/>
    <w:rsid w:val="001C52D1"/>
    <w:rsid w:val="001C6E29"/>
    <w:rsid w:val="001C6E3B"/>
    <w:rsid w:val="001D0BF9"/>
    <w:rsid w:val="001D2B80"/>
    <w:rsid w:val="001D6249"/>
    <w:rsid w:val="001E1EB7"/>
    <w:rsid w:val="001E3D8F"/>
    <w:rsid w:val="001E4EC0"/>
    <w:rsid w:val="001E72F3"/>
    <w:rsid w:val="001F59CA"/>
    <w:rsid w:val="001F60B3"/>
    <w:rsid w:val="001F6416"/>
    <w:rsid w:val="001F7901"/>
    <w:rsid w:val="0020131E"/>
    <w:rsid w:val="0020135C"/>
    <w:rsid w:val="00203722"/>
    <w:rsid w:val="00206F33"/>
    <w:rsid w:val="00210CAA"/>
    <w:rsid w:val="002116F6"/>
    <w:rsid w:val="00214A35"/>
    <w:rsid w:val="0021720D"/>
    <w:rsid w:val="00220622"/>
    <w:rsid w:val="00222F73"/>
    <w:rsid w:val="00223471"/>
    <w:rsid w:val="00227AD0"/>
    <w:rsid w:val="00231B00"/>
    <w:rsid w:val="00232642"/>
    <w:rsid w:val="00234C4C"/>
    <w:rsid w:val="00237031"/>
    <w:rsid w:val="00237237"/>
    <w:rsid w:val="0024048E"/>
    <w:rsid w:val="00240DB5"/>
    <w:rsid w:val="00242FD1"/>
    <w:rsid w:val="00243625"/>
    <w:rsid w:val="00243B99"/>
    <w:rsid w:val="002441FB"/>
    <w:rsid w:val="00244D04"/>
    <w:rsid w:val="0024757A"/>
    <w:rsid w:val="002510DA"/>
    <w:rsid w:val="00253D9A"/>
    <w:rsid w:val="00253E9B"/>
    <w:rsid w:val="00254771"/>
    <w:rsid w:val="00256091"/>
    <w:rsid w:val="002578AB"/>
    <w:rsid w:val="002601E8"/>
    <w:rsid w:val="00262570"/>
    <w:rsid w:val="00262F17"/>
    <w:rsid w:val="00266E93"/>
    <w:rsid w:val="00267DE5"/>
    <w:rsid w:val="00270A6E"/>
    <w:rsid w:val="00270BAA"/>
    <w:rsid w:val="00270BED"/>
    <w:rsid w:val="00270CD6"/>
    <w:rsid w:val="00271D95"/>
    <w:rsid w:val="002725FE"/>
    <w:rsid w:val="002726AF"/>
    <w:rsid w:val="00273DA7"/>
    <w:rsid w:val="0027499A"/>
    <w:rsid w:val="00276E00"/>
    <w:rsid w:val="0029222A"/>
    <w:rsid w:val="0029348D"/>
    <w:rsid w:val="0029575D"/>
    <w:rsid w:val="002962D3"/>
    <w:rsid w:val="00296E79"/>
    <w:rsid w:val="002A1A80"/>
    <w:rsid w:val="002A1D09"/>
    <w:rsid w:val="002A4AA9"/>
    <w:rsid w:val="002A7D12"/>
    <w:rsid w:val="002B15F2"/>
    <w:rsid w:val="002B325B"/>
    <w:rsid w:val="002B5A35"/>
    <w:rsid w:val="002C03A7"/>
    <w:rsid w:val="002C09BC"/>
    <w:rsid w:val="002C0D31"/>
    <w:rsid w:val="002C2AC7"/>
    <w:rsid w:val="002C2BB5"/>
    <w:rsid w:val="002C5D69"/>
    <w:rsid w:val="002D006A"/>
    <w:rsid w:val="002D03D6"/>
    <w:rsid w:val="002D18D0"/>
    <w:rsid w:val="002D4551"/>
    <w:rsid w:val="002D4A5D"/>
    <w:rsid w:val="002D64FB"/>
    <w:rsid w:val="002E11D2"/>
    <w:rsid w:val="002E198B"/>
    <w:rsid w:val="002E2090"/>
    <w:rsid w:val="002E24B8"/>
    <w:rsid w:val="002E3D27"/>
    <w:rsid w:val="002E3E4E"/>
    <w:rsid w:val="002E42F2"/>
    <w:rsid w:val="002E4882"/>
    <w:rsid w:val="002E6E13"/>
    <w:rsid w:val="002F08C4"/>
    <w:rsid w:val="002F08CA"/>
    <w:rsid w:val="002F1875"/>
    <w:rsid w:val="002F65F8"/>
    <w:rsid w:val="002F69CE"/>
    <w:rsid w:val="002F7FBE"/>
    <w:rsid w:val="002F7FC2"/>
    <w:rsid w:val="00300158"/>
    <w:rsid w:val="00302519"/>
    <w:rsid w:val="00302F46"/>
    <w:rsid w:val="00304A9A"/>
    <w:rsid w:val="0031155E"/>
    <w:rsid w:val="00311BAE"/>
    <w:rsid w:val="003127AB"/>
    <w:rsid w:val="00312BB4"/>
    <w:rsid w:val="00314C5E"/>
    <w:rsid w:val="00315048"/>
    <w:rsid w:val="00315A5D"/>
    <w:rsid w:val="00317340"/>
    <w:rsid w:val="0032213D"/>
    <w:rsid w:val="00322BEA"/>
    <w:rsid w:val="003237AA"/>
    <w:rsid w:val="00323D5E"/>
    <w:rsid w:val="00325BB9"/>
    <w:rsid w:val="00333ABE"/>
    <w:rsid w:val="00334475"/>
    <w:rsid w:val="00334951"/>
    <w:rsid w:val="003356B2"/>
    <w:rsid w:val="0034018F"/>
    <w:rsid w:val="00341403"/>
    <w:rsid w:val="0034182F"/>
    <w:rsid w:val="0034221F"/>
    <w:rsid w:val="00343AE1"/>
    <w:rsid w:val="00343B47"/>
    <w:rsid w:val="00345879"/>
    <w:rsid w:val="00345EC8"/>
    <w:rsid w:val="00346371"/>
    <w:rsid w:val="00352AAD"/>
    <w:rsid w:val="00352B4A"/>
    <w:rsid w:val="003547D2"/>
    <w:rsid w:val="003556D4"/>
    <w:rsid w:val="0036057F"/>
    <w:rsid w:val="00360931"/>
    <w:rsid w:val="00364FD1"/>
    <w:rsid w:val="003702F8"/>
    <w:rsid w:val="00370597"/>
    <w:rsid w:val="00370BC4"/>
    <w:rsid w:val="00372FB1"/>
    <w:rsid w:val="00373A54"/>
    <w:rsid w:val="00374CC6"/>
    <w:rsid w:val="00375443"/>
    <w:rsid w:val="003766F2"/>
    <w:rsid w:val="00381002"/>
    <w:rsid w:val="00381B24"/>
    <w:rsid w:val="00383234"/>
    <w:rsid w:val="0038443C"/>
    <w:rsid w:val="00385440"/>
    <w:rsid w:val="00385492"/>
    <w:rsid w:val="00385C31"/>
    <w:rsid w:val="003866B9"/>
    <w:rsid w:val="0038682E"/>
    <w:rsid w:val="00386DA9"/>
    <w:rsid w:val="00390D5F"/>
    <w:rsid w:val="00392384"/>
    <w:rsid w:val="00392DF7"/>
    <w:rsid w:val="0039316A"/>
    <w:rsid w:val="00393614"/>
    <w:rsid w:val="00393928"/>
    <w:rsid w:val="00394BBB"/>
    <w:rsid w:val="003950E4"/>
    <w:rsid w:val="00396DDD"/>
    <w:rsid w:val="00396F2B"/>
    <w:rsid w:val="003973AA"/>
    <w:rsid w:val="003973F7"/>
    <w:rsid w:val="003A35A1"/>
    <w:rsid w:val="003A3684"/>
    <w:rsid w:val="003A39DD"/>
    <w:rsid w:val="003A3B33"/>
    <w:rsid w:val="003A4DFE"/>
    <w:rsid w:val="003A67FD"/>
    <w:rsid w:val="003A7245"/>
    <w:rsid w:val="003A7B01"/>
    <w:rsid w:val="003B21F1"/>
    <w:rsid w:val="003B24C5"/>
    <w:rsid w:val="003B39BC"/>
    <w:rsid w:val="003B3CD4"/>
    <w:rsid w:val="003B6566"/>
    <w:rsid w:val="003B6DF0"/>
    <w:rsid w:val="003B7542"/>
    <w:rsid w:val="003B7DFE"/>
    <w:rsid w:val="003C0A97"/>
    <w:rsid w:val="003C1EAC"/>
    <w:rsid w:val="003C62C7"/>
    <w:rsid w:val="003C6622"/>
    <w:rsid w:val="003C6F78"/>
    <w:rsid w:val="003D1D04"/>
    <w:rsid w:val="003D1EEA"/>
    <w:rsid w:val="003D1FA6"/>
    <w:rsid w:val="003D453B"/>
    <w:rsid w:val="003D578E"/>
    <w:rsid w:val="003D7C6C"/>
    <w:rsid w:val="003E0126"/>
    <w:rsid w:val="003E229F"/>
    <w:rsid w:val="003E2F4E"/>
    <w:rsid w:val="003E4332"/>
    <w:rsid w:val="003E4684"/>
    <w:rsid w:val="003E4FDA"/>
    <w:rsid w:val="003E6D9F"/>
    <w:rsid w:val="003E797F"/>
    <w:rsid w:val="003F0207"/>
    <w:rsid w:val="003F2192"/>
    <w:rsid w:val="003F6556"/>
    <w:rsid w:val="003F783C"/>
    <w:rsid w:val="003F7F6C"/>
    <w:rsid w:val="004000EE"/>
    <w:rsid w:val="004026AB"/>
    <w:rsid w:val="00405609"/>
    <w:rsid w:val="00405B52"/>
    <w:rsid w:val="00410863"/>
    <w:rsid w:val="004113E4"/>
    <w:rsid w:val="004114BC"/>
    <w:rsid w:val="0041262E"/>
    <w:rsid w:val="0041502B"/>
    <w:rsid w:val="004155C7"/>
    <w:rsid w:val="004169CB"/>
    <w:rsid w:val="00416A7F"/>
    <w:rsid w:val="004172CB"/>
    <w:rsid w:val="00424CB3"/>
    <w:rsid w:val="0042518A"/>
    <w:rsid w:val="00425D15"/>
    <w:rsid w:val="00426816"/>
    <w:rsid w:val="00426B1C"/>
    <w:rsid w:val="00427746"/>
    <w:rsid w:val="00432509"/>
    <w:rsid w:val="0043271E"/>
    <w:rsid w:val="00433896"/>
    <w:rsid w:val="00434F0B"/>
    <w:rsid w:val="00435696"/>
    <w:rsid w:val="00435974"/>
    <w:rsid w:val="00436770"/>
    <w:rsid w:val="004368EF"/>
    <w:rsid w:val="0044184D"/>
    <w:rsid w:val="00442396"/>
    <w:rsid w:val="00444320"/>
    <w:rsid w:val="004515CC"/>
    <w:rsid w:val="00452B8F"/>
    <w:rsid w:val="00452F0C"/>
    <w:rsid w:val="004540EE"/>
    <w:rsid w:val="00455550"/>
    <w:rsid w:val="00455C1C"/>
    <w:rsid w:val="004614D0"/>
    <w:rsid w:val="00463541"/>
    <w:rsid w:val="00463DD0"/>
    <w:rsid w:val="00463E38"/>
    <w:rsid w:val="004645DD"/>
    <w:rsid w:val="00464838"/>
    <w:rsid w:val="00466B7D"/>
    <w:rsid w:val="00467588"/>
    <w:rsid w:val="00470218"/>
    <w:rsid w:val="00470854"/>
    <w:rsid w:val="00473727"/>
    <w:rsid w:val="00474804"/>
    <w:rsid w:val="00474B6D"/>
    <w:rsid w:val="004751B3"/>
    <w:rsid w:val="004756E6"/>
    <w:rsid w:val="0047599C"/>
    <w:rsid w:val="00475C19"/>
    <w:rsid w:val="00480ACB"/>
    <w:rsid w:val="0048107B"/>
    <w:rsid w:val="00482584"/>
    <w:rsid w:val="004831B4"/>
    <w:rsid w:val="00483224"/>
    <w:rsid w:val="004836EA"/>
    <w:rsid w:val="00484EFD"/>
    <w:rsid w:val="00484F8B"/>
    <w:rsid w:val="00487AB1"/>
    <w:rsid w:val="00491507"/>
    <w:rsid w:val="00493D85"/>
    <w:rsid w:val="004957AC"/>
    <w:rsid w:val="00495AEC"/>
    <w:rsid w:val="00496D2A"/>
    <w:rsid w:val="004A6931"/>
    <w:rsid w:val="004B1505"/>
    <w:rsid w:val="004B1994"/>
    <w:rsid w:val="004B395F"/>
    <w:rsid w:val="004B609A"/>
    <w:rsid w:val="004B7814"/>
    <w:rsid w:val="004B7BDF"/>
    <w:rsid w:val="004B7F5F"/>
    <w:rsid w:val="004C0347"/>
    <w:rsid w:val="004C2C89"/>
    <w:rsid w:val="004C2FF9"/>
    <w:rsid w:val="004C3788"/>
    <w:rsid w:val="004C582B"/>
    <w:rsid w:val="004C75B7"/>
    <w:rsid w:val="004D3190"/>
    <w:rsid w:val="004D583B"/>
    <w:rsid w:val="004E283D"/>
    <w:rsid w:val="004E2C7D"/>
    <w:rsid w:val="004E31EA"/>
    <w:rsid w:val="004E3422"/>
    <w:rsid w:val="004E534E"/>
    <w:rsid w:val="004E73B5"/>
    <w:rsid w:val="004F0B77"/>
    <w:rsid w:val="004F116B"/>
    <w:rsid w:val="004F32DD"/>
    <w:rsid w:val="004F3BFB"/>
    <w:rsid w:val="004F4403"/>
    <w:rsid w:val="004F4B7B"/>
    <w:rsid w:val="004F58D3"/>
    <w:rsid w:val="004F5F88"/>
    <w:rsid w:val="004F7FC2"/>
    <w:rsid w:val="0050009C"/>
    <w:rsid w:val="00500144"/>
    <w:rsid w:val="0050134B"/>
    <w:rsid w:val="0050159E"/>
    <w:rsid w:val="005020B0"/>
    <w:rsid w:val="00503A90"/>
    <w:rsid w:val="0050408B"/>
    <w:rsid w:val="00504184"/>
    <w:rsid w:val="005074CD"/>
    <w:rsid w:val="005077A7"/>
    <w:rsid w:val="005105F1"/>
    <w:rsid w:val="005109A7"/>
    <w:rsid w:val="00510CB5"/>
    <w:rsid w:val="00511568"/>
    <w:rsid w:val="005128BA"/>
    <w:rsid w:val="00514078"/>
    <w:rsid w:val="0051450F"/>
    <w:rsid w:val="00515431"/>
    <w:rsid w:val="00520098"/>
    <w:rsid w:val="005214AE"/>
    <w:rsid w:val="005228C7"/>
    <w:rsid w:val="00525142"/>
    <w:rsid w:val="005267DF"/>
    <w:rsid w:val="005267F3"/>
    <w:rsid w:val="0052773B"/>
    <w:rsid w:val="005316E3"/>
    <w:rsid w:val="005321B1"/>
    <w:rsid w:val="00532AB3"/>
    <w:rsid w:val="005337CA"/>
    <w:rsid w:val="005355AD"/>
    <w:rsid w:val="00535AA9"/>
    <w:rsid w:val="00544106"/>
    <w:rsid w:val="00544198"/>
    <w:rsid w:val="0054441C"/>
    <w:rsid w:val="005459F4"/>
    <w:rsid w:val="0054633D"/>
    <w:rsid w:val="00546A97"/>
    <w:rsid w:val="00551B11"/>
    <w:rsid w:val="00552B09"/>
    <w:rsid w:val="00555301"/>
    <w:rsid w:val="00555986"/>
    <w:rsid w:val="00557677"/>
    <w:rsid w:val="00561B43"/>
    <w:rsid w:val="00562056"/>
    <w:rsid w:val="00563209"/>
    <w:rsid w:val="00567986"/>
    <w:rsid w:val="005708FD"/>
    <w:rsid w:val="005718D8"/>
    <w:rsid w:val="005721A2"/>
    <w:rsid w:val="00572A6B"/>
    <w:rsid w:val="0057371B"/>
    <w:rsid w:val="0057581D"/>
    <w:rsid w:val="00575A4A"/>
    <w:rsid w:val="00576798"/>
    <w:rsid w:val="00576DD9"/>
    <w:rsid w:val="0058071E"/>
    <w:rsid w:val="0058165E"/>
    <w:rsid w:val="005820D4"/>
    <w:rsid w:val="0058237C"/>
    <w:rsid w:val="0058445A"/>
    <w:rsid w:val="0058515E"/>
    <w:rsid w:val="005870F2"/>
    <w:rsid w:val="005878A0"/>
    <w:rsid w:val="00590051"/>
    <w:rsid w:val="00590F26"/>
    <w:rsid w:val="00591215"/>
    <w:rsid w:val="00591A94"/>
    <w:rsid w:val="0059518E"/>
    <w:rsid w:val="005A070A"/>
    <w:rsid w:val="005A24A9"/>
    <w:rsid w:val="005A3FC6"/>
    <w:rsid w:val="005A72A9"/>
    <w:rsid w:val="005B047E"/>
    <w:rsid w:val="005B04DA"/>
    <w:rsid w:val="005B0683"/>
    <w:rsid w:val="005B2312"/>
    <w:rsid w:val="005B2A6A"/>
    <w:rsid w:val="005B2B64"/>
    <w:rsid w:val="005B2DCA"/>
    <w:rsid w:val="005B362A"/>
    <w:rsid w:val="005B3A37"/>
    <w:rsid w:val="005B6043"/>
    <w:rsid w:val="005B7BDE"/>
    <w:rsid w:val="005C40F0"/>
    <w:rsid w:val="005C6ACA"/>
    <w:rsid w:val="005C78C7"/>
    <w:rsid w:val="005D207E"/>
    <w:rsid w:val="005D39A4"/>
    <w:rsid w:val="005D407C"/>
    <w:rsid w:val="005D5AFF"/>
    <w:rsid w:val="005D656D"/>
    <w:rsid w:val="005D6910"/>
    <w:rsid w:val="005D7236"/>
    <w:rsid w:val="005D76F6"/>
    <w:rsid w:val="005E099F"/>
    <w:rsid w:val="005E2D51"/>
    <w:rsid w:val="005E34ED"/>
    <w:rsid w:val="005E3FF1"/>
    <w:rsid w:val="005E42C0"/>
    <w:rsid w:val="005E5674"/>
    <w:rsid w:val="005E619E"/>
    <w:rsid w:val="005E7BDC"/>
    <w:rsid w:val="005E7D96"/>
    <w:rsid w:val="005F1F89"/>
    <w:rsid w:val="005F2B4A"/>
    <w:rsid w:val="005F2F2B"/>
    <w:rsid w:val="005F42D6"/>
    <w:rsid w:val="005F70DC"/>
    <w:rsid w:val="0060014F"/>
    <w:rsid w:val="00602D38"/>
    <w:rsid w:val="0060399D"/>
    <w:rsid w:val="00603FAD"/>
    <w:rsid w:val="00605957"/>
    <w:rsid w:val="006101EE"/>
    <w:rsid w:val="0061023E"/>
    <w:rsid w:val="006113DF"/>
    <w:rsid w:val="00611507"/>
    <w:rsid w:val="00613B25"/>
    <w:rsid w:val="006151DC"/>
    <w:rsid w:val="00621470"/>
    <w:rsid w:val="006230AE"/>
    <w:rsid w:val="00625352"/>
    <w:rsid w:val="0062552A"/>
    <w:rsid w:val="006274B1"/>
    <w:rsid w:val="00632656"/>
    <w:rsid w:val="00635F9C"/>
    <w:rsid w:val="00640BAB"/>
    <w:rsid w:val="006425FD"/>
    <w:rsid w:val="00643032"/>
    <w:rsid w:val="00643049"/>
    <w:rsid w:val="006539BA"/>
    <w:rsid w:val="00654B85"/>
    <w:rsid w:val="00657F3B"/>
    <w:rsid w:val="0066158D"/>
    <w:rsid w:val="0066216F"/>
    <w:rsid w:val="00662210"/>
    <w:rsid w:val="00662A1A"/>
    <w:rsid w:val="00664372"/>
    <w:rsid w:val="00665F76"/>
    <w:rsid w:val="00666798"/>
    <w:rsid w:val="00667BED"/>
    <w:rsid w:val="00671154"/>
    <w:rsid w:val="00672602"/>
    <w:rsid w:val="00672D21"/>
    <w:rsid w:val="00673030"/>
    <w:rsid w:val="00675750"/>
    <w:rsid w:val="0067577E"/>
    <w:rsid w:val="00681AFB"/>
    <w:rsid w:val="00685060"/>
    <w:rsid w:val="006859F9"/>
    <w:rsid w:val="00685A77"/>
    <w:rsid w:val="006901D3"/>
    <w:rsid w:val="006937EC"/>
    <w:rsid w:val="006951CA"/>
    <w:rsid w:val="00695CA6"/>
    <w:rsid w:val="006A0A24"/>
    <w:rsid w:val="006A2A3F"/>
    <w:rsid w:val="006A31E3"/>
    <w:rsid w:val="006A3981"/>
    <w:rsid w:val="006A6D21"/>
    <w:rsid w:val="006B1318"/>
    <w:rsid w:val="006B21C6"/>
    <w:rsid w:val="006B3905"/>
    <w:rsid w:val="006B3CBC"/>
    <w:rsid w:val="006B5AC7"/>
    <w:rsid w:val="006B6FFF"/>
    <w:rsid w:val="006B79BD"/>
    <w:rsid w:val="006B7AF7"/>
    <w:rsid w:val="006C0527"/>
    <w:rsid w:val="006C1A5B"/>
    <w:rsid w:val="006C1F33"/>
    <w:rsid w:val="006C258B"/>
    <w:rsid w:val="006C3436"/>
    <w:rsid w:val="006C752F"/>
    <w:rsid w:val="006C7BB8"/>
    <w:rsid w:val="006D2C81"/>
    <w:rsid w:val="006D2D69"/>
    <w:rsid w:val="006D30A3"/>
    <w:rsid w:val="006D35F8"/>
    <w:rsid w:val="006D3C0F"/>
    <w:rsid w:val="006D5113"/>
    <w:rsid w:val="006E3684"/>
    <w:rsid w:val="006E421F"/>
    <w:rsid w:val="006E5DD0"/>
    <w:rsid w:val="006E6B51"/>
    <w:rsid w:val="006E74CF"/>
    <w:rsid w:val="006E7F3C"/>
    <w:rsid w:val="006F1726"/>
    <w:rsid w:val="006F2C93"/>
    <w:rsid w:val="006F2F56"/>
    <w:rsid w:val="006F35F0"/>
    <w:rsid w:val="006F4ACB"/>
    <w:rsid w:val="006F4C53"/>
    <w:rsid w:val="006F592E"/>
    <w:rsid w:val="006F649E"/>
    <w:rsid w:val="006F76F8"/>
    <w:rsid w:val="00701F49"/>
    <w:rsid w:val="00702836"/>
    <w:rsid w:val="00703C02"/>
    <w:rsid w:val="007055C4"/>
    <w:rsid w:val="0070664D"/>
    <w:rsid w:val="00706F9D"/>
    <w:rsid w:val="00710692"/>
    <w:rsid w:val="007121C6"/>
    <w:rsid w:val="00714A3A"/>
    <w:rsid w:val="00716BB9"/>
    <w:rsid w:val="0072441C"/>
    <w:rsid w:val="00725EEB"/>
    <w:rsid w:val="00725F41"/>
    <w:rsid w:val="0072738E"/>
    <w:rsid w:val="007319D1"/>
    <w:rsid w:val="00734F30"/>
    <w:rsid w:val="00735D0A"/>
    <w:rsid w:val="007404F8"/>
    <w:rsid w:val="00744A9B"/>
    <w:rsid w:val="007478DE"/>
    <w:rsid w:val="00750061"/>
    <w:rsid w:val="00750431"/>
    <w:rsid w:val="00750B83"/>
    <w:rsid w:val="007525C1"/>
    <w:rsid w:val="00752C11"/>
    <w:rsid w:val="00763635"/>
    <w:rsid w:val="00770E7C"/>
    <w:rsid w:val="00776F23"/>
    <w:rsid w:val="00783D91"/>
    <w:rsid w:val="007851E5"/>
    <w:rsid w:val="007857C9"/>
    <w:rsid w:val="007866C7"/>
    <w:rsid w:val="00786A0A"/>
    <w:rsid w:val="00787EA0"/>
    <w:rsid w:val="0079038D"/>
    <w:rsid w:val="00791816"/>
    <w:rsid w:val="0079624A"/>
    <w:rsid w:val="007963B5"/>
    <w:rsid w:val="007A19B6"/>
    <w:rsid w:val="007A1E82"/>
    <w:rsid w:val="007A392C"/>
    <w:rsid w:val="007A40FA"/>
    <w:rsid w:val="007A57C2"/>
    <w:rsid w:val="007A580E"/>
    <w:rsid w:val="007A6497"/>
    <w:rsid w:val="007A6596"/>
    <w:rsid w:val="007A67E9"/>
    <w:rsid w:val="007A722F"/>
    <w:rsid w:val="007A7671"/>
    <w:rsid w:val="007B1793"/>
    <w:rsid w:val="007B1C44"/>
    <w:rsid w:val="007B2E9B"/>
    <w:rsid w:val="007B3600"/>
    <w:rsid w:val="007B7AC0"/>
    <w:rsid w:val="007B7C8A"/>
    <w:rsid w:val="007C35AA"/>
    <w:rsid w:val="007C3CDD"/>
    <w:rsid w:val="007C51B2"/>
    <w:rsid w:val="007D00A9"/>
    <w:rsid w:val="007D0F66"/>
    <w:rsid w:val="007D2B08"/>
    <w:rsid w:val="007D57F0"/>
    <w:rsid w:val="007D6FFD"/>
    <w:rsid w:val="007E6692"/>
    <w:rsid w:val="007E69FC"/>
    <w:rsid w:val="007F22CA"/>
    <w:rsid w:val="007F4051"/>
    <w:rsid w:val="007F6B79"/>
    <w:rsid w:val="007F7A00"/>
    <w:rsid w:val="0080111F"/>
    <w:rsid w:val="008011B0"/>
    <w:rsid w:val="00802788"/>
    <w:rsid w:val="0080458D"/>
    <w:rsid w:val="0080532D"/>
    <w:rsid w:val="0080552B"/>
    <w:rsid w:val="00805E0B"/>
    <w:rsid w:val="00805FB7"/>
    <w:rsid w:val="00807280"/>
    <w:rsid w:val="00810FEC"/>
    <w:rsid w:val="00814417"/>
    <w:rsid w:val="00814C6F"/>
    <w:rsid w:val="0081582E"/>
    <w:rsid w:val="008165C0"/>
    <w:rsid w:val="0081760E"/>
    <w:rsid w:val="0082093C"/>
    <w:rsid w:val="0082143B"/>
    <w:rsid w:val="008242F5"/>
    <w:rsid w:val="0082506D"/>
    <w:rsid w:val="008259B0"/>
    <w:rsid w:val="00825EAC"/>
    <w:rsid w:val="0082784F"/>
    <w:rsid w:val="0083022D"/>
    <w:rsid w:val="0083047A"/>
    <w:rsid w:val="00833552"/>
    <w:rsid w:val="00835501"/>
    <w:rsid w:val="00837434"/>
    <w:rsid w:val="0084179E"/>
    <w:rsid w:val="008419C7"/>
    <w:rsid w:val="00841A95"/>
    <w:rsid w:val="00847B13"/>
    <w:rsid w:val="008503FE"/>
    <w:rsid w:val="00850AE1"/>
    <w:rsid w:val="00850AF6"/>
    <w:rsid w:val="00850DA4"/>
    <w:rsid w:val="00851AE9"/>
    <w:rsid w:val="00851D7D"/>
    <w:rsid w:val="00851FA2"/>
    <w:rsid w:val="00852AC5"/>
    <w:rsid w:val="00853F72"/>
    <w:rsid w:val="0085582D"/>
    <w:rsid w:val="00856A92"/>
    <w:rsid w:val="008600F0"/>
    <w:rsid w:val="00866107"/>
    <w:rsid w:val="00867BDF"/>
    <w:rsid w:val="0087035B"/>
    <w:rsid w:val="00870D10"/>
    <w:rsid w:val="00870FD7"/>
    <w:rsid w:val="00871D42"/>
    <w:rsid w:val="008732C8"/>
    <w:rsid w:val="008760A7"/>
    <w:rsid w:val="008765CA"/>
    <w:rsid w:val="0087784E"/>
    <w:rsid w:val="00877A26"/>
    <w:rsid w:val="008802DC"/>
    <w:rsid w:val="00882285"/>
    <w:rsid w:val="00884926"/>
    <w:rsid w:val="00886081"/>
    <w:rsid w:val="00887205"/>
    <w:rsid w:val="00893FAE"/>
    <w:rsid w:val="0089526D"/>
    <w:rsid w:val="00895D7B"/>
    <w:rsid w:val="0089750F"/>
    <w:rsid w:val="008A1857"/>
    <w:rsid w:val="008A18DF"/>
    <w:rsid w:val="008A2222"/>
    <w:rsid w:val="008A5DE9"/>
    <w:rsid w:val="008A6B8D"/>
    <w:rsid w:val="008A763E"/>
    <w:rsid w:val="008B0F01"/>
    <w:rsid w:val="008B0FC0"/>
    <w:rsid w:val="008B11CD"/>
    <w:rsid w:val="008B1950"/>
    <w:rsid w:val="008B2465"/>
    <w:rsid w:val="008B2F84"/>
    <w:rsid w:val="008B6B56"/>
    <w:rsid w:val="008C2909"/>
    <w:rsid w:val="008C4EC6"/>
    <w:rsid w:val="008C65E7"/>
    <w:rsid w:val="008C6AD7"/>
    <w:rsid w:val="008C7A35"/>
    <w:rsid w:val="008D1B36"/>
    <w:rsid w:val="008D356C"/>
    <w:rsid w:val="008D417A"/>
    <w:rsid w:val="008D4290"/>
    <w:rsid w:val="008D4C78"/>
    <w:rsid w:val="008D62AD"/>
    <w:rsid w:val="008E2523"/>
    <w:rsid w:val="008E2714"/>
    <w:rsid w:val="008E5213"/>
    <w:rsid w:val="008E73BC"/>
    <w:rsid w:val="008E7E68"/>
    <w:rsid w:val="008F37C5"/>
    <w:rsid w:val="008F4493"/>
    <w:rsid w:val="008F489B"/>
    <w:rsid w:val="008F6AC4"/>
    <w:rsid w:val="00901482"/>
    <w:rsid w:val="00901971"/>
    <w:rsid w:val="0090247F"/>
    <w:rsid w:val="009071A0"/>
    <w:rsid w:val="009074C5"/>
    <w:rsid w:val="00910964"/>
    <w:rsid w:val="0091206F"/>
    <w:rsid w:val="00912474"/>
    <w:rsid w:val="00912745"/>
    <w:rsid w:val="0091278D"/>
    <w:rsid w:val="00914FAC"/>
    <w:rsid w:val="00915C12"/>
    <w:rsid w:val="0092063F"/>
    <w:rsid w:val="009218D8"/>
    <w:rsid w:val="00922FB7"/>
    <w:rsid w:val="009258F4"/>
    <w:rsid w:val="00925C01"/>
    <w:rsid w:val="0093058F"/>
    <w:rsid w:val="0093324B"/>
    <w:rsid w:val="00934CAA"/>
    <w:rsid w:val="009367A1"/>
    <w:rsid w:val="0094026A"/>
    <w:rsid w:val="00941609"/>
    <w:rsid w:val="00941784"/>
    <w:rsid w:val="00942594"/>
    <w:rsid w:val="00945C2C"/>
    <w:rsid w:val="00945C57"/>
    <w:rsid w:val="009464F9"/>
    <w:rsid w:val="0094787F"/>
    <w:rsid w:val="009528D8"/>
    <w:rsid w:val="00953B45"/>
    <w:rsid w:val="0096053B"/>
    <w:rsid w:val="00961394"/>
    <w:rsid w:val="009630BA"/>
    <w:rsid w:val="00965E2E"/>
    <w:rsid w:val="00967D99"/>
    <w:rsid w:val="009709CE"/>
    <w:rsid w:val="00970CCF"/>
    <w:rsid w:val="0097238D"/>
    <w:rsid w:val="00972DCE"/>
    <w:rsid w:val="00972E9A"/>
    <w:rsid w:val="00975E9E"/>
    <w:rsid w:val="00976589"/>
    <w:rsid w:val="00977707"/>
    <w:rsid w:val="00983687"/>
    <w:rsid w:val="00984799"/>
    <w:rsid w:val="009871F4"/>
    <w:rsid w:val="00990095"/>
    <w:rsid w:val="00992C84"/>
    <w:rsid w:val="00993085"/>
    <w:rsid w:val="0099450F"/>
    <w:rsid w:val="00995087"/>
    <w:rsid w:val="00995573"/>
    <w:rsid w:val="009A10A7"/>
    <w:rsid w:val="009A1C2A"/>
    <w:rsid w:val="009A1EF6"/>
    <w:rsid w:val="009A22B4"/>
    <w:rsid w:val="009A6FAF"/>
    <w:rsid w:val="009B4B16"/>
    <w:rsid w:val="009B5AEE"/>
    <w:rsid w:val="009B6072"/>
    <w:rsid w:val="009C0995"/>
    <w:rsid w:val="009C0A35"/>
    <w:rsid w:val="009C2E83"/>
    <w:rsid w:val="009C4867"/>
    <w:rsid w:val="009C5913"/>
    <w:rsid w:val="009C7D7C"/>
    <w:rsid w:val="009D06B8"/>
    <w:rsid w:val="009D22DA"/>
    <w:rsid w:val="009D23AF"/>
    <w:rsid w:val="009D778E"/>
    <w:rsid w:val="009E0280"/>
    <w:rsid w:val="009E19E1"/>
    <w:rsid w:val="009E1F4C"/>
    <w:rsid w:val="009E2257"/>
    <w:rsid w:val="009E3F35"/>
    <w:rsid w:val="009E6365"/>
    <w:rsid w:val="009E74E7"/>
    <w:rsid w:val="009F0D7D"/>
    <w:rsid w:val="009F3965"/>
    <w:rsid w:val="009F3DF6"/>
    <w:rsid w:val="009F40DE"/>
    <w:rsid w:val="009F7553"/>
    <w:rsid w:val="00A01A63"/>
    <w:rsid w:val="00A02EF0"/>
    <w:rsid w:val="00A03130"/>
    <w:rsid w:val="00A04A90"/>
    <w:rsid w:val="00A053A8"/>
    <w:rsid w:val="00A057D3"/>
    <w:rsid w:val="00A06D9E"/>
    <w:rsid w:val="00A07F84"/>
    <w:rsid w:val="00A10372"/>
    <w:rsid w:val="00A1128E"/>
    <w:rsid w:val="00A13704"/>
    <w:rsid w:val="00A13C7E"/>
    <w:rsid w:val="00A23155"/>
    <w:rsid w:val="00A25947"/>
    <w:rsid w:val="00A303FE"/>
    <w:rsid w:val="00A31CB8"/>
    <w:rsid w:val="00A336B0"/>
    <w:rsid w:val="00A362CB"/>
    <w:rsid w:val="00A375E3"/>
    <w:rsid w:val="00A41535"/>
    <w:rsid w:val="00A42092"/>
    <w:rsid w:val="00A45C38"/>
    <w:rsid w:val="00A45F64"/>
    <w:rsid w:val="00A5126A"/>
    <w:rsid w:val="00A54F1C"/>
    <w:rsid w:val="00A60980"/>
    <w:rsid w:val="00A60B87"/>
    <w:rsid w:val="00A613FA"/>
    <w:rsid w:val="00A63E73"/>
    <w:rsid w:val="00A65388"/>
    <w:rsid w:val="00A67445"/>
    <w:rsid w:val="00A700A1"/>
    <w:rsid w:val="00A702E1"/>
    <w:rsid w:val="00A70369"/>
    <w:rsid w:val="00A73751"/>
    <w:rsid w:val="00A77C9A"/>
    <w:rsid w:val="00A81584"/>
    <w:rsid w:val="00A81F3B"/>
    <w:rsid w:val="00A8253C"/>
    <w:rsid w:val="00A82CDE"/>
    <w:rsid w:val="00A8649A"/>
    <w:rsid w:val="00A87A1F"/>
    <w:rsid w:val="00A93208"/>
    <w:rsid w:val="00A9405F"/>
    <w:rsid w:val="00A940F1"/>
    <w:rsid w:val="00A96970"/>
    <w:rsid w:val="00A96B4E"/>
    <w:rsid w:val="00A97733"/>
    <w:rsid w:val="00A97E66"/>
    <w:rsid w:val="00AA1292"/>
    <w:rsid w:val="00AA1441"/>
    <w:rsid w:val="00AA1D06"/>
    <w:rsid w:val="00AA1FB3"/>
    <w:rsid w:val="00AA4110"/>
    <w:rsid w:val="00AA4E8E"/>
    <w:rsid w:val="00AA5929"/>
    <w:rsid w:val="00AB0278"/>
    <w:rsid w:val="00AB13E4"/>
    <w:rsid w:val="00AB4BC2"/>
    <w:rsid w:val="00AB4E18"/>
    <w:rsid w:val="00AB5512"/>
    <w:rsid w:val="00AB5846"/>
    <w:rsid w:val="00AB6C26"/>
    <w:rsid w:val="00AB77B7"/>
    <w:rsid w:val="00AB7BCE"/>
    <w:rsid w:val="00AC087D"/>
    <w:rsid w:val="00AC11EA"/>
    <w:rsid w:val="00AC2BDE"/>
    <w:rsid w:val="00AC3DDE"/>
    <w:rsid w:val="00AC4F1E"/>
    <w:rsid w:val="00AC54AD"/>
    <w:rsid w:val="00AC6F5E"/>
    <w:rsid w:val="00AC73C2"/>
    <w:rsid w:val="00AD748C"/>
    <w:rsid w:val="00AE130D"/>
    <w:rsid w:val="00AE3615"/>
    <w:rsid w:val="00AE3A71"/>
    <w:rsid w:val="00AE46A1"/>
    <w:rsid w:val="00AE6227"/>
    <w:rsid w:val="00AE6A5C"/>
    <w:rsid w:val="00AF0E13"/>
    <w:rsid w:val="00AF0EB8"/>
    <w:rsid w:val="00AF2121"/>
    <w:rsid w:val="00AF2FE7"/>
    <w:rsid w:val="00AF3228"/>
    <w:rsid w:val="00AF3938"/>
    <w:rsid w:val="00AF685A"/>
    <w:rsid w:val="00B0064C"/>
    <w:rsid w:val="00B00AB9"/>
    <w:rsid w:val="00B00B64"/>
    <w:rsid w:val="00B011F9"/>
    <w:rsid w:val="00B012B2"/>
    <w:rsid w:val="00B039A3"/>
    <w:rsid w:val="00B051DC"/>
    <w:rsid w:val="00B05572"/>
    <w:rsid w:val="00B0697C"/>
    <w:rsid w:val="00B07786"/>
    <w:rsid w:val="00B13732"/>
    <w:rsid w:val="00B13992"/>
    <w:rsid w:val="00B13CC5"/>
    <w:rsid w:val="00B13EA9"/>
    <w:rsid w:val="00B14313"/>
    <w:rsid w:val="00B16875"/>
    <w:rsid w:val="00B17364"/>
    <w:rsid w:val="00B17A8E"/>
    <w:rsid w:val="00B213B3"/>
    <w:rsid w:val="00B21CCE"/>
    <w:rsid w:val="00B22DD2"/>
    <w:rsid w:val="00B2302E"/>
    <w:rsid w:val="00B230DD"/>
    <w:rsid w:val="00B23FBE"/>
    <w:rsid w:val="00B2434B"/>
    <w:rsid w:val="00B24887"/>
    <w:rsid w:val="00B24E90"/>
    <w:rsid w:val="00B25561"/>
    <w:rsid w:val="00B25B8C"/>
    <w:rsid w:val="00B26A60"/>
    <w:rsid w:val="00B270D4"/>
    <w:rsid w:val="00B27777"/>
    <w:rsid w:val="00B30928"/>
    <w:rsid w:val="00B32D02"/>
    <w:rsid w:val="00B35366"/>
    <w:rsid w:val="00B37B57"/>
    <w:rsid w:val="00B41CF8"/>
    <w:rsid w:val="00B430B6"/>
    <w:rsid w:val="00B43F8F"/>
    <w:rsid w:val="00B44FFA"/>
    <w:rsid w:val="00B46044"/>
    <w:rsid w:val="00B51951"/>
    <w:rsid w:val="00B51BF3"/>
    <w:rsid w:val="00B52C21"/>
    <w:rsid w:val="00B5395E"/>
    <w:rsid w:val="00B56250"/>
    <w:rsid w:val="00B708C7"/>
    <w:rsid w:val="00B70CCE"/>
    <w:rsid w:val="00B76662"/>
    <w:rsid w:val="00B77DD6"/>
    <w:rsid w:val="00B813A4"/>
    <w:rsid w:val="00B858C0"/>
    <w:rsid w:val="00B86687"/>
    <w:rsid w:val="00B87004"/>
    <w:rsid w:val="00B878F3"/>
    <w:rsid w:val="00B934D8"/>
    <w:rsid w:val="00B943D1"/>
    <w:rsid w:val="00B968F9"/>
    <w:rsid w:val="00BA1FB7"/>
    <w:rsid w:val="00BA3254"/>
    <w:rsid w:val="00BA46F5"/>
    <w:rsid w:val="00BA4A40"/>
    <w:rsid w:val="00BA631E"/>
    <w:rsid w:val="00BA6D0E"/>
    <w:rsid w:val="00BB118B"/>
    <w:rsid w:val="00BB2166"/>
    <w:rsid w:val="00BB3F00"/>
    <w:rsid w:val="00BB4DE2"/>
    <w:rsid w:val="00BB7E01"/>
    <w:rsid w:val="00BC0A44"/>
    <w:rsid w:val="00BC1073"/>
    <w:rsid w:val="00BC4D62"/>
    <w:rsid w:val="00BC5330"/>
    <w:rsid w:val="00BC6D6D"/>
    <w:rsid w:val="00BC6FE8"/>
    <w:rsid w:val="00BC70DC"/>
    <w:rsid w:val="00BD055C"/>
    <w:rsid w:val="00BD0773"/>
    <w:rsid w:val="00BD0C05"/>
    <w:rsid w:val="00BD0C7C"/>
    <w:rsid w:val="00BD1CCB"/>
    <w:rsid w:val="00BD2442"/>
    <w:rsid w:val="00BD2D06"/>
    <w:rsid w:val="00BD3714"/>
    <w:rsid w:val="00BD5E9E"/>
    <w:rsid w:val="00BD6C12"/>
    <w:rsid w:val="00BD7158"/>
    <w:rsid w:val="00BD76EA"/>
    <w:rsid w:val="00BE3A4D"/>
    <w:rsid w:val="00BE5A64"/>
    <w:rsid w:val="00BE5ACC"/>
    <w:rsid w:val="00BE61CC"/>
    <w:rsid w:val="00BF33F2"/>
    <w:rsid w:val="00BF3978"/>
    <w:rsid w:val="00BF3C72"/>
    <w:rsid w:val="00BF453A"/>
    <w:rsid w:val="00BF67FB"/>
    <w:rsid w:val="00BF7EE8"/>
    <w:rsid w:val="00C00312"/>
    <w:rsid w:val="00C01318"/>
    <w:rsid w:val="00C019AF"/>
    <w:rsid w:val="00C06C67"/>
    <w:rsid w:val="00C105FF"/>
    <w:rsid w:val="00C14B5D"/>
    <w:rsid w:val="00C155B0"/>
    <w:rsid w:val="00C16B28"/>
    <w:rsid w:val="00C17133"/>
    <w:rsid w:val="00C22C7A"/>
    <w:rsid w:val="00C2464F"/>
    <w:rsid w:val="00C319E1"/>
    <w:rsid w:val="00C324DD"/>
    <w:rsid w:val="00C32B52"/>
    <w:rsid w:val="00C33122"/>
    <w:rsid w:val="00C3401D"/>
    <w:rsid w:val="00C36293"/>
    <w:rsid w:val="00C375D1"/>
    <w:rsid w:val="00C42448"/>
    <w:rsid w:val="00C42DC7"/>
    <w:rsid w:val="00C45182"/>
    <w:rsid w:val="00C46D49"/>
    <w:rsid w:val="00C47388"/>
    <w:rsid w:val="00C500F1"/>
    <w:rsid w:val="00C524EB"/>
    <w:rsid w:val="00C52BD5"/>
    <w:rsid w:val="00C54AAD"/>
    <w:rsid w:val="00C54FB2"/>
    <w:rsid w:val="00C551B6"/>
    <w:rsid w:val="00C5738C"/>
    <w:rsid w:val="00C60078"/>
    <w:rsid w:val="00C6172D"/>
    <w:rsid w:val="00C647C6"/>
    <w:rsid w:val="00C648D0"/>
    <w:rsid w:val="00C64E30"/>
    <w:rsid w:val="00C674BF"/>
    <w:rsid w:val="00C70C13"/>
    <w:rsid w:val="00C7118B"/>
    <w:rsid w:val="00C741A6"/>
    <w:rsid w:val="00C744D8"/>
    <w:rsid w:val="00C75415"/>
    <w:rsid w:val="00C76E89"/>
    <w:rsid w:val="00C8006C"/>
    <w:rsid w:val="00C817BC"/>
    <w:rsid w:val="00C8448D"/>
    <w:rsid w:val="00C86945"/>
    <w:rsid w:val="00C87F9E"/>
    <w:rsid w:val="00C92004"/>
    <w:rsid w:val="00C921FB"/>
    <w:rsid w:val="00C92E47"/>
    <w:rsid w:val="00C94F02"/>
    <w:rsid w:val="00C959E7"/>
    <w:rsid w:val="00CA24BE"/>
    <w:rsid w:val="00CA2D22"/>
    <w:rsid w:val="00CA5FB8"/>
    <w:rsid w:val="00CA76A0"/>
    <w:rsid w:val="00CA7A37"/>
    <w:rsid w:val="00CB0565"/>
    <w:rsid w:val="00CB1FAB"/>
    <w:rsid w:val="00CB6BAA"/>
    <w:rsid w:val="00CB7213"/>
    <w:rsid w:val="00CC1273"/>
    <w:rsid w:val="00CC15CD"/>
    <w:rsid w:val="00CC1F8E"/>
    <w:rsid w:val="00CC2229"/>
    <w:rsid w:val="00CC29AA"/>
    <w:rsid w:val="00CC2D8B"/>
    <w:rsid w:val="00CC67E8"/>
    <w:rsid w:val="00CC7F47"/>
    <w:rsid w:val="00CD0D33"/>
    <w:rsid w:val="00CD13B1"/>
    <w:rsid w:val="00CD2230"/>
    <w:rsid w:val="00CD2608"/>
    <w:rsid w:val="00CD26AB"/>
    <w:rsid w:val="00CD3C8C"/>
    <w:rsid w:val="00CD7A0F"/>
    <w:rsid w:val="00CE0979"/>
    <w:rsid w:val="00CE198A"/>
    <w:rsid w:val="00CE3D5D"/>
    <w:rsid w:val="00CE5BE4"/>
    <w:rsid w:val="00CE5FBB"/>
    <w:rsid w:val="00CE695A"/>
    <w:rsid w:val="00CE76E3"/>
    <w:rsid w:val="00CE7A73"/>
    <w:rsid w:val="00CE7E7C"/>
    <w:rsid w:val="00CF02A7"/>
    <w:rsid w:val="00CF04E8"/>
    <w:rsid w:val="00CF2CEE"/>
    <w:rsid w:val="00CF3F1F"/>
    <w:rsid w:val="00CF4872"/>
    <w:rsid w:val="00D0338B"/>
    <w:rsid w:val="00D037AB"/>
    <w:rsid w:val="00D07493"/>
    <w:rsid w:val="00D076B6"/>
    <w:rsid w:val="00D10BB1"/>
    <w:rsid w:val="00D11436"/>
    <w:rsid w:val="00D1174C"/>
    <w:rsid w:val="00D12E31"/>
    <w:rsid w:val="00D13739"/>
    <w:rsid w:val="00D171DC"/>
    <w:rsid w:val="00D2420D"/>
    <w:rsid w:val="00D25FBA"/>
    <w:rsid w:val="00D266C8"/>
    <w:rsid w:val="00D307CA"/>
    <w:rsid w:val="00D32FF9"/>
    <w:rsid w:val="00D3429E"/>
    <w:rsid w:val="00D35A3B"/>
    <w:rsid w:val="00D3671B"/>
    <w:rsid w:val="00D414BD"/>
    <w:rsid w:val="00D41A51"/>
    <w:rsid w:val="00D430F5"/>
    <w:rsid w:val="00D43636"/>
    <w:rsid w:val="00D437B7"/>
    <w:rsid w:val="00D47670"/>
    <w:rsid w:val="00D502B6"/>
    <w:rsid w:val="00D50AFC"/>
    <w:rsid w:val="00D52072"/>
    <w:rsid w:val="00D5256B"/>
    <w:rsid w:val="00D5350B"/>
    <w:rsid w:val="00D54689"/>
    <w:rsid w:val="00D54759"/>
    <w:rsid w:val="00D547E4"/>
    <w:rsid w:val="00D5499F"/>
    <w:rsid w:val="00D56E51"/>
    <w:rsid w:val="00D611D1"/>
    <w:rsid w:val="00D62340"/>
    <w:rsid w:val="00D631A1"/>
    <w:rsid w:val="00D6798D"/>
    <w:rsid w:val="00D74983"/>
    <w:rsid w:val="00D75628"/>
    <w:rsid w:val="00D756A3"/>
    <w:rsid w:val="00D76B3C"/>
    <w:rsid w:val="00D776B9"/>
    <w:rsid w:val="00D80869"/>
    <w:rsid w:val="00D81592"/>
    <w:rsid w:val="00D816DD"/>
    <w:rsid w:val="00D820D8"/>
    <w:rsid w:val="00D829EA"/>
    <w:rsid w:val="00D8554D"/>
    <w:rsid w:val="00D86FAB"/>
    <w:rsid w:val="00D870A4"/>
    <w:rsid w:val="00D8718A"/>
    <w:rsid w:val="00D926F5"/>
    <w:rsid w:val="00D92F3B"/>
    <w:rsid w:val="00D937A7"/>
    <w:rsid w:val="00D946F8"/>
    <w:rsid w:val="00D966E3"/>
    <w:rsid w:val="00D970EE"/>
    <w:rsid w:val="00DA03B0"/>
    <w:rsid w:val="00DA0CF5"/>
    <w:rsid w:val="00DA15B7"/>
    <w:rsid w:val="00DA1878"/>
    <w:rsid w:val="00DA2BC4"/>
    <w:rsid w:val="00DA59BD"/>
    <w:rsid w:val="00DA7885"/>
    <w:rsid w:val="00DB0629"/>
    <w:rsid w:val="00DB3BE5"/>
    <w:rsid w:val="00DB423F"/>
    <w:rsid w:val="00DB5BDD"/>
    <w:rsid w:val="00DB7438"/>
    <w:rsid w:val="00DB7890"/>
    <w:rsid w:val="00DC0A3A"/>
    <w:rsid w:val="00DC0A91"/>
    <w:rsid w:val="00DC47E5"/>
    <w:rsid w:val="00DC765B"/>
    <w:rsid w:val="00DD082B"/>
    <w:rsid w:val="00DD11EF"/>
    <w:rsid w:val="00DD1D6C"/>
    <w:rsid w:val="00DD3846"/>
    <w:rsid w:val="00DD394E"/>
    <w:rsid w:val="00DD43CC"/>
    <w:rsid w:val="00DD5050"/>
    <w:rsid w:val="00DD5EE1"/>
    <w:rsid w:val="00DE193E"/>
    <w:rsid w:val="00DE53D6"/>
    <w:rsid w:val="00DF0F01"/>
    <w:rsid w:val="00DF159C"/>
    <w:rsid w:val="00DF1629"/>
    <w:rsid w:val="00DF2A0C"/>
    <w:rsid w:val="00DF32B9"/>
    <w:rsid w:val="00DF5690"/>
    <w:rsid w:val="00DF5F7E"/>
    <w:rsid w:val="00DF76B0"/>
    <w:rsid w:val="00E018F4"/>
    <w:rsid w:val="00E020FD"/>
    <w:rsid w:val="00E03CD7"/>
    <w:rsid w:val="00E03CF7"/>
    <w:rsid w:val="00E06B7D"/>
    <w:rsid w:val="00E10449"/>
    <w:rsid w:val="00E10524"/>
    <w:rsid w:val="00E1129E"/>
    <w:rsid w:val="00E138BA"/>
    <w:rsid w:val="00E1498C"/>
    <w:rsid w:val="00E1601A"/>
    <w:rsid w:val="00E160CF"/>
    <w:rsid w:val="00E16F8C"/>
    <w:rsid w:val="00E17446"/>
    <w:rsid w:val="00E21204"/>
    <w:rsid w:val="00E21D7D"/>
    <w:rsid w:val="00E238EC"/>
    <w:rsid w:val="00E24888"/>
    <w:rsid w:val="00E251EF"/>
    <w:rsid w:val="00E25F85"/>
    <w:rsid w:val="00E27765"/>
    <w:rsid w:val="00E31CB3"/>
    <w:rsid w:val="00E31D87"/>
    <w:rsid w:val="00E31E0D"/>
    <w:rsid w:val="00E322A5"/>
    <w:rsid w:val="00E34957"/>
    <w:rsid w:val="00E35B92"/>
    <w:rsid w:val="00E36500"/>
    <w:rsid w:val="00E3799D"/>
    <w:rsid w:val="00E4058A"/>
    <w:rsid w:val="00E41871"/>
    <w:rsid w:val="00E41F7E"/>
    <w:rsid w:val="00E45F12"/>
    <w:rsid w:val="00E51AC2"/>
    <w:rsid w:val="00E51B97"/>
    <w:rsid w:val="00E525EC"/>
    <w:rsid w:val="00E52654"/>
    <w:rsid w:val="00E52BCF"/>
    <w:rsid w:val="00E52D96"/>
    <w:rsid w:val="00E607B4"/>
    <w:rsid w:val="00E61088"/>
    <w:rsid w:val="00E61A9A"/>
    <w:rsid w:val="00E63252"/>
    <w:rsid w:val="00E63477"/>
    <w:rsid w:val="00E638FD"/>
    <w:rsid w:val="00E64CEE"/>
    <w:rsid w:val="00E65F22"/>
    <w:rsid w:val="00E672E1"/>
    <w:rsid w:val="00E702AB"/>
    <w:rsid w:val="00E7037E"/>
    <w:rsid w:val="00E708DC"/>
    <w:rsid w:val="00E71DC5"/>
    <w:rsid w:val="00E76B7F"/>
    <w:rsid w:val="00E76D01"/>
    <w:rsid w:val="00E7764C"/>
    <w:rsid w:val="00E803C9"/>
    <w:rsid w:val="00E806E0"/>
    <w:rsid w:val="00E813AB"/>
    <w:rsid w:val="00E8187C"/>
    <w:rsid w:val="00E819D0"/>
    <w:rsid w:val="00E824AF"/>
    <w:rsid w:val="00E82B72"/>
    <w:rsid w:val="00E8360C"/>
    <w:rsid w:val="00E83BB9"/>
    <w:rsid w:val="00E84DBA"/>
    <w:rsid w:val="00E863DD"/>
    <w:rsid w:val="00E86DDE"/>
    <w:rsid w:val="00E87637"/>
    <w:rsid w:val="00E87B45"/>
    <w:rsid w:val="00E92F07"/>
    <w:rsid w:val="00E943CF"/>
    <w:rsid w:val="00E9443D"/>
    <w:rsid w:val="00E951A1"/>
    <w:rsid w:val="00E9638D"/>
    <w:rsid w:val="00E963EE"/>
    <w:rsid w:val="00E96401"/>
    <w:rsid w:val="00E9723A"/>
    <w:rsid w:val="00EA1C44"/>
    <w:rsid w:val="00EA2B6E"/>
    <w:rsid w:val="00EA6DD8"/>
    <w:rsid w:val="00EB2004"/>
    <w:rsid w:val="00EB2499"/>
    <w:rsid w:val="00EB2799"/>
    <w:rsid w:val="00EB30F4"/>
    <w:rsid w:val="00EB3970"/>
    <w:rsid w:val="00EB3972"/>
    <w:rsid w:val="00EB5498"/>
    <w:rsid w:val="00EC0354"/>
    <w:rsid w:val="00EC0A0C"/>
    <w:rsid w:val="00EC3BEC"/>
    <w:rsid w:val="00EC510C"/>
    <w:rsid w:val="00EC5F0A"/>
    <w:rsid w:val="00EC7396"/>
    <w:rsid w:val="00ED015B"/>
    <w:rsid w:val="00ED05DD"/>
    <w:rsid w:val="00ED2EDB"/>
    <w:rsid w:val="00ED6B15"/>
    <w:rsid w:val="00ED6DED"/>
    <w:rsid w:val="00EE2D32"/>
    <w:rsid w:val="00EE3838"/>
    <w:rsid w:val="00EE4117"/>
    <w:rsid w:val="00EE5A75"/>
    <w:rsid w:val="00EE72EE"/>
    <w:rsid w:val="00EE7663"/>
    <w:rsid w:val="00EF0163"/>
    <w:rsid w:val="00EF4B34"/>
    <w:rsid w:val="00EF5349"/>
    <w:rsid w:val="00EF5658"/>
    <w:rsid w:val="00EF5747"/>
    <w:rsid w:val="00EF5882"/>
    <w:rsid w:val="00EF6F20"/>
    <w:rsid w:val="00EF76E1"/>
    <w:rsid w:val="00F00A1A"/>
    <w:rsid w:val="00F00EB8"/>
    <w:rsid w:val="00F02BA8"/>
    <w:rsid w:val="00F038C2"/>
    <w:rsid w:val="00F03BBE"/>
    <w:rsid w:val="00F043BA"/>
    <w:rsid w:val="00F04A46"/>
    <w:rsid w:val="00F06C32"/>
    <w:rsid w:val="00F070E4"/>
    <w:rsid w:val="00F104C6"/>
    <w:rsid w:val="00F10A37"/>
    <w:rsid w:val="00F14686"/>
    <w:rsid w:val="00F15632"/>
    <w:rsid w:val="00F158C9"/>
    <w:rsid w:val="00F15B2D"/>
    <w:rsid w:val="00F17B93"/>
    <w:rsid w:val="00F20111"/>
    <w:rsid w:val="00F216C9"/>
    <w:rsid w:val="00F26297"/>
    <w:rsid w:val="00F264E9"/>
    <w:rsid w:val="00F30EFA"/>
    <w:rsid w:val="00F322B8"/>
    <w:rsid w:val="00F3714B"/>
    <w:rsid w:val="00F443E7"/>
    <w:rsid w:val="00F4480C"/>
    <w:rsid w:val="00F44879"/>
    <w:rsid w:val="00F4548C"/>
    <w:rsid w:val="00F46133"/>
    <w:rsid w:val="00F5056E"/>
    <w:rsid w:val="00F55F96"/>
    <w:rsid w:val="00F60DC2"/>
    <w:rsid w:val="00F61583"/>
    <w:rsid w:val="00F64811"/>
    <w:rsid w:val="00F6519C"/>
    <w:rsid w:val="00F708CA"/>
    <w:rsid w:val="00F71BD2"/>
    <w:rsid w:val="00F730A3"/>
    <w:rsid w:val="00F73F4B"/>
    <w:rsid w:val="00F76603"/>
    <w:rsid w:val="00F815D4"/>
    <w:rsid w:val="00F832CC"/>
    <w:rsid w:val="00F8348B"/>
    <w:rsid w:val="00F856D0"/>
    <w:rsid w:val="00F86267"/>
    <w:rsid w:val="00F869B0"/>
    <w:rsid w:val="00F90366"/>
    <w:rsid w:val="00F90653"/>
    <w:rsid w:val="00F9123D"/>
    <w:rsid w:val="00F92AEF"/>
    <w:rsid w:val="00F94498"/>
    <w:rsid w:val="00F94BF4"/>
    <w:rsid w:val="00FA0132"/>
    <w:rsid w:val="00FA07ED"/>
    <w:rsid w:val="00FA086A"/>
    <w:rsid w:val="00FA5498"/>
    <w:rsid w:val="00FA62C8"/>
    <w:rsid w:val="00FA6C46"/>
    <w:rsid w:val="00FA7111"/>
    <w:rsid w:val="00FA7246"/>
    <w:rsid w:val="00FA7594"/>
    <w:rsid w:val="00FB057B"/>
    <w:rsid w:val="00FB0D6A"/>
    <w:rsid w:val="00FB1B97"/>
    <w:rsid w:val="00FB1EC4"/>
    <w:rsid w:val="00FB496C"/>
    <w:rsid w:val="00FB5A4C"/>
    <w:rsid w:val="00FB72BE"/>
    <w:rsid w:val="00FC0307"/>
    <w:rsid w:val="00FC1663"/>
    <w:rsid w:val="00FC2B07"/>
    <w:rsid w:val="00FC3173"/>
    <w:rsid w:val="00FC4591"/>
    <w:rsid w:val="00FC6B0E"/>
    <w:rsid w:val="00FC6BE7"/>
    <w:rsid w:val="00FD0892"/>
    <w:rsid w:val="00FD35DC"/>
    <w:rsid w:val="00FD46C1"/>
    <w:rsid w:val="00FD5ED0"/>
    <w:rsid w:val="00FD66F3"/>
    <w:rsid w:val="00FD7628"/>
    <w:rsid w:val="00FD76E6"/>
    <w:rsid w:val="00FE4B1B"/>
    <w:rsid w:val="00FE6CCE"/>
    <w:rsid w:val="00FF2212"/>
    <w:rsid w:val="00FF4BF3"/>
    <w:rsid w:val="06367DD0"/>
    <w:rsid w:val="0A326B00"/>
    <w:rsid w:val="0B3169C9"/>
    <w:rsid w:val="168D4E18"/>
    <w:rsid w:val="1DBB0E8E"/>
    <w:rsid w:val="1DF148B0"/>
    <w:rsid w:val="2D443F80"/>
    <w:rsid w:val="3B4D5294"/>
    <w:rsid w:val="3F43426A"/>
    <w:rsid w:val="3F894D5F"/>
    <w:rsid w:val="40A306B8"/>
    <w:rsid w:val="470628CB"/>
    <w:rsid w:val="471F398D"/>
    <w:rsid w:val="5A7C4F26"/>
    <w:rsid w:val="60F85256"/>
    <w:rsid w:val="66B36A2B"/>
    <w:rsid w:val="6A0E36C1"/>
    <w:rsid w:val="758F5725"/>
    <w:rsid w:val="7AE00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5pt" color="#000000" endarrow="block"/>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heme="minorBidi"/>
      <w:sz w:val="24"/>
      <w:lang w:val="en-US" w:eastAsia="zh-CN" w:bidi="ar-SA"/>
    </w:rPr>
  </w:style>
  <w:style w:type="paragraph" w:styleId="2">
    <w:name w:val="heading 1"/>
    <w:basedOn w:val="3"/>
    <w:next w:val="4"/>
    <w:link w:val="82"/>
    <w:qFormat/>
    <w:uiPriority w:val="0"/>
    <w:pPr>
      <w:numPr>
        <w:ilvl w:val="0"/>
      </w:numPr>
      <w:spacing w:before="80" w:beforeLines="80" w:after="50" w:afterLines="50" w:line="460" w:lineRule="exact"/>
      <w:jc w:val="left"/>
      <w:outlineLvl w:val="0"/>
    </w:pPr>
    <w:rPr>
      <w:rFonts w:ascii="Times New Roman" w:hAnsi="Times New Roman"/>
      <w:kern w:val="32"/>
      <w:sz w:val="28"/>
      <w:szCs w:val="32"/>
    </w:rPr>
  </w:style>
  <w:style w:type="paragraph" w:styleId="3">
    <w:name w:val="heading 2"/>
    <w:basedOn w:val="1"/>
    <w:next w:val="1"/>
    <w:link w:val="45"/>
    <w:qFormat/>
    <w:uiPriority w:val="0"/>
    <w:pPr>
      <w:keepNext/>
      <w:numPr>
        <w:ilvl w:val="1"/>
        <w:numId w:val="1"/>
      </w:numPr>
      <w:spacing w:before="240" w:after="60"/>
      <w:outlineLvl w:val="1"/>
    </w:pPr>
    <w:rPr>
      <w:rFonts w:ascii="黑体" w:hAnsi="Cambria" w:eastAsia="黑体" w:cs="Times New Roman"/>
      <w:b/>
      <w:bCs/>
      <w:iCs/>
      <w:szCs w:val="28"/>
      <w:lang w:val="zh-CN"/>
    </w:rPr>
  </w:style>
  <w:style w:type="paragraph" w:styleId="5">
    <w:name w:val="heading 3"/>
    <w:basedOn w:val="1"/>
    <w:next w:val="1"/>
    <w:link w:val="56"/>
    <w:qFormat/>
    <w:uiPriority w:val="0"/>
    <w:pPr>
      <w:keepNext/>
      <w:numPr>
        <w:ilvl w:val="2"/>
        <w:numId w:val="1"/>
      </w:numPr>
      <w:spacing w:before="156" w:beforeLines="50" w:after="156" w:afterLines="50" w:line="460" w:lineRule="exact"/>
      <w:outlineLvl w:val="2"/>
    </w:pPr>
    <w:rPr>
      <w:rFonts w:eastAsia="黑体" w:cs="Times New Roman"/>
      <w:b/>
      <w:bCs/>
      <w:szCs w:val="26"/>
      <w:lang w:val="zh-CN"/>
    </w:rPr>
  </w:style>
  <w:style w:type="paragraph" w:styleId="6">
    <w:name w:val="heading 4"/>
    <w:basedOn w:val="1"/>
    <w:next w:val="1"/>
    <w:link w:val="75"/>
    <w:qFormat/>
    <w:uiPriority w:val="0"/>
    <w:pPr>
      <w:keepNext/>
      <w:spacing w:before="240" w:after="60"/>
      <w:outlineLvl w:val="3"/>
    </w:pPr>
    <w:rPr>
      <w:rFonts w:cs="Times New Roman"/>
      <w:b/>
      <w:bCs/>
      <w:sz w:val="28"/>
      <w:szCs w:val="28"/>
      <w:lang w:val="zh-CN"/>
    </w:rPr>
  </w:style>
  <w:style w:type="paragraph" w:styleId="7">
    <w:name w:val="heading 5"/>
    <w:basedOn w:val="1"/>
    <w:next w:val="1"/>
    <w:link w:val="47"/>
    <w:qFormat/>
    <w:uiPriority w:val="0"/>
    <w:pPr>
      <w:spacing w:before="240" w:after="60"/>
      <w:outlineLvl w:val="4"/>
    </w:pPr>
    <w:rPr>
      <w:rFonts w:cs="Times New Roman"/>
      <w:b/>
      <w:bCs/>
      <w:i/>
      <w:iCs/>
      <w:sz w:val="26"/>
      <w:szCs w:val="26"/>
      <w:lang w:val="zh-CN"/>
    </w:rPr>
  </w:style>
  <w:style w:type="paragraph" w:styleId="8">
    <w:name w:val="heading 6"/>
    <w:basedOn w:val="1"/>
    <w:next w:val="1"/>
    <w:link w:val="46"/>
    <w:qFormat/>
    <w:uiPriority w:val="0"/>
    <w:pPr>
      <w:spacing w:before="240" w:after="60"/>
      <w:outlineLvl w:val="5"/>
    </w:pPr>
    <w:rPr>
      <w:rFonts w:cs="Times New Roman"/>
      <w:b/>
      <w:bCs/>
      <w:lang w:val="zh-CN"/>
    </w:rPr>
  </w:style>
  <w:style w:type="paragraph" w:styleId="9">
    <w:name w:val="heading 7"/>
    <w:basedOn w:val="1"/>
    <w:next w:val="1"/>
    <w:link w:val="66"/>
    <w:qFormat/>
    <w:uiPriority w:val="0"/>
    <w:pPr>
      <w:spacing w:before="240" w:after="60"/>
      <w:outlineLvl w:val="6"/>
    </w:pPr>
    <w:rPr>
      <w:rFonts w:cs="Times New Roman"/>
      <w:lang w:val="zh-CN"/>
    </w:rPr>
  </w:style>
  <w:style w:type="paragraph" w:styleId="10">
    <w:name w:val="heading 8"/>
    <w:basedOn w:val="1"/>
    <w:next w:val="1"/>
    <w:link w:val="81"/>
    <w:qFormat/>
    <w:uiPriority w:val="0"/>
    <w:pPr>
      <w:spacing w:before="240" w:after="60"/>
      <w:outlineLvl w:val="7"/>
    </w:pPr>
    <w:rPr>
      <w:rFonts w:cs="Times New Roman"/>
      <w:i/>
      <w:iCs/>
      <w:lang w:val="zh-CN"/>
    </w:rPr>
  </w:style>
  <w:style w:type="paragraph" w:styleId="11">
    <w:name w:val="heading 9"/>
    <w:basedOn w:val="1"/>
    <w:next w:val="1"/>
    <w:link w:val="80"/>
    <w:qFormat/>
    <w:uiPriority w:val="0"/>
    <w:pPr>
      <w:spacing w:before="240" w:after="60"/>
      <w:outlineLvl w:val="8"/>
    </w:pPr>
    <w:rPr>
      <w:rFonts w:ascii="Cambria" w:hAnsi="Cambria" w:cs="Times New Roman"/>
      <w:lang w:val="zh-CN"/>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customStyle="1" w:styleId="4">
    <w:name w:val="标题2"/>
    <w:basedOn w:val="3"/>
    <w:next w:val="5"/>
    <w:qFormat/>
    <w:uiPriority w:val="0"/>
    <w:pPr>
      <w:spacing w:before="156" w:beforeLines="50" w:after="156" w:afterLines="50" w:line="460" w:lineRule="exact"/>
    </w:pPr>
    <w:rPr>
      <w:rFonts w:ascii="Times New Roman" w:hAnsi="Times New Roman"/>
      <w:szCs w:val="24"/>
    </w:rPr>
  </w:style>
  <w:style w:type="paragraph" w:styleId="12">
    <w:name w:val="caption"/>
    <w:basedOn w:val="1"/>
    <w:next w:val="1"/>
    <w:qFormat/>
    <w:uiPriority w:val="0"/>
    <w:pPr>
      <w:spacing w:line="460" w:lineRule="exact"/>
      <w:jc w:val="center"/>
    </w:pPr>
  </w:style>
  <w:style w:type="paragraph" w:styleId="13">
    <w:name w:val="Document Map"/>
    <w:basedOn w:val="1"/>
    <w:link w:val="57"/>
    <w:qFormat/>
    <w:uiPriority w:val="0"/>
    <w:rPr>
      <w:rFonts w:cs="Times New Roman"/>
      <w:sz w:val="18"/>
      <w:szCs w:val="18"/>
      <w:lang w:val="zh-CN"/>
    </w:rPr>
  </w:style>
  <w:style w:type="paragraph" w:styleId="14">
    <w:name w:val="annotation text"/>
    <w:basedOn w:val="1"/>
    <w:link w:val="48"/>
    <w:qFormat/>
    <w:uiPriority w:val="0"/>
    <w:rPr>
      <w:rFonts w:cs="Times New Roman"/>
      <w:lang w:val="zh-CN" w:eastAsia="en-US"/>
    </w:rPr>
  </w:style>
  <w:style w:type="paragraph" w:styleId="15">
    <w:name w:val="Body Text"/>
    <w:basedOn w:val="1"/>
    <w:link w:val="110"/>
    <w:qFormat/>
    <w:uiPriority w:val="1"/>
    <w:pPr>
      <w:autoSpaceDE w:val="0"/>
      <w:autoSpaceDN w:val="0"/>
      <w:spacing w:line="240" w:lineRule="auto"/>
      <w:jc w:val="left"/>
    </w:pPr>
    <w:rPr>
      <w:rFonts w:ascii="宋体" w:hAnsi="宋体" w:cs="宋体"/>
      <w:szCs w:val="24"/>
    </w:rPr>
  </w:style>
  <w:style w:type="paragraph" w:styleId="16">
    <w:name w:val="Date"/>
    <w:basedOn w:val="1"/>
    <w:next w:val="1"/>
    <w:link w:val="71"/>
    <w:qFormat/>
    <w:uiPriority w:val="0"/>
    <w:pPr>
      <w:ind w:left="100" w:leftChars="2500"/>
    </w:pPr>
    <w:rPr>
      <w:rFonts w:cs="Times New Roman"/>
      <w:kern w:val="2"/>
      <w:sz w:val="21"/>
      <w:lang w:val="zh-CN"/>
    </w:rPr>
  </w:style>
  <w:style w:type="paragraph" w:styleId="17">
    <w:name w:val="endnote text"/>
    <w:basedOn w:val="1"/>
    <w:link w:val="65"/>
    <w:qFormat/>
    <w:uiPriority w:val="0"/>
    <w:pPr>
      <w:snapToGrid w:val="0"/>
    </w:pPr>
    <w:rPr>
      <w:rFonts w:cs="Times New Roman"/>
      <w:kern w:val="2"/>
      <w:sz w:val="21"/>
      <w:lang w:val="zh-CN"/>
    </w:rPr>
  </w:style>
  <w:style w:type="paragraph" w:styleId="18">
    <w:name w:val="Balloon Text"/>
    <w:basedOn w:val="1"/>
    <w:link w:val="38"/>
    <w:qFormat/>
    <w:uiPriority w:val="0"/>
    <w:rPr>
      <w:sz w:val="18"/>
      <w:szCs w:val="18"/>
    </w:rPr>
  </w:style>
  <w:style w:type="paragraph" w:styleId="19">
    <w:name w:val="footer"/>
    <w:basedOn w:val="1"/>
    <w:link w:val="108"/>
    <w:qFormat/>
    <w:uiPriority w:val="99"/>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Subtitle"/>
    <w:basedOn w:val="1"/>
    <w:next w:val="1"/>
    <w:link w:val="51"/>
    <w:qFormat/>
    <w:uiPriority w:val="0"/>
    <w:pPr>
      <w:spacing w:after="60"/>
      <w:jc w:val="center"/>
      <w:outlineLvl w:val="1"/>
    </w:pPr>
    <w:rPr>
      <w:rFonts w:ascii="Cambria" w:hAnsi="Cambria" w:cs="Times New Roman"/>
      <w:lang w:val="zh-CN"/>
    </w:rPr>
  </w:style>
  <w:style w:type="paragraph" w:styleId="22">
    <w:name w:val="footnote text"/>
    <w:basedOn w:val="1"/>
    <w:link w:val="43"/>
    <w:qFormat/>
    <w:uiPriority w:val="0"/>
    <w:pPr>
      <w:snapToGrid w:val="0"/>
    </w:pPr>
    <w:rPr>
      <w:rFonts w:cs="Times New Roman"/>
      <w:kern w:val="2"/>
      <w:sz w:val="18"/>
      <w:szCs w:val="18"/>
      <w:lang w:val="zh-CN"/>
    </w:rPr>
  </w:style>
  <w:style w:type="paragraph" w:styleId="23">
    <w:name w:val="HTML Preformatted"/>
    <w:basedOn w:val="1"/>
    <w:link w:val="73"/>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lang w:val="zh-CN"/>
    </w:rPr>
  </w:style>
  <w:style w:type="paragraph" w:styleId="24">
    <w:name w:val="Normal (Web)"/>
    <w:basedOn w:val="1"/>
    <w:qFormat/>
    <w:uiPriority w:val="99"/>
    <w:pPr>
      <w:spacing w:before="100" w:beforeAutospacing="1" w:after="100" w:afterAutospacing="1"/>
    </w:pPr>
  </w:style>
  <w:style w:type="paragraph" w:styleId="25">
    <w:name w:val="Title"/>
    <w:basedOn w:val="1"/>
    <w:next w:val="1"/>
    <w:link w:val="74"/>
    <w:qFormat/>
    <w:uiPriority w:val="0"/>
    <w:pPr>
      <w:spacing w:before="249" w:beforeLines="80" w:after="156" w:afterLines="50" w:line="460" w:lineRule="exact"/>
      <w:jc w:val="center"/>
      <w:outlineLvl w:val="0"/>
    </w:pPr>
    <w:rPr>
      <w:rFonts w:ascii="Cambria" w:hAnsi="Cambria" w:eastAsia="黑体" w:cs="Times New Roman"/>
      <w:b/>
      <w:bCs/>
      <w:kern w:val="28"/>
      <w:sz w:val="36"/>
      <w:szCs w:val="32"/>
      <w:lang w:val="zh-CN"/>
    </w:rPr>
  </w:style>
  <w:style w:type="paragraph" w:styleId="26">
    <w:name w:val="annotation subject"/>
    <w:basedOn w:val="14"/>
    <w:next w:val="14"/>
    <w:link w:val="109"/>
    <w:qFormat/>
    <w:uiPriority w:val="0"/>
    <w:pPr>
      <w:jc w:val="left"/>
    </w:pPr>
    <w:rPr>
      <w:rFonts w:ascii="宋体" w:hAnsi="宋体" w:cs="宋体"/>
      <w:b/>
      <w:bCs/>
      <w:szCs w:val="24"/>
      <w:lang w:val="en-US" w:eastAsia="zh-CN"/>
    </w:rPr>
  </w:style>
  <w:style w:type="table" w:styleId="28">
    <w:name w:val="Table Grid"/>
    <w:basedOn w:val="2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Strong"/>
    <w:qFormat/>
    <w:uiPriority w:val="22"/>
    <w:rPr>
      <w:b/>
      <w:bCs/>
    </w:rPr>
  </w:style>
  <w:style w:type="character" w:styleId="31">
    <w:name w:val="endnote reference"/>
    <w:qFormat/>
    <w:uiPriority w:val="0"/>
    <w:rPr>
      <w:vertAlign w:val="superscript"/>
    </w:rPr>
  </w:style>
  <w:style w:type="character" w:styleId="32">
    <w:name w:val="page number"/>
    <w:qFormat/>
    <w:uiPriority w:val="0"/>
    <w:rPr>
      <w:rFonts w:eastAsia="宋体"/>
      <w:color w:val="auto"/>
      <w:sz w:val="21"/>
    </w:rPr>
  </w:style>
  <w:style w:type="character" w:styleId="33">
    <w:name w:val="Emphasis"/>
    <w:qFormat/>
    <w:uiPriority w:val="20"/>
    <w:rPr>
      <w:rFonts w:ascii="Calibri" w:hAnsi="Calibri"/>
      <w:b/>
      <w:i/>
      <w:iCs/>
    </w:rPr>
  </w:style>
  <w:style w:type="character" w:styleId="34">
    <w:name w:val="Hyperlink"/>
    <w:qFormat/>
    <w:uiPriority w:val="99"/>
    <w:rPr>
      <w:rFonts w:ascii="Times New Roman" w:hAnsi="Times New Roman" w:eastAsia="宋体"/>
      <w:color w:val="auto"/>
      <w:kern w:val="2"/>
      <w:sz w:val="24"/>
      <w:u w:val="none"/>
    </w:rPr>
  </w:style>
  <w:style w:type="character" w:styleId="35">
    <w:name w:val="annotation reference"/>
    <w:qFormat/>
    <w:uiPriority w:val="0"/>
    <w:rPr>
      <w:sz w:val="21"/>
      <w:szCs w:val="21"/>
    </w:rPr>
  </w:style>
  <w:style w:type="character" w:styleId="36">
    <w:name w:val="HTML Cite"/>
    <w:qFormat/>
    <w:uiPriority w:val="0"/>
    <w:rPr>
      <w:i/>
      <w:iCs/>
    </w:rPr>
  </w:style>
  <w:style w:type="character" w:styleId="37">
    <w:name w:val="footnote reference"/>
    <w:qFormat/>
    <w:uiPriority w:val="0"/>
    <w:rPr>
      <w:vertAlign w:val="superscript"/>
    </w:rPr>
  </w:style>
  <w:style w:type="character" w:customStyle="1" w:styleId="38">
    <w:name w:val="批注框文本 字符"/>
    <w:link w:val="18"/>
    <w:qFormat/>
    <w:uiPriority w:val="0"/>
    <w:rPr>
      <w:rFonts w:ascii="宋体" w:hAnsi="宋体" w:cs="宋体"/>
      <w:sz w:val="18"/>
      <w:szCs w:val="18"/>
    </w:rPr>
  </w:style>
  <w:style w:type="character" w:customStyle="1" w:styleId="39">
    <w:name w:val="cit-source"/>
    <w:qFormat/>
    <w:uiPriority w:val="0"/>
    <w:rPr>
      <w:rFonts w:ascii="Times New Roman" w:hAnsi="Times New Roman" w:eastAsia="宋体"/>
      <w:sz w:val="24"/>
    </w:rPr>
  </w:style>
  <w:style w:type="character" w:styleId="40">
    <w:name w:val="Placeholder Text"/>
    <w:qFormat/>
    <w:uiPriority w:val="0"/>
    <w:rPr>
      <w:color w:val="808080"/>
    </w:rPr>
  </w:style>
  <w:style w:type="character" w:customStyle="1" w:styleId="41">
    <w:name w:val="明显参考1"/>
    <w:qFormat/>
    <w:uiPriority w:val="0"/>
    <w:rPr>
      <w:b/>
      <w:sz w:val="24"/>
      <w:u w:val="single"/>
    </w:rPr>
  </w:style>
  <w:style w:type="character" w:customStyle="1" w:styleId="42">
    <w:name w:val="addmd"/>
    <w:basedOn w:val="29"/>
    <w:qFormat/>
    <w:uiPriority w:val="0"/>
  </w:style>
  <w:style w:type="character" w:customStyle="1" w:styleId="43">
    <w:name w:val="脚注文本 字符"/>
    <w:link w:val="22"/>
    <w:qFormat/>
    <w:uiPriority w:val="0"/>
    <w:rPr>
      <w:kern w:val="2"/>
      <w:sz w:val="18"/>
      <w:szCs w:val="18"/>
    </w:rPr>
  </w:style>
  <w:style w:type="character" w:customStyle="1" w:styleId="44">
    <w:name w:val="cit-vol"/>
    <w:basedOn w:val="29"/>
    <w:qFormat/>
    <w:uiPriority w:val="0"/>
  </w:style>
  <w:style w:type="character" w:customStyle="1" w:styleId="45">
    <w:name w:val="标题 2 字符"/>
    <w:link w:val="3"/>
    <w:qFormat/>
    <w:uiPriority w:val="0"/>
    <w:rPr>
      <w:rFonts w:ascii="黑体" w:hAnsi="Cambria" w:eastAsia="黑体" w:cs="Times New Roman"/>
      <w:b/>
      <w:bCs/>
      <w:iCs/>
      <w:sz w:val="24"/>
      <w:szCs w:val="28"/>
      <w:lang w:val="zh-CN"/>
    </w:rPr>
  </w:style>
  <w:style w:type="character" w:customStyle="1" w:styleId="46">
    <w:name w:val="标题 6 字符"/>
    <w:link w:val="8"/>
    <w:qFormat/>
    <w:uiPriority w:val="0"/>
    <w:rPr>
      <w:b/>
      <w:bCs/>
    </w:rPr>
  </w:style>
  <w:style w:type="character" w:customStyle="1" w:styleId="47">
    <w:name w:val="标题 5 字符"/>
    <w:link w:val="7"/>
    <w:qFormat/>
    <w:uiPriority w:val="0"/>
    <w:rPr>
      <w:b/>
      <w:bCs/>
      <w:i/>
      <w:iCs/>
      <w:sz w:val="26"/>
      <w:szCs w:val="26"/>
    </w:rPr>
  </w:style>
  <w:style w:type="character" w:customStyle="1" w:styleId="48">
    <w:name w:val="批注文字 字符1"/>
    <w:link w:val="14"/>
    <w:qFormat/>
    <w:uiPriority w:val="0"/>
    <w:rPr>
      <w:lang w:eastAsia="en-US"/>
    </w:rPr>
  </w:style>
  <w:style w:type="character" w:customStyle="1" w:styleId="49">
    <w:name w:val="slug-pages"/>
    <w:basedOn w:val="29"/>
    <w:qFormat/>
    <w:uiPriority w:val="0"/>
  </w:style>
  <w:style w:type="character" w:customStyle="1" w:styleId="50">
    <w:name w:val="已访问的超链接1"/>
    <w:qFormat/>
    <w:uiPriority w:val="0"/>
    <w:rPr>
      <w:color w:val="800080"/>
      <w:u w:val="single"/>
    </w:rPr>
  </w:style>
  <w:style w:type="character" w:customStyle="1" w:styleId="51">
    <w:name w:val="副标题 字符"/>
    <w:link w:val="21"/>
    <w:qFormat/>
    <w:uiPriority w:val="0"/>
    <w:rPr>
      <w:rFonts w:ascii="Cambria" w:hAnsi="Cambria" w:eastAsia="宋体"/>
      <w:sz w:val="24"/>
      <w:szCs w:val="24"/>
    </w:rPr>
  </w:style>
  <w:style w:type="character" w:customStyle="1" w:styleId="52">
    <w:name w:val="引用 字符"/>
    <w:link w:val="53"/>
    <w:qFormat/>
    <w:uiPriority w:val="29"/>
    <w:rPr>
      <w:i/>
      <w:sz w:val="24"/>
      <w:szCs w:val="24"/>
    </w:rPr>
  </w:style>
  <w:style w:type="paragraph" w:styleId="53">
    <w:name w:val="Quote"/>
    <w:basedOn w:val="1"/>
    <w:next w:val="1"/>
    <w:link w:val="52"/>
    <w:qFormat/>
    <w:uiPriority w:val="29"/>
    <w:rPr>
      <w:rFonts w:cs="Times New Roman"/>
      <w:i/>
      <w:lang w:val="zh-CN"/>
    </w:rPr>
  </w:style>
  <w:style w:type="character" w:customStyle="1" w:styleId="54">
    <w:name w:val="不明显参考1"/>
    <w:qFormat/>
    <w:uiPriority w:val="0"/>
    <w:rPr>
      <w:sz w:val="24"/>
      <w:szCs w:val="24"/>
      <w:u w:val="single"/>
    </w:rPr>
  </w:style>
  <w:style w:type="character" w:customStyle="1" w:styleId="55">
    <w:name w:val="product-detail-key-value"/>
    <w:basedOn w:val="29"/>
    <w:qFormat/>
    <w:uiPriority w:val="0"/>
  </w:style>
  <w:style w:type="character" w:customStyle="1" w:styleId="56">
    <w:name w:val="标题 3 字符1"/>
    <w:link w:val="5"/>
    <w:qFormat/>
    <w:uiPriority w:val="0"/>
    <w:rPr>
      <w:rFonts w:ascii="Times New Roman" w:hAnsi="Times New Roman" w:eastAsia="黑体" w:cs="Times New Roman"/>
      <w:b/>
      <w:bCs/>
      <w:sz w:val="24"/>
      <w:szCs w:val="26"/>
      <w:lang w:val="zh-CN"/>
    </w:rPr>
  </w:style>
  <w:style w:type="character" w:customStyle="1" w:styleId="57">
    <w:name w:val="文档结构图 字符"/>
    <w:link w:val="13"/>
    <w:qFormat/>
    <w:uiPriority w:val="0"/>
    <w:rPr>
      <w:rFonts w:ascii="宋体" w:eastAsia="宋体"/>
      <w:sz w:val="18"/>
      <w:szCs w:val="18"/>
    </w:rPr>
  </w:style>
  <w:style w:type="character" w:customStyle="1" w:styleId="58">
    <w:name w:val="明显引用 字符"/>
    <w:link w:val="59"/>
    <w:qFormat/>
    <w:uiPriority w:val="0"/>
    <w:rPr>
      <w:b/>
      <w:i/>
      <w:sz w:val="24"/>
    </w:rPr>
  </w:style>
  <w:style w:type="paragraph" w:styleId="59">
    <w:name w:val="Intense Quote"/>
    <w:basedOn w:val="1"/>
    <w:next w:val="1"/>
    <w:link w:val="58"/>
    <w:qFormat/>
    <w:uiPriority w:val="0"/>
    <w:pPr>
      <w:ind w:left="720" w:right="720"/>
    </w:pPr>
    <w:rPr>
      <w:rFonts w:cs="Times New Roman"/>
      <w:b/>
      <w:i/>
      <w:lang w:val="zh-CN"/>
    </w:rPr>
  </w:style>
  <w:style w:type="character" w:customStyle="1" w:styleId="60">
    <w:name w:val="书籍标题1"/>
    <w:qFormat/>
    <w:uiPriority w:val="0"/>
    <w:rPr>
      <w:rFonts w:ascii="Cambria" w:hAnsi="Cambria" w:eastAsia="宋体"/>
      <w:b/>
      <w:i/>
      <w:sz w:val="24"/>
      <w:szCs w:val="24"/>
    </w:rPr>
  </w:style>
  <w:style w:type="character" w:customStyle="1" w:styleId="61">
    <w:name w:val="MTDisplayEquation Char"/>
    <w:basedOn w:val="62"/>
    <w:link w:val="64"/>
    <w:qFormat/>
    <w:uiPriority w:val="0"/>
    <w:rPr>
      <w:rFonts w:ascii="Times New Roman" w:hAnsi="Times New Roman"/>
      <w:sz w:val="24"/>
      <w:szCs w:val="24"/>
      <w:lang w:val="en-US" w:eastAsia="zh-CN"/>
    </w:rPr>
  </w:style>
  <w:style w:type="character" w:customStyle="1" w:styleId="62">
    <w:name w:val="毕设正文 Char"/>
    <w:link w:val="63"/>
    <w:qFormat/>
    <w:uiPriority w:val="0"/>
    <w:rPr>
      <w:rFonts w:ascii="Times New Roman" w:hAnsi="Times New Roman"/>
      <w:sz w:val="24"/>
      <w:szCs w:val="24"/>
      <w:lang w:val="en-US" w:eastAsia="zh-CN"/>
    </w:rPr>
  </w:style>
  <w:style w:type="paragraph" w:customStyle="1" w:styleId="63">
    <w:name w:val="毕设正文"/>
    <w:basedOn w:val="1"/>
    <w:next w:val="1"/>
    <w:link w:val="62"/>
    <w:qFormat/>
    <w:uiPriority w:val="0"/>
    <w:pPr>
      <w:snapToGrid w:val="0"/>
      <w:spacing w:line="460" w:lineRule="exact"/>
      <w:ind w:firstLine="200" w:firstLineChars="200"/>
    </w:pPr>
    <w:rPr>
      <w:rFonts w:cs="Times New Roman"/>
    </w:rPr>
  </w:style>
  <w:style w:type="paragraph" w:customStyle="1" w:styleId="64">
    <w:name w:val="MTDisplayEquation"/>
    <w:basedOn w:val="63"/>
    <w:next w:val="1"/>
    <w:link w:val="61"/>
    <w:qFormat/>
    <w:uiPriority w:val="0"/>
    <w:pPr>
      <w:tabs>
        <w:tab w:val="center" w:pos="4240"/>
      </w:tabs>
      <w:ind w:firstLine="480"/>
    </w:pPr>
  </w:style>
  <w:style w:type="character" w:customStyle="1" w:styleId="65">
    <w:name w:val="尾注文本 字符"/>
    <w:link w:val="17"/>
    <w:qFormat/>
    <w:uiPriority w:val="0"/>
    <w:rPr>
      <w:kern w:val="2"/>
      <w:sz w:val="21"/>
    </w:rPr>
  </w:style>
  <w:style w:type="character" w:customStyle="1" w:styleId="66">
    <w:name w:val="标题 7 字符"/>
    <w:link w:val="9"/>
    <w:qFormat/>
    <w:uiPriority w:val="0"/>
    <w:rPr>
      <w:sz w:val="24"/>
      <w:szCs w:val="24"/>
    </w:rPr>
  </w:style>
  <w:style w:type="character" w:customStyle="1" w:styleId="67">
    <w:name w:val="MTEquationSection"/>
    <w:qFormat/>
    <w:uiPriority w:val="0"/>
    <w:rPr>
      <w:vanish/>
    </w:rPr>
  </w:style>
  <w:style w:type="character" w:customStyle="1" w:styleId="68">
    <w:name w:val="named-content"/>
    <w:basedOn w:val="29"/>
    <w:qFormat/>
    <w:uiPriority w:val="0"/>
  </w:style>
  <w:style w:type="character" w:customStyle="1" w:styleId="69">
    <w:name w:val="不明显强调1"/>
    <w:qFormat/>
    <w:uiPriority w:val="0"/>
    <w:rPr>
      <w:i/>
      <w:color w:val="5A5A5A"/>
    </w:rPr>
  </w:style>
  <w:style w:type="character" w:customStyle="1" w:styleId="70">
    <w:name w:val="slug-issue"/>
    <w:basedOn w:val="29"/>
    <w:qFormat/>
    <w:uiPriority w:val="0"/>
  </w:style>
  <w:style w:type="character" w:customStyle="1" w:styleId="71">
    <w:name w:val="日期 字符"/>
    <w:link w:val="16"/>
    <w:qFormat/>
    <w:uiPriority w:val="0"/>
    <w:rPr>
      <w:kern w:val="2"/>
      <w:sz w:val="21"/>
    </w:rPr>
  </w:style>
  <w:style w:type="character" w:customStyle="1" w:styleId="72">
    <w:name w:val="cit-fpage"/>
    <w:basedOn w:val="29"/>
    <w:qFormat/>
    <w:uiPriority w:val="0"/>
  </w:style>
  <w:style w:type="character" w:customStyle="1" w:styleId="73">
    <w:name w:val="HTML 预设格式 字符"/>
    <w:link w:val="23"/>
    <w:qFormat/>
    <w:uiPriority w:val="0"/>
    <w:rPr>
      <w:rFonts w:ascii="宋体" w:hAnsi="宋体" w:cs="宋体"/>
      <w:sz w:val="24"/>
      <w:szCs w:val="24"/>
    </w:rPr>
  </w:style>
  <w:style w:type="character" w:customStyle="1" w:styleId="74">
    <w:name w:val="标题 字符"/>
    <w:link w:val="25"/>
    <w:qFormat/>
    <w:uiPriority w:val="0"/>
    <w:rPr>
      <w:rFonts w:ascii="Cambria" w:hAnsi="Cambria" w:eastAsia="黑体"/>
      <w:b/>
      <w:bCs/>
      <w:kern w:val="28"/>
      <w:sz w:val="36"/>
      <w:szCs w:val="32"/>
    </w:rPr>
  </w:style>
  <w:style w:type="character" w:customStyle="1" w:styleId="75">
    <w:name w:val="标题 4 字符"/>
    <w:link w:val="6"/>
    <w:qFormat/>
    <w:uiPriority w:val="0"/>
    <w:rPr>
      <w:b/>
      <w:bCs/>
      <w:sz w:val="28"/>
      <w:szCs w:val="28"/>
    </w:rPr>
  </w:style>
  <w:style w:type="character" w:customStyle="1" w:styleId="76">
    <w:name w:val="明显强调1"/>
    <w:qFormat/>
    <w:uiPriority w:val="0"/>
    <w:rPr>
      <w:b/>
      <w:i/>
      <w:sz w:val="24"/>
      <w:szCs w:val="24"/>
      <w:u w:val="single"/>
    </w:rPr>
  </w:style>
  <w:style w:type="character" w:customStyle="1" w:styleId="77">
    <w:name w:val="cit-pub-date"/>
    <w:basedOn w:val="29"/>
    <w:qFormat/>
    <w:uiPriority w:val="0"/>
  </w:style>
  <w:style w:type="character" w:customStyle="1" w:styleId="78">
    <w:name w:val="slug-vol"/>
    <w:basedOn w:val="29"/>
    <w:qFormat/>
    <w:uiPriority w:val="0"/>
  </w:style>
  <w:style w:type="character" w:customStyle="1" w:styleId="79">
    <w:name w:val="long_text"/>
    <w:basedOn w:val="29"/>
    <w:qFormat/>
    <w:uiPriority w:val="0"/>
  </w:style>
  <w:style w:type="character" w:customStyle="1" w:styleId="80">
    <w:name w:val="标题 9 字符"/>
    <w:link w:val="11"/>
    <w:qFormat/>
    <w:uiPriority w:val="0"/>
    <w:rPr>
      <w:rFonts w:ascii="Cambria" w:hAnsi="Cambria" w:eastAsia="宋体"/>
    </w:rPr>
  </w:style>
  <w:style w:type="character" w:customStyle="1" w:styleId="81">
    <w:name w:val="标题 8 字符"/>
    <w:link w:val="10"/>
    <w:qFormat/>
    <w:uiPriority w:val="0"/>
    <w:rPr>
      <w:i/>
      <w:iCs/>
      <w:sz w:val="24"/>
      <w:szCs w:val="24"/>
    </w:rPr>
  </w:style>
  <w:style w:type="character" w:customStyle="1" w:styleId="82">
    <w:name w:val="标题 1 字符1"/>
    <w:link w:val="2"/>
    <w:qFormat/>
    <w:uiPriority w:val="0"/>
    <w:rPr>
      <w:rFonts w:eastAsia="黑体"/>
      <w:b/>
      <w:bCs/>
      <w:iCs/>
      <w:kern w:val="32"/>
      <w:sz w:val="28"/>
      <w:szCs w:val="32"/>
      <w:lang w:val="zh-CN" w:eastAsia="zh-CN"/>
    </w:rPr>
  </w:style>
  <w:style w:type="paragraph" w:customStyle="1" w:styleId="83">
    <w:name w:val="参考文献"/>
    <w:basedOn w:val="63"/>
    <w:qFormat/>
    <w:uiPriority w:val="0"/>
    <w:pPr>
      <w:ind w:firstLine="0" w:firstLineChars="0"/>
    </w:pPr>
    <w:rPr>
      <w:rFonts w:ascii="宋体"/>
    </w:rPr>
  </w:style>
  <w:style w:type="paragraph" w:customStyle="1" w:styleId="84">
    <w:name w:val="Char"/>
    <w:basedOn w:val="1"/>
    <w:qFormat/>
    <w:uiPriority w:val="0"/>
    <w:rPr>
      <w:szCs w:val="21"/>
    </w:rPr>
  </w:style>
  <w:style w:type="paragraph" w:customStyle="1" w:styleId="85">
    <w:name w:val="目录 41"/>
    <w:basedOn w:val="1"/>
    <w:next w:val="1"/>
    <w:qFormat/>
    <w:uiPriority w:val="39"/>
    <w:pPr>
      <w:ind w:left="1260" w:leftChars="600"/>
    </w:pPr>
  </w:style>
  <w:style w:type="paragraph" w:customStyle="1" w:styleId="86">
    <w:name w:val="目录 21"/>
    <w:basedOn w:val="1"/>
    <w:next w:val="1"/>
    <w:qFormat/>
    <w:uiPriority w:val="39"/>
    <w:pPr>
      <w:spacing w:line="360" w:lineRule="auto"/>
      <w:ind w:left="200" w:leftChars="200"/>
    </w:pPr>
  </w:style>
  <w:style w:type="paragraph" w:customStyle="1" w:styleId="87">
    <w:name w:val="毕设章目录"/>
    <w:basedOn w:val="86"/>
    <w:qFormat/>
    <w:uiPriority w:val="0"/>
    <w:pPr>
      <w:tabs>
        <w:tab w:val="right" w:leader="dot" w:pos="8494"/>
      </w:tabs>
      <w:ind w:left="480"/>
    </w:pPr>
    <w:rPr>
      <w:rFonts w:eastAsia="黑体"/>
      <w:b/>
      <w:sz w:val="28"/>
    </w:rPr>
  </w:style>
  <w:style w:type="paragraph" w:customStyle="1" w:styleId="88">
    <w:name w:val="公式段落"/>
    <w:basedOn w:val="63"/>
    <w:qFormat/>
    <w:uiPriority w:val="0"/>
    <w:pPr>
      <w:tabs>
        <w:tab w:val="center" w:pos="4111"/>
        <w:tab w:val="right" w:pos="8312"/>
      </w:tabs>
      <w:snapToGrid/>
      <w:spacing w:line="480" w:lineRule="auto"/>
      <w:ind w:firstLine="0" w:firstLineChars="0"/>
    </w:pPr>
    <w:rPr>
      <w:rFonts w:eastAsia="Times New Roman"/>
      <w:b/>
      <w:sz w:val="21"/>
    </w:rPr>
  </w:style>
  <w:style w:type="paragraph" w:styleId="89">
    <w:name w:val="No Spacing"/>
    <w:basedOn w:val="1"/>
    <w:qFormat/>
    <w:uiPriority w:val="0"/>
    <w:rPr>
      <w:szCs w:val="32"/>
    </w:rPr>
  </w:style>
  <w:style w:type="paragraph" w:customStyle="1" w:styleId="90">
    <w:name w:val="目录 31"/>
    <w:basedOn w:val="91"/>
    <w:next w:val="1"/>
    <w:qFormat/>
    <w:uiPriority w:val="39"/>
    <w:pPr>
      <w:ind w:left="960" w:leftChars="400"/>
    </w:pPr>
  </w:style>
  <w:style w:type="paragraph" w:customStyle="1" w:styleId="91">
    <w:name w:val="目录 11"/>
    <w:basedOn w:val="86"/>
    <w:next w:val="1"/>
    <w:qFormat/>
    <w:uiPriority w:val="39"/>
  </w:style>
  <w:style w:type="paragraph" w:customStyle="1" w:styleId="92">
    <w:name w:val="公式标注"/>
    <w:basedOn w:val="12"/>
    <w:uiPriority w:val="0"/>
    <w:pPr>
      <w:spacing w:line="480" w:lineRule="auto"/>
      <w:jc w:val="right"/>
    </w:pPr>
    <w:rPr>
      <w:rFonts w:eastAsia="Times New Roman"/>
      <w:b/>
      <w:sz w:val="21"/>
    </w:rPr>
  </w:style>
  <w:style w:type="paragraph" w:customStyle="1" w:styleId="93">
    <w:name w:val="毕设页眉"/>
    <w:basedOn w:val="20"/>
    <w:uiPriority w:val="0"/>
    <w:pPr>
      <w:jc w:val="center"/>
    </w:pPr>
    <w:rPr>
      <w:sz w:val="21"/>
      <w:szCs w:val="21"/>
    </w:rPr>
  </w:style>
  <w:style w:type="paragraph" w:customStyle="1" w:styleId="94">
    <w:name w:val="列出段落"/>
    <w:basedOn w:val="1"/>
    <w:qFormat/>
    <w:uiPriority w:val="34"/>
    <w:pPr>
      <w:ind w:left="720"/>
    </w:pPr>
  </w:style>
  <w:style w:type="paragraph" w:customStyle="1" w:styleId="95">
    <w:name w:val="Char1"/>
    <w:basedOn w:val="1"/>
    <w:qFormat/>
    <w:uiPriority w:val="0"/>
    <w:rPr>
      <w:rFonts w:cs="Times New Roman"/>
      <w:kern w:val="2"/>
      <w:sz w:val="21"/>
      <w:szCs w:val="21"/>
    </w:rPr>
  </w:style>
  <w:style w:type="paragraph" w:customStyle="1" w:styleId="96">
    <w:name w:val="EndNote Bibliography Title"/>
    <w:basedOn w:val="1"/>
    <w:uiPriority w:val="0"/>
    <w:pPr>
      <w:ind w:left="357"/>
    </w:pPr>
    <w:rPr>
      <w:rFonts w:cs="Times New Roman"/>
      <w:kern w:val="2"/>
    </w:rPr>
  </w:style>
  <w:style w:type="paragraph" w:customStyle="1" w:styleId="97">
    <w:name w:val="图片注释"/>
    <w:basedOn w:val="1"/>
    <w:uiPriority w:val="0"/>
    <w:rPr>
      <w:i/>
      <w:sz w:val="32"/>
    </w:rPr>
  </w:style>
  <w:style w:type="paragraph" w:customStyle="1" w:styleId="98">
    <w:name w:val="tgt2"/>
    <w:basedOn w:val="1"/>
    <w:uiPriority w:val="0"/>
    <w:pPr>
      <w:spacing w:after="150" w:line="360" w:lineRule="auto"/>
    </w:pPr>
    <w:rPr>
      <w:b/>
      <w:bCs/>
      <w:sz w:val="36"/>
      <w:szCs w:val="36"/>
    </w:rPr>
  </w:style>
  <w:style w:type="paragraph" w:customStyle="1" w:styleId="99">
    <w:name w:val="图表"/>
    <w:basedOn w:val="1"/>
    <w:uiPriority w:val="0"/>
    <w:rPr>
      <w:rFonts w:cs="Times New Roman"/>
      <w:kern w:val="2"/>
      <w:sz w:val="21"/>
    </w:rPr>
  </w:style>
  <w:style w:type="paragraph" w:customStyle="1" w:styleId="100">
    <w:name w:val="EndNote Bibliography"/>
    <w:basedOn w:val="1"/>
    <w:qFormat/>
    <w:uiPriority w:val="0"/>
    <w:pPr>
      <w:ind w:left="357"/>
    </w:pPr>
    <w:rPr>
      <w:rFonts w:cs="Times New Roman"/>
      <w:kern w:val="2"/>
    </w:rPr>
  </w:style>
  <w:style w:type="paragraph" w:customStyle="1" w:styleId="101">
    <w:name w:val="References"/>
    <w:basedOn w:val="1"/>
    <w:uiPriority w:val="0"/>
    <w:pPr>
      <w:tabs>
        <w:tab w:val="left" w:pos="360"/>
      </w:tabs>
      <w:autoSpaceDE w:val="0"/>
      <w:autoSpaceDN w:val="0"/>
      <w:ind w:left="360" w:hanging="360"/>
    </w:pPr>
    <w:rPr>
      <w:sz w:val="16"/>
      <w:szCs w:val="16"/>
      <w:lang w:eastAsia="en-US"/>
    </w:rPr>
  </w:style>
  <w:style w:type="paragraph" w:customStyle="1" w:styleId="102">
    <w:name w:val="Text"/>
    <w:basedOn w:val="1"/>
    <w:uiPriority w:val="0"/>
    <w:pPr>
      <w:autoSpaceDE w:val="0"/>
      <w:autoSpaceDN w:val="0"/>
      <w:spacing w:line="252" w:lineRule="auto"/>
      <w:ind w:firstLine="202"/>
    </w:pPr>
    <w:rPr>
      <w:lang w:eastAsia="en-US"/>
    </w:rPr>
  </w:style>
  <w:style w:type="paragraph" w:customStyle="1" w:styleId="103">
    <w:name w:val="TOC 标题1"/>
    <w:basedOn w:val="2"/>
    <w:next w:val="1"/>
    <w:qFormat/>
    <w:uiPriority w:val="39"/>
    <w:pPr>
      <w:outlineLvl w:val="9"/>
    </w:pPr>
  </w:style>
  <w:style w:type="paragraph" w:customStyle="1" w:styleId="104">
    <w:name w:val="Authors"/>
    <w:basedOn w:val="1"/>
    <w:next w:val="1"/>
    <w:qFormat/>
    <w:uiPriority w:val="0"/>
    <w:pPr>
      <w:autoSpaceDE w:val="0"/>
      <w:autoSpaceDN w:val="0"/>
      <w:spacing w:after="320"/>
      <w:jc w:val="center"/>
    </w:pPr>
    <w:rPr>
      <w:rFonts w:cs="Times New Roman"/>
      <w:sz w:val="22"/>
      <w:szCs w:val="22"/>
      <w:lang w:eastAsia="en-US"/>
    </w:rPr>
  </w:style>
  <w:style w:type="character" w:customStyle="1" w:styleId="105">
    <w:name w:val="标题 1 字符"/>
    <w:uiPriority w:val="0"/>
    <w:rPr>
      <w:rFonts w:ascii="Times New Roman" w:hAnsi="Times New Roman" w:eastAsia="黑体"/>
      <w:b/>
      <w:bCs/>
      <w:iCs/>
      <w:kern w:val="32"/>
      <w:sz w:val="36"/>
      <w:szCs w:val="32"/>
    </w:rPr>
  </w:style>
  <w:style w:type="character" w:customStyle="1" w:styleId="106">
    <w:name w:val="批注文字 字符"/>
    <w:qFormat/>
    <w:uiPriority w:val="0"/>
    <w:rPr>
      <w:lang w:eastAsia="en-US"/>
    </w:rPr>
  </w:style>
  <w:style w:type="character" w:customStyle="1" w:styleId="107">
    <w:name w:val="标题 3 字符"/>
    <w:uiPriority w:val="0"/>
    <w:rPr>
      <w:rFonts w:ascii="Times New Roman" w:hAnsi="Times New Roman" w:eastAsia="黑体"/>
      <w:b/>
      <w:bCs/>
      <w:sz w:val="24"/>
      <w:szCs w:val="26"/>
    </w:rPr>
  </w:style>
  <w:style w:type="character" w:customStyle="1" w:styleId="108">
    <w:name w:val="页脚 字符"/>
    <w:link w:val="19"/>
    <w:uiPriority w:val="99"/>
    <w:rPr>
      <w:rFonts w:ascii="宋体" w:hAnsi="宋体" w:cs="宋体"/>
      <w:sz w:val="18"/>
      <w:szCs w:val="24"/>
    </w:rPr>
  </w:style>
  <w:style w:type="character" w:customStyle="1" w:styleId="109">
    <w:name w:val="批注主题 字符"/>
    <w:basedOn w:val="48"/>
    <w:link w:val="26"/>
    <w:qFormat/>
    <w:uiPriority w:val="0"/>
    <w:rPr>
      <w:rFonts w:ascii="宋体" w:hAnsi="宋体" w:cs="宋体"/>
      <w:b/>
      <w:bCs/>
      <w:sz w:val="24"/>
      <w:szCs w:val="24"/>
      <w:lang w:eastAsia="en-US"/>
    </w:rPr>
  </w:style>
  <w:style w:type="character" w:customStyle="1" w:styleId="110">
    <w:name w:val="正文文本 字符"/>
    <w:basedOn w:val="29"/>
    <w:link w:val="15"/>
    <w:uiPriority w:val="1"/>
    <w:rPr>
      <w:rFonts w:ascii="宋体" w:hAnsi="宋体" w:cs="宋体"/>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48CB6-B209-467F-B3EB-345751BB3723}">
  <ds:schemaRefs/>
</ds:datastoreItem>
</file>

<file path=docProps/app.xml><?xml version="1.0" encoding="utf-8"?>
<Properties xmlns="http://schemas.openxmlformats.org/officeDocument/2006/extended-properties" xmlns:vt="http://schemas.openxmlformats.org/officeDocument/2006/docPropsVTypes">
  <Template>Normal.dotm</Template>
  <Company>MSPRC</Company>
  <Pages>9</Pages>
  <Words>2632</Words>
  <Characters>3047</Characters>
  <Lines>137</Lines>
  <Paragraphs>151</Paragraphs>
  <TotalTime>2</TotalTime>
  <ScaleCrop>false</ScaleCrop>
  <LinksUpToDate>false</LinksUpToDate>
  <CharactersWithSpaces>3060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2021-08-02T07:05:00Z</dcterms:created>
  <dc:creator>HCL</dc:creator>
  <cp:lastModifiedBy>gorgeous</cp:lastModifiedBy>
  <cp:lastPrinted>2024-08-01T11:04:00Z</cp:lastPrinted>
  <dcterms:modified xsi:type="dcterms:W3CDTF">2025-07-06T16:46:31Z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MTUseMTPrefs">
    <vt:lpwstr>1</vt:lpwstr>
  </property>
  <property fmtid="{D5CDD505-2E9C-101B-9397-08002B2CF9AE}" pid="5" name="MTEquationNumber2">
    <vt:lpwstr>(#C1.#E1)</vt:lpwstr>
  </property>
  <property fmtid="{D5CDD505-2E9C-101B-9397-08002B2CF9AE}" pid="6" name="MTEqnNumsOnRight">
    <vt:bool>true</vt:bool>
  </property>
  <property fmtid="{D5CDD505-2E9C-101B-9397-08002B2CF9AE}" pid="7" name="MTEquationSection">
    <vt:lpwstr>1</vt:lpwstr>
  </property>
  <property fmtid="{D5CDD505-2E9C-101B-9397-08002B2CF9AE}" pid="8" name="KSOTemplateDocerSaveRecord">
    <vt:lpwstr>eyJoZGlkIjoiZjUxN2EzM2U2NzZmNmFkNmZlZGM2ZGU1MDM4ZjliMTUiLCJ1c2VySWQiOiIxNTIyODI3Njk2In0=</vt:lpwstr>
  </property>
  <property fmtid="{D5CDD505-2E9C-101B-9397-08002B2CF9AE}" pid="9" name="ICV">
    <vt:lpwstr>48A985736F264FF38EC9244EC4817A3E_13</vt:lpwstr>
  </property>
</Properties>
</file>