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153FF" w14:textId="77777777" w:rsidR="00114C95" w:rsidRPr="00114C95" w:rsidRDefault="00114C95" w:rsidP="00114C95">
      <w:pPr>
        <w:keepNext/>
        <w:keepLines/>
        <w:spacing w:before="480" w:line="240" w:lineRule="auto"/>
        <w:ind w:firstLine="0"/>
        <w:jc w:val="center"/>
        <w:outlineLvl w:val="0"/>
        <w:rPr>
          <w:rFonts w:asciiTheme="majorHAnsi" w:eastAsiaTheme="majorEastAsia" w:hAnsiTheme="majorHAnsi" w:cstheme="majorBidi"/>
          <w:b/>
          <w:bCs/>
          <w:sz w:val="28"/>
          <w:szCs w:val="28"/>
        </w:rPr>
      </w:pPr>
    </w:p>
    <w:p w14:paraId="57B01DC6" w14:textId="7E8F9228" w:rsidR="00114C95" w:rsidRPr="00114C95" w:rsidRDefault="00114C95" w:rsidP="00114C95">
      <w:pPr>
        <w:keepNext/>
        <w:keepLines/>
        <w:spacing w:before="480" w:line="240" w:lineRule="auto"/>
        <w:ind w:firstLine="0"/>
        <w:jc w:val="center"/>
        <w:outlineLvl w:val="0"/>
        <w:rPr>
          <w:rFonts w:asciiTheme="majorHAnsi" w:eastAsiaTheme="majorEastAsia" w:hAnsiTheme="majorHAnsi" w:cstheme="majorBidi"/>
          <w:b/>
          <w:bCs/>
          <w:sz w:val="28"/>
          <w:szCs w:val="28"/>
        </w:rPr>
      </w:pPr>
      <w:r w:rsidRPr="00114C95">
        <w:rPr>
          <w:rFonts w:asciiTheme="majorHAnsi" w:eastAsiaTheme="majorEastAsia" w:hAnsiTheme="majorHAnsi" w:cstheme="majorBidi"/>
          <w:b/>
          <w:bCs/>
          <w:sz w:val="28"/>
          <w:szCs w:val="28"/>
        </w:rPr>
        <w:t>Satisfaction Spillovers across Categories</w:t>
      </w:r>
    </w:p>
    <w:p w14:paraId="1A73215B" w14:textId="77777777" w:rsidR="00114C95" w:rsidRPr="00114C95" w:rsidRDefault="00114C95" w:rsidP="00114C95">
      <w:pPr>
        <w:jc w:val="center"/>
      </w:pPr>
    </w:p>
    <w:p w14:paraId="4DD34D2A" w14:textId="77777777" w:rsidR="00114C95" w:rsidRPr="00114C95" w:rsidRDefault="00114C95" w:rsidP="00114C95">
      <w:pPr>
        <w:jc w:val="center"/>
      </w:pPr>
    </w:p>
    <w:p w14:paraId="3E442B6F" w14:textId="77777777" w:rsidR="00114C95" w:rsidRPr="00114C95" w:rsidRDefault="00114C95" w:rsidP="00114C95">
      <w:pPr>
        <w:jc w:val="center"/>
      </w:pPr>
    </w:p>
    <w:p w14:paraId="58431FBC" w14:textId="77777777" w:rsidR="00114C95" w:rsidRPr="00114C95" w:rsidRDefault="00114C95" w:rsidP="00114C95">
      <w:pPr>
        <w:ind w:firstLine="0"/>
        <w:jc w:val="center"/>
      </w:pPr>
    </w:p>
    <w:p w14:paraId="2225440B" w14:textId="77777777" w:rsidR="00114C95" w:rsidRPr="00114C95" w:rsidRDefault="00114C95" w:rsidP="00114C95">
      <w:pPr>
        <w:ind w:firstLine="0"/>
        <w:jc w:val="center"/>
      </w:pPr>
      <w:r w:rsidRPr="00114C95">
        <w:t xml:space="preserve">Xiaojing Dong and Pradeep K. </w:t>
      </w:r>
      <w:proofErr w:type="spellStart"/>
      <w:r w:rsidRPr="00114C95">
        <w:t>Chintagunta</w:t>
      </w:r>
      <w:proofErr w:type="spellEnd"/>
      <w:r w:rsidRPr="00114C95">
        <w:rPr>
          <w:vertAlign w:val="superscript"/>
        </w:rPr>
        <w:footnoteReference w:id="2"/>
      </w:r>
    </w:p>
    <w:p w14:paraId="0AB01E2F" w14:textId="003534D7" w:rsidR="00114C95" w:rsidRPr="00114C95" w:rsidRDefault="00114C95" w:rsidP="00114C95">
      <w:pPr>
        <w:ind w:firstLine="0"/>
        <w:jc w:val="center"/>
      </w:pPr>
      <w:r w:rsidRPr="00114C95">
        <w:t xml:space="preserve">Version: </w:t>
      </w:r>
      <w:r>
        <w:t>April 2015</w:t>
      </w:r>
    </w:p>
    <w:p w14:paraId="10947397" w14:textId="77777777" w:rsidR="00114C95" w:rsidRDefault="00114C95" w:rsidP="00000D6E">
      <w:pPr>
        <w:pStyle w:val="Heading1"/>
        <w:spacing w:line="240" w:lineRule="auto"/>
        <w:jc w:val="center"/>
        <w:rPr>
          <w:color w:val="auto"/>
        </w:rPr>
      </w:pPr>
    </w:p>
    <w:p w14:paraId="2D9EB37F" w14:textId="3C58E42E" w:rsidR="00114C95" w:rsidRDefault="00114C95">
      <w:pPr>
        <w:spacing w:after="200" w:line="276" w:lineRule="auto"/>
        <w:ind w:firstLine="0"/>
        <w:jc w:val="left"/>
      </w:pPr>
      <w:r>
        <w:br w:type="page"/>
      </w:r>
    </w:p>
    <w:p w14:paraId="393698C5" w14:textId="77777777" w:rsidR="00114C95" w:rsidRPr="00114C95" w:rsidRDefault="00114C95" w:rsidP="00114C95"/>
    <w:p w14:paraId="5D6CF026" w14:textId="7BAA589E" w:rsidR="00000D6E" w:rsidRPr="00670D11" w:rsidRDefault="00000D6E" w:rsidP="00000D6E">
      <w:pPr>
        <w:pStyle w:val="Heading1"/>
        <w:spacing w:line="240" w:lineRule="auto"/>
        <w:jc w:val="center"/>
        <w:rPr>
          <w:color w:val="auto"/>
        </w:rPr>
      </w:pPr>
      <w:r w:rsidRPr="00670D11">
        <w:rPr>
          <w:color w:val="auto"/>
        </w:rPr>
        <w:t xml:space="preserve">Satisfaction Spillovers </w:t>
      </w:r>
      <w:r w:rsidR="00190E70" w:rsidRPr="00670D11">
        <w:rPr>
          <w:color w:val="auto"/>
        </w:rPr>
        <w:t>across</w:t>
      </w:r>
      <w:r w:rsidRPr="00670D11">
        <w:rPr>
          <w:color w:val="auto"/>
        </w:rPr>
        <w:t xml:space="preserve"> Categories</w:t>
      </w:r>
    </w:p>
    <w:p w14:paraId="3745B80C" w14:textId="77777777" w:rsidR="00000D6E" w:rsidRDefault="00000D6E" w:rsidP="00000D6E">
      <w:pPr>
        <w:jc w:val="center"/>
      </w:pPr>
    </w:p>
    <w:p w14:paraId="2BD2C417" w14:textId="77777777" w:rsidR="00000D6E" w:rsidRPr="00C745CE" w:rsidRDefault="00000D6E" w:rsidP="00000D6E">
      <w:pPr>
        <w:pStyle w:val="Heading1"/>
        <w:jc w:val="center"/>
        <w:rPr>
          <w:color w:val="auto"/>
          <w:sz w:val="24"/>
          <w:szCs w:val="24"/>
        </w:rPr>
      </w:pPr>
      <w:r w:rsidRPr="00C745CE">
        <w:rPr>
          <w:color w:val="auto"/>
          <w:sz w:val="24"/>
          <w:szCs w:val="24"/>
        </w:rPr>
        <w:t>Abstract</w:t>
      </w:r>
    </w:p>
    <w:p w14:paraId="3D105B18" w14:textId="0601186F" w:rsidR="001A05F9" w:rsidRDefault="00000D6E" w:rsidP="00E7248C">
      <w:pPr>
        <w:spacing w:line="240" w:lineRule="auto"/>
      </w:pPr>
      <w:r>
        <w:t xml:space="preserve">We </w:t>
      </w:r>
      <w:r w:rsidR="00DE0D32">
        <w:t xml:space="preserve">provide a descriptive </w:t>
      </w:r>
      <w:r>
        <w:t xml:space="preserve">study </w:t>
      </w:r>
      <w:r w:rsidR="00DE0D32">
        <w:t xml:space="preserve">of </w:t>
      </w:r>
      <w:r>
        <w:t xml:space="preserve">the </w:t>
      </w:r>
      <w:r w:rsidR="001A05F9">
        <w:t xml:space="preserve">cross-category </w:t>
      </w:r>
      <w:r w:rsidR="00DE0D32">
        <w:t xml:space="preserve">effects </w:t>
      </w:r>
      <w:r>
        <w:t xml:space="preserve">of satisfaction for financial services on </w:t>
      </w:r>
      <w:bookmarkStart w:id="0" w:name="_GoBack"/>
      <w:bookmarkEnd w:id="0"/>
      <w:r>
        <w:t xml:space="preserve">retention </w:t>
      </w:r>
      <w:r w:rsidR="001A05F9">
        <w:t>behavior</w:t>
      </w:r>
      <w:r>
        <w:t xml:space="preserve">. </w:t>
      </w:r>
      <w:r w:rsidR="0080203A">
        <w:t>Behavioral contrast and learning theories provide the bases for our understanding of the</w:t>
      </w:r>
      <w:r w:rsidR="00521F74">
        <w:t>se</w:t>
      </w:r>
      <w:r w:rsidR="0080203A">
        <w:t xml:space="preserve"> effects. </w:t>
      </w:r>
      <w:r w:rsidR="00462C02">
        <w:t>Our main findings are (</w:t>
      </w:r>
      <w:proofErr w:type="spellStart"/>
      <w:r w:rsidR="00462C02">
        <w:t>i</w:t>
      </w:r>
      <w:proofErr w:type="spellEnd"/>
      <w:r w:rsidR="00462C02">
        <w:t xml:space="preserve">) </w:t>
      </w:r>
      <w:proofErr w:type="gramStart"/>
      <w:r w:rsidR="00462C02">
        <w:t>A</w:t>
      </w:r>
      <w:r w:rsidR="007C6688">
        <w:t>cross</w:t>
      </w:r>
      <w:proofErr w:type="gramEnd"/>
      <w:r w:rsidR="007C6688">
        <w:t xml:space="preserve"> banking and investment categories, when c</w:t>
      </w:r>
      <w:r w:rsidR="0085173A">
        <w:t>ustomers</w:t>
      </w:r>
      <w:r w:rsidR="007C6688">
        <w:t xml:space="preserve"> have </w:t>
      </w:r>
      <w:r w:rsidR="007C6688" w:rsidRPr="007B4349">
        <w:rPr>
          <w:i/>
        </w:rPr>
        <w:t>different</w:t>
      </w:r>
      <w:r w:rsidR="007C6688">
        <w:t xml:space="preserve"> providers, satisfaction with one lowers the </w:t>
      </w:r>
      <w:r w:rsidR="003F1B38">
        <w:t xml:space="preserve">retention </w:t>
      </w:r>
      <w:r w:rsidR="007C6688">
        <w:t xml:space="preserve">probability in the other service. </w:t>
      </w:r>
      <w:r w:rsidR="00462C02">
        <w:t>(ii) A</w:t>
      </w:r>
      <w:r w:rsidR="007C6688">
        <w:t xml:space="preserve"> customer who is </w:t>
      </w:r>
      <w:r w:rsidR="00CE5E88">
        <w:t>dis</w:t>
      </w:r>
      <w:r w:rsidR="007C6688">
        <w:t xml:space="preserve">satisfied with the investment service is more likely to </w:t>
      </w:r>
      <w:r w:rsidR="003F1B38">
        <w:t xml:space="preserve">stay with </w:t>
      </w:r>
      <w:r w:rsidR="007C6688">
        <w:t xml:space="preserve">the </w:t>
      </w:r>
      <w:r w:rsidR="003F1B38">
        <w:t xml:space="preserve">current </w:t>
      </w:r>
      <w:r w:rsidR="007C6688">
        <w:t xml:space="preserve">banking service. </w:t>
      </w:r>
      <w:r w:rsidR="00462C02">
        <w:t xml:space="preserve">(iii) </w:t>
      </w:r>
      <w:r w:rsidR="007C6688">
        <w:t xml:space="preserve">Importantly, we find that when the same firm is involved in both categories, dissatisfaction with the firm in the investment category spills over into the banking category thereby lowering its </w:t>
      </w:r>
      <w:r w:rsidR="003F1B38">
        <w:t xml:space="preserve">retention </w:t>
      </w:r>
      <w:r w:rsidR="007C6688">
        <w:t xml:space="preserve">probability. </w:t>
      </w:r>
      <w:r w:rsidR="0085173A">
        <w:t>W</w:t>
      </w:r>
      <w:r w:rsidR="007B4349">
        <w:t xml:space="preserve">e also find that: (a) among customers who are satisfied with banking (investment), more exposure </w:t>
      </w:r>
      <w:r w:rsidR="00504B85">
        <w:t xml:space="preserve">to media </w:t>
      </w:r>
      <w:r w:rsidR="0085173A">
        <w:t>increases retention probability</w:t>
      </w:r>
      <w:r w:rsidR="007B4349">
        <w:t xml:space="preserve">; (b) while switching costs and order of acquisition do affect retention they do not show cross-category interactions with satisfaction. </w:t>
      </w:r>
      <w:r w:rsidR="001A05F9">
        <w:t xml:space="preserve">We then </w:t>
      </w:r>
      <w:r w:rsidR="00DE0D32">
        <w:t>obtain</w:t>
      </w:r>
      <w:r w:rsidR="001A05F9">
        <w:t xml:space="preserve"> implications for customer lifetime value and </w:t>
      </w:r>
      <w:r w:rsidR="00DE0D32">
        <w:t xml:space="preserve">show </w:t>
      </w:r>
      <w:r w:rsidR="001A05F9">
        <w:t xml:space="preserve">that </w:t>
      </w:r>
      <w:r w:rsidR="003D748A">
        <w:t>it</w:t>
      </w:r>
      <w:r w:rsidR="001A05F9">
        <w:t xml:space="preserve"> can be enhanced with increased satisfaction by leveraging both the within </w:t>
      </w:r>
      <w:r w:rsidR="00B73CF1">
        <w:t>and</w:t>
      </w:r>
      <w:r w:rsidR="001A05F9">
        <w:t xml:space="preserve"> across category effects. </w:t>
      </w:r>
      <w:r w:rsidR="00DE0D32">
        <w:t>Bottom line: it is</w:t>
      </w:r>
      <w:r w:rsidR="00E7248C">
        <w:t xml:space="preserve"> </w:t>
      </w:r>
      <w:r w:rsidR="001A05F9" w:rsidRPr="00771D38">
        <w:t xml:space="preserve">important for a company providing multiple services to </w:t>
      </w:r>
      <w:r w:rsidR="00E7248C">
        <w:t xml:space="preserve">measure satisfaction at the category level but </w:t>
      </w:r>
      <w:r w:rsidR="001A05F9" w:rsidRPr="00771D38">
        <w:t xml:space="preserve">manage customers across categories. </w:t>
      </w:r>
    </w:p>
    <w:p w14:paraId="00E7A479" w14:textId="77777777" w:rsidR="001A05F9" w:rsidRPr="00C87A16" w:rsidRDefault="001A05F9" w:rsidP="00000D6E">
      <w:pPr>
        <w:spacing w:line="240" w:lineRule="auto"/>
      </w:pPr>
    </w:p>
    <w:p w14:paraId="0B6EAA0C" w14:textId="77777777" w:rsidR="00000D6E" w:rsidRDefault="00000D6E">
      <w:pPr>
        <w:spacing w:after="200" w:line="276" w:lineRule="auto"/>
        <w:ind w:firstLine="0"/>
        <w:jc w:val="left"/>
        <w:rPr>
          <w:sz w:val="28"/>
          <w:szCs w:val="28"/>
        </w:rPr>
      </w:pPr>
    </w:p>
    <w:p w14:paraId="142010A3" w14:textId="77777777" w:rsidR="00000D6E" w:rsidRDefault="00000D6E">
      <w:pPr>
        <w:spacing w:after="200" w:line="276" w:lineRule="auto"/>
        <w:ind w:firstLine="0"/>
        <w:jc w:val="left"/>
        <w:rPr>
          <w:sz w:val="28"/>
          <w:szCs w:val="28"/>
        </w:rPr>
      </w:pPr>
      <w:r>
        <w:rPr>
          <w:sz w:val="28"/>
          <w:szCs w:val="28"/>
        </w:rPr>
        <w:br w:type="page"/>
      </w:r>
    </w:p>
    <w:p w14:paraId="03145E8E" w14:textId="1EED63F2" w:rsidR="006530B5" w:rsidRPr="006530B5" w:rsidRDefault="006530B5" w:rsidP="00C341A4">
      <w:pPr>
        <w:ind w:firstLine="0"/>
        <w:contextualSpacing/>
        <w:jc w:val="center"/>
        <w:rPr>
          <w:sz w:val="28"/>
          <w:szCs w:val="28"/>
        </w:rPr>
      </w:pPr>
      <w:r w:rsidRPr="006530B5">
        <w:rPr>
          <w:sz w:val="28"/>
          <w:szCs w:val="28"/>
        </w:rPr>
        <w:lastRenderedPageBreak/>
        <w:t>Introduction</w:t>
      </w:r>
    </w:p>
    <w:p w14:paraId="6D32DA13" w14:textId="3C883D63" w:rsidR="00EA1997" w:rsidRDefault="008D6366" w:rsidP="00D22CB8">
      <w:r>
        <w:t>With the advent of cross-selling</w:t>
      </w:r>
      <w:r w:rsidR="0068594F">
        <w:t xml:space="preserve"> (</w:t>
      </w:r>
      <w:r w:rsidR="0068594F">
        <w:rPr>
          <w:noProof/>
        </w:rPr>
        <w:t>Rust and Chung 2006</w:t>
      </w:r>
      <w:r w:rsidR="002B537F">
        <w:t xml:space="preserve">, </w:t>
      </w:r>
      <w:r w:rsidR="0068594F">
        <w:rPr>
          <w:noProof/>
        </w:rPr>
        <w:t>Bolton 1998)</w:t>
      </w:r>
      <w:r>
        <w:t xml:space="preserve">, the satisfaction literature </w:t>
      </w:r>
      <w:r w:rsidR="0068594F">
        <w:t xml:space="preserve">(e.g., </w:t>
      </w:r>
      <w:r w:rsidR="0068594F">
        <w:rPr>
          <w:noProof/>
        </w:rPr>
        <w:t xml:space="preserve">Luo and Homburg 2008; Luo 2009; </w:t>
      </w:r>
      <w:proofErr w:type="spellStart"/>
      <w:r w:rsidR="0068594F">
        <w:t>Fornell</w:t>
      </w:r>
      <w:proofErr w:type="spellEnd"/>
      <w:r w:rsidR="0068594F">
        <w:t xml:space="preserve"> 1992; Anderson et al. 1994; Szymanski and </w:t>
      </w:r>
      <w:proofErr w:type="spellStart"/>
      <w:r w:rsidR="0068594F">
        <w:t>Henard</w:t>
      </w:r>
      <w:proofErr w:type="spellEnd"/>
      <w:r w:rsidR="0068594F">
        <w:t xml:space="preserve"> 2001) </w:t>
      </w:r>
      <w:r>
        <w:t>has moved into the multi-category domain</w:t>
      </w:r>
      <w:r w:rsidR="002B537F">
        <w:t xml:space="preserve"> -</w:t>
      </w:r>
      <w:r>
        <w:t xml:space="preserve"> satisfaction with a provider influences outcomes across multiple categories. </w:t>
      </w:r>
      <w:r w:rsidR="00373C81">
        <w:rPr>
          <w:noProof/>
        </w:rPr>
        <w:t>Verhoef et al. (2001)</w:t>
      </w:r>
      <w:r w:rsidR="00373C81">
        <w:t xml:space="preserve"> </w:t>
      </w:r>
      <w:r w:rsidR="00373C81" w:rsidRPr="009559D1">
        <w:t>find no main effect of satisfaction on</w:t>
      </w:r>
      <w:r w:rsidR="002B537F">
        <w:t xml:space="preserve"> cross-buying. They do </w:t>
      </w:r>
      <w:r w:rsidR="00373C81" w:rsidRPr="009559D1">
        <w:t xml:space="preserve">find that as the duration of the customer-firm relationship increases, the effect of satisfaction on cross-buying </w:t>
      </w:r>
      <w:r w:rsidR="002B537F">
        <w:t xml:space="preserve">also </w:t>
      </w:r>
      <w:r w:rsidR="00373C81" w:rsidRPr="009559D1">
        <w:t xml:space="preserve">increases. </w:t>
      </w:r>
      <w:r w:rsidR="00D22CB8">
        <w:t xml:space="preserve">Li et al (2005) show that overall satisfaction </w:t>
      </w:r>
      <w:r w:rsidR="00BD6079">
        <w:t xml:space="preserve">with a firm </w:t>
      </w:r>
      <w:r w:rsidR="00D22CB8">
        <w:t xml:space="preserve">has an impact on consumers signing up for a variety of additional financial services. </w:t>
      </w:r>
      <w:r w:rsidR="00055173">
        <w:t xml:space="preserve">While overall satisfaction </w:t>
      </w:r>
      <w:r w:rsidR="006E2A2D">
        <w:t>is an important</w:t>
      </w:r>
      <w:r w:rsidR="00055173">
        <w:t xml:space="preserve"> driver of customer acquisition and retention, it might be less useful from the perspective of diagnosing </w:t>
      </w:r>
      <w:r w:rsidR="00055173" w:rsidRPr="003B692B">
        <w:rPr>
          <w:i/>
        </w:rPr>
        <w:t>why</w:t>
      </w:r>
      <w:r w:rsidR="00055173">
        <w:t xml:space="preserve"> a customer might have defected from a company’</w:t>
      </w:r>
      <w:r w:rsidR="00EA1997">
        <w:t>s suite of services.</w:t>
      </w:r>
    </w:p>
    <w:p w14:paraId="18D266D6" w14:textId="498FB237" w:rsidR="00F1760F" w:rsidRDefault="00055173" w:rsidP="00F1760F">
      <w:r>
        <w:t xml:space="preserve">Consider a </w:t>
      </w:r>
      <w:r w:rsidR="0068594F">
        <w:t xml:space="preserve">services </w:t>
      </w:r>
      <w:r w:rsidR="00EA1997">
        <w:t xml:space="preserve">firm </w:t>
      </w:r>
      <w:r w:rsidR="0068594F">
        <w:t xml:space="preserve">that </w:t>
      </w:r>
      <w:r w:rsidR="00EA1997">
        <w:t xml:space="preserve">manages customer satisfaction across </w:t>
      </w:r>
      <w:r w:rsidR="0068594F">
        <w:t xml:space="preserve">two </w:t>
      </w:r>
      <w:r w:rsidR="00EA1997">
        <w:t xml:space="preserve">categories by tracking an overall satisfaction measure for the firm and retention behavior in each category. </w:t>
      </w:r>
      <w:r w:rsidR="0068594F">
        <w:t>C</w:t>
      </w:r>
      <w:r w:rsidR="006E2A2D">
        <w:t>u</w:t>
      </w:r>
      <w:r w:rsidR="0068594F">
        <w:t>stomer</w:t>
      </w:r>
      <w:r w:rsidR="006E2A2D">
        <w:t xml:space="preserve"> </w:t>
      </w:r>
      <w:r>
        <w:t xml:space="preserve">data </w:t>
      </w:r>
      <w:r w:rsidR="0068594F">
        <w:t xml:space="preserve">shows </w:t>
      </w:r>
      <w:r>
        <w:t>that a reduction in overall satisfaction coincided with the custom</w:t>
      </w:r>
      <w:r w:rsidR="0068594F">
        <w:t>er defecting from both services;</w:t>
      </w:r>
      <w:r>
        <w:t xml:space="preserve"> </w:t>
      </w:r>
      <w:r w:rsidR="00EA1997">
        <w:t>lead</w:t>
      </w:r>
      <w:r w:rsidR="0068594F">
        <w:t>ing</w:t>
      </w:r>
      <w:r w:rsidR="00EA1997">
        <w:t xml:space="preserve"> to the company investing in improving both services. However, the customer might have been extremely satisfied with one service and not at all with the other</w:t>
      </w:r>
      <w:r w:rsidR="008C3EC0">
        <w:t>; jointly these</w:t>
      </w:r>
      <w:r w:rsidR="00EA1997">
        <w:t xml:space="preserve"> contribut</w:t>
      </w:r>
      <w:r w:rsidR="008C3EC0">
        <w:t>e</w:t>
      </w:r>
      <w:r w:rsidR="00EA1997">
        <w:t xml:space="preserve"> to the reduction in </w:t>
      </w:r>
      <w:r w:rsidR="00C066A9">
        <w:t>overall satisfaction. F</w:t>
      </w:r>
      <w:r w:rsidR="00EA1997">
        <w:t xml:space="preserve">or the service with the low satisfaction level, it is reasonable to expect defection. But it could also be the case that there is spillover in satisfaction </w:t>
      </w:r>
      <w:r w:rsidR="00CA25F4">
        <w:t xml:space="preserve">from the dissatisfied service </w:t>
      </w:r>
      <w:r w:rsidR="00EA1997">
        <w:t xml:space="preserve">to retention in the </w:t>
      </w:r>
      <w:r w:rsidR="00CA25F4">
        <w:t xml:space="preserve">satisfied service leading to defection from both services. </w:t>
      </w:r>
      <w:r w:rsidR="00F1760F">
        <w:t>In</w:t>
      </w:r>
      <w:r w:rsidR="00CA25F4">
        <w:t xml:space="preserve"> this case, the firm </w:t>
      </w:r>
      <w:r w:rsidR="00F1760F">
        <w:t>should focus</w:t>
      </w:r>
      <w:r w:rsidR="00CA25F4">
        <w:t xml:space="preserve"> its efforts and resources only on the dissatisfied category</w:t>
      </w:r>
      <w:r w:rsidR="00041F79">
        <w:t xml:space="preserve">. </w:t>
      </w:r>
      <w:r w:rsidR="0068594F">
        <w:t>Next</w:t>
      </w:r>
      <w:r w:rsidR="00CA25F4">
        <w:t xml:space="preserve">, </w:t>
      </w:r>
      <w:r w:rsidR="006F5007">
        <w:t>suppose</w:t>
      </w:r>
      <w:r w:rsidR="0068594F">
        <w:t xml:space="preserve"> </w:t>
      </w:r>
      <w:r w:rsidR="00CA25F4">
        <w:t xml:space="preserve">the firm tracks satisfaction and retention separately by category </w:t>
      </w:r>
      <w:r w:rsidR="008C3EC0">
        <w:t>and</w:t>
      </w:r>
      <w:r w:rsidR="00CA25F4">
        <w:t xml:space="preserve"> ma</w:t>
      </w:r>
      <w:r w:rsidR="006F5007">
        <w:t>nages both categories independently</w:t>
      </w:r>
      <w:r w:rsidR="00CA25F4">
        <w:t xml:space="preserve">. </w:t>
      </w:r>
      <w:r w:rsidR="006F5007">
        <w:t>S</w:t>
      </w:r>
      <w:r w:rsidR="006E2A2D">
        <w:t xml:space="preserve">ince defection happens in both categories but satisfaction was low only in one, </w:t>
      </w:r>
      <w:r w:rsidR="00CA25F4">
        <w:t xml:space="preserve">the firm would conclude that satisfaction does affect retention in the dis-satisfied category but does not influence retention in the satisfied category. </w:t>
      </w:r>
    </w:p>
    <w:p w14:paraId="376C6484" w14:textId="0EEE6CFC" w:rsidR="00A66721" w:rsidRDefault="001F637B" w:rsidP="00F1760F">
      <w:r>
        <w:t>O</w:t>
      </w:r>
      <w:r w:rsidR="00CC0F1C">
        <w:t xml:space="preserve">ur objective in this paper is to </w:t>
      </w:r>
      <w:r w:rsidR="00C72A11">
        <w:t xml:space="preserve">provide a descriptive </w:t>
      </w:r>
      <w:r w:rsidR="006F5007">
        <w:t>study</w:t>
      </w:r>
      <w:r w:rsidR="00CC0F1C">
        <w:t xml:space="preserve"> </w:t>
      </w:r>
      <w:r w:rsidR="00C72A11">
        <w:t xml:space="preserve">of </w:t>
      </w:r>
      <w:r w:rsidR="00CC0F1C">
        <w:t xml:space="preserve">the spillover </w:t>
      </w:r>
      <w:r>
        <w:t xml:space="preserve">of </w:t>
      </w:r>
      <w:r w:rsidR="00CC0F1C">
        <w:t xml:space="preserve">positive and / or negative </w:t>
      </w:r>
      <w:r>
        <w:t xml:space="preserve">satisfaction with one category on customer retention in that category </w:t>
      </w:r>
      <w:r w:rsidR="00C72A11">
        <w:t>and in</w:t>
      </w:r>
      <w:r>
        <w:t xml:space="preserve"> </w:t>
      </w:r>
      <w:r w:rsidRPr="0017405C">
        <w:rPr>
          <w:i/>
        </w:rPr>
        <w:t>other</w:t>
      </w:r>
      <w:r>
        <w:t xml:space="preserve"> categories provided by the same firm; </w:t>
      </w:r>
      <w:r w:rsidR="00CC0F1C">
        <w:t xml:space="preserve">and to </w:t>
      </w:r>
      <w:r w:rsidR="00C72A11">
        <w:t>describe</w:t>
      </w:r>
      <w:r w:rsidR="00CC0F1C">
        <w:t xml:space="preserve"> consequences for customer lifetime value management.</w:t>
      </w:r>
      <w:r w:rsidR="00373C81">
        <w:t xml:space="preserve"> </w:t>
      </w:r>
      <w:r w:rsidR="00C8334D">
        <w:t>R</w:t>
      </w:r>
      <w:r w:rsidR="00FD6B53">
        <w:t xml:space="preserve">ather </w:t>
      </w:r>
      <w:r w:rsidR="00FD6B53">
        <w:lastRenderedPageBreak/>
        <w:t xml:space="preserve">than viewing the issue as a </w:t>
      </w:r>
      <w:proofErr w:type="spellStart"/>
      <w:r w:rsidR="00A66721" w:rsidRPr="00EF3473">
        <w:rPr>
          <w:i/>
        </w:rPr>
        <w:t>multi</w:t>
      </w:r>
      <w:r w:rsidR="00A66721">
        <w:t>category</w:t>
      </w:r>
      <w:proofErr w:type="spellEnd"/>
      <w:r w:rsidR="00A66721">
        <w:t xml:space="preserve"> problem </w:t>
      </w:r>
      <w:r w:rsidR="005F4D1C">
        <w:t>with provider or overall satisfaction driving retention in individual categories</w:t>
      </w:r>
      <w:r w:rsidR="000C4824">
        <w:t xml:space="preserve"> </w:t>
      </w:r>
      <w:r w:rsidR="00A66721">
        <w:t xml:space="preserve">our </w:t>
      </w:r>
      <w:r w:rsidR="005F4D1C">
        <w:t>goal</w:t>
      </w:r>
      <w:r w:rsidR="00A66721">
        <w:t xml:space="preserve"> is to view the issue from a </w:t>
      </w:r>
      <w:r w:rsidR="00A66721" w:rsidRPr="00EF3473">
        <w:rPr>
          <w:i/>
        </w:rPr>
        <w:t>cross</w:t>
      </w:r>
      <w:r w:rsidR="00A66721">
        <w:t>-category perspective</w:t>
      </w:r>
      <w:r w:rsidR="000C4824">
        <w:t xml:space="preserve">, i.e., </w:t>
      </w:r>
      <w:r w:rsidR="00A66721">
        <w:t xml:space="preserve">we seek to quantify the effects of (dis)satisfaction in one category on retention in </w:t>
      </w:r>
      <w:r w:rsidR="000D1A4F">
        <w:t xml:space="preserve">that </w:t>
      </w:r>
      <w:r w:rsidR="00C8334D">
        <w:t>and</w:t>
      </w:r>
      <w:r w:rsidR="000D1A4F">
        <w:t xml:space="preserve"> in </w:t>
      </w:r>
      <w:r w:rsidR="00A66721">
        <w:t xml:space="preserve">other categories. </w:t>
      </w:r>
    </w:p>
    <w:p w14:paraId="3549D0DA" w14:textId="7E900E80" w:rsidR="007947E1" w:rsidRDefault="00373C81" w:rsidP="007C5BA3">
      <w:r>
        <w:t xml:space="preserve">We </w:t>
      </w:r>
      <w:r w:rsidR="007C5BA3">
        <w:t>use</w:t>
      </w:r>
      <w:r w:rsidR="00CC0F1C">
        <w:t xml:space="preserve"> data from</w:t>
      </w:r>
      <w:r>
        <w:t xml:space="preserve"> </w:t>
      </w:r>
      <w:r w:rsidR="001F637B">
        <w:t>a</w:t>
      </w:r>
      <w:r w:rsidR="00904DB3">
        <w:t xml:space="preserve"> </w:t>
      </w:r>
      <w:r>
        <w:t>customer survey conducted by Forrester Research</w:t>
      </w:r>
      <w:r w:rsidR="007C5BA3">
        <w:t xml:space="preserve"> in 2010 and in 2011</w:t>
      </w:r>
      <w:r w:rsidR="001F637B">
        <w:t xml:space="preserve">. </w:t>
      </w:r>
      <w:r>
        <w:t xml:space="preserve">Our study focuses on banking and </w:t>
      </w:r>
      <w:r w:rsidR="00B014C7">
        <w:t>investment</w:t>
      </w:r>
      <w:r>
        <w:t xml:space="preserve"> services</w:t>
      </w:r>
      <w:r w:rsidR="00FB4C5B">
        <w:t xml:space="preserve"> for which </w:t>
      </w:r>
      <w:r w:rsidR="00B014C7">
        <w:t>respondent</w:t>
      </w:r>
      <w:r w:rsidR="00EC1D83">
        <w:t xml:space="preserve">s report their primary </w:t>
      </w:r>
      <w:r w:rsidR="00FB4C5B">
        <w:t>service</w:t>
      </w:r>
      <w:r w:rsidR="007C5BA3">
        <w:t xml:space="preserve"> provider</w:t>
      </w:r>
      <w:r w:rsidR="00EC1D83">
        <w:t>. Our dependent variable is the re</w:t>
      </w:r>
      <w:r w:rsidR="00C61CA7">
        <w:t>spondent’s decision</w:t>
      </w:r>
      <w:r w:rsidR="00FB4C5B">
        <w:t xml:space="preserve"> in 2011</w:t>
      </w:r>
      <w:r w:rsidR="00C61CA7">
        <w:t xml:space="preserve"> to stay or switch</w:t>
      </w:r>
      <w:r w:rsidR="00EC1D83">
        <w:t xml:space="preserve"> </w:t>
      </w:r>
      <w:r w:rsidR="00C61CA7">
        <w:t>from the provider used in 2010.</w:t>
      </w:r>
      <w:r w:rsidR="001F74B2">
        <w:t xml:space="preserve"> </w:t>
      </w:r>
      <w:r w:rsidR="001B456B">
        <w:t xml:space="preserve">This </w:t>
      </w:r>
      <w:r w:rsidR="00C61CA7">
        <w:t>depend</w:t>
      </w:r>
      <w:r w:rsidR="001B456B">
        <w:t xml:space="preserve">s </w:t>
      </w:r>
      <w:r w:rsidR="00C61CA7">
        <w:t xml:space="preserve">on </w:t>
      </w:r>
      <w:r w:rsidR="00A10BF8">
        <w:t xml:space="preserve">the satisfaction </w:t>
      </w:r>
      <w:r w:rsidR="00C61CA7">
        <w:t xml:space="preserve">for the 2 services in 2010 </w:t>
      </w:r>
      <w:r w:rsidR="00A10BF8">
        <w:t xml:space="preserve">and </w:t>
      </w:r>
      <w:r w:rsidR="00C61CA7">
        <w:t xml:space="preserve">the </w:t>
      </w:r>
      <w:r w:rsidR="00A10BF8">
        <w:t>customer</w:t>
      </w:r>
      <w:r w:rsidR="00C61CA7">
        <w:t>’s</w:t>
      </w:r>
      <w:r w:rsidR="00A10BF8">
        <w:t xml:space="preserve"> </w:t>
      </w:r>
      <w:r w:rsidR="007C5BA3">
        <w:t>other characteristics</w:t>
      </w:r>
      <w:r w:rsidR="002655F1">
        <w:t xml:space="preserve">. </w:t>
      </w:r>
      <w:r w:rsidR="007C5BA3">
        <w:t>We</w:t>
      </w:r>
      <w:r w:rsidR="002655F1">
        <w:t xml:space="preserve"> </w:t>
      </w:r>
      <w:r w:rsidR="00A10BF8">
        <w:t xml:space="preserve">allow for spillovers of satisfaction from </w:t>
      </w:r>
      <w:r w:rsidR="00504B85">
        <w:t>the banking</w:t>
      </w:r>
      <w:r w:rsidR="00A10BF8">
        <w:t xml:space="preserve"> category to </w:t>
      </w:r>
      <w:r w:rsidR="00504B85">
        <w:t xml:space="preserve">the investment service </w:t>
      </w:r>
      <w:r w:rsidR="00E05F71">
        <w:t>and vice versa. Further,</w:t>
      </w:r>
      <w:r w:rsidR="00A10BF8">
        <w:t xml:space="preserve"> </w:t>
      </w:r>
      <w:r w:rsidR="002655F1">
        <w:t xml:space="preserve">if the respondent uses the same provider in both categories, we incorporate this as an </w:t>
      </w:r>
      <w:r w:rsidR="00A10BF8" w:rsidRPr="00E05F71">
        <w:rPr>
          <w:i/>
        </w:rPr>
        <w:t>incremental</w:t>
      </w:r>
      <w:r w:rsidR="00A10BF8">
        <w:t xml:space="preserve"> source of spillover</w:t>
      </w:r>
      <w:r w:rsidR="002655F1">
        <w:t xml:space="preserve"> across categories. </w:t>
      </w:r>
      <w:r w:rsidR="00423C76">
        <w:t>F</w:t>
      </w:r>
      <w:r w:rsidR="007E11CF">
        <w:t>or a</w:t>
      </w:r>
      <w:r w:rsidR="007947E1">
        <w:t xml:space="preserve"> subset of respondents in our survey, </w:t>
      </w:r>
      <w:r w:rsidR="007E11CF">
        <w:t>we have information on switching cost-related factors as well as the</w:t>
      </w:r>
      <w:r w:rsidR="007947E1">
        <w:t xml:space="preserve"> order of acquisition of the services</w:t>
      </w:r>
      <w:r w:rsidR="007E11CF">
        <w:t>.</w:t>
      </w:r>
      <w:r w:rsidR="00423C76">
        <w:t xml:space="preserve"> In addition, we have information on respondents’ exposure to media.</w:t>
      </w:r>
      <w:r w:rsidR="007E11CF">
        <w:t xml:space="preserve"> As in Li et al</w:t>
      </w:r>
      <w:r w:rsidR="007C5BA3">
        <w:t xml:space="preserve"> (2005)</w:t>
      </w:r>
      <w:r w:rsidR="007E11CF">
        <w:t xml:space="preserve">, we look at the influence of these </w:t>
      </w:r>
      <w:r w:rsidR="00423C76">
        <w:t xml:space="preserve">three </w:t>
      </w:r>
      <w:r w:rsidR="007E11CF">
        <w:t>factors</w:t>
      </w:r>
      <w:r w:rsidR="007947E1">
        <w:t xml:space="preserve"> on the </w:t>
      </w:r>
      <w:r w:rsidR="001F2C2A">
        <w:t xml:space="preserve">retention </w:t>
      </w:r>
      <w:r w:rsidR="003135FD">
        <w:t xml:space="preserve">decision </w:t>
      </w:r>
      <w:r w:rsidR="007947E1">
        <w:t>of respondents</w:t>
      </w:r>
      <w:r w:rsidR="007C5BA3">
        <w:t xml:space="preserve"> as well as </w:t>
      </w:r>
      <w:r w:rsidR="000C37BD">
        <w:t>how</w:t>
      </w:r>
      <w:r w:rsidR="007E11CF">
        <w:t xml:space="preserve"> </w:t>
      </w:r>
      <w:r w:rsidR="00423C76">
        <w:t>these three factors</w:t>
      </w:r>
      <w:r w:rsidR="007947E1">
        <w:t xml:space="preserve"> </w:t>
      </w:r>
      <w:r w:rsidR="000C37BD">
        <w:t xml:space="preserve">interact with </w:t>
      </w:r>
      <w:r w:rsidR="007947E1">
        <w:t>satisfaction</w:t>
      </w:r>
      <w:r w:rsidR="000C37BD">
        <w:t xml:space="preserve"> in </w:t>
      </w:r>
      <w:r w:rsidR="00FB4C5B">
        <w:t xml:space="preserve">describing </w:t>
      </w:r>
      <w:r w:rsidR="001F2C2A">
        <w:t xml:space="preserve">retention </w:t>
      </w:r>
      <w:r w:rsidR="007E11CF">
        <w:t>behavior</w:t>
      </w:r>
      <w:r w:rsidR="007947E1">
        <w:t>.</w:t>
      </w:r>
    </w:p>
    <w:p w14:paraId="6E05DAFA" w14:textId="7D48BAE8" w:rsidR="004B707F" w:rsidRDefault="00624685" w:rsidP="004350A7">
      <w:r>
        <w:t xml:space="preserve">Our </w:t>
      </w:r>
      <w:r w:rsidR="00E93F67">
        <w:t xml:space="preserve">results </w:t>
      </w:r>
      <w:r>
        <w:t>have implications for the service industry, especially for companies that tend to silo their custome</w:t>
      </w:r>
      <w:r w:rsidR="00F1760F">
        <w:t xml:space="preserve">r service activities by </w:t>
      </w:r>
      <w:r>
        <w:t xml:space="preserve">category. </w:t>
      </w:r>
      <w:r w:rsidR="00F1760F">
        <w:t>N</w:t>
      </w:r>
      <w:r>
        <w:t xml:space="preserve">ot integrating information across categories runs the risk of losing a customer who might otherwise be quite satisfied with </w:t>
      </w:r>
      <w:r w:rsidR="00F1760F">
        <w:t>the service. O</w:t>
      </w:r>
      <w:r>
        <w:t xml:space="preserve">ur </w:t>
      </w:r>
      <w:r w:rsidR="000C4824">
        <w:t>descriptive</w:t>
      </w:r>
      <w:r>
        <w:t xml:space="preserve"> analysis </w:t>
      </w:r>
      <w:r w:rsidR="00F1760F">
        <w:t>shows</w:t>
      </w:r>
      <w:r>
        <w:t xml:space="preserve"> that it is necessary to manage customer satisfaction across categories rather than within silos. </w:t>
      </w:r>
      <w:r w:rsidR="007C5BA3">
        <w:t>W</w:t>
      </w:r>
      <w:r>
        <w:t>e compute the change in customer lifetime value that can accrue from improving customer satisfaction and the extent to which cross-category effects contribute to this change. This provides a possible metric of the amount that the firm can invest to enhance the satisfaction of its customers within and across categories.</w:t>
      </w:r>
    </w:p>
    <w:p w14:paraId="5D68052C" w14:textId="57F29350" w:rsidR="00E83BC2" w:rsidRDefault="006C5AEC" w:rsidP="004350A7">
      <w:r>
        <w:t xml:space="preserve"> </w:t>
      </w:r>
      <w:r w:rsidR="001B456B">
        <w:t xml:space="preserve">Our </w:t>
      </w:r>
      <w:r w:rsidR="00FD5870">
        <w:t xml:space="preserve">study builds on and complements the </w:t>
      </w:r>
      <w:r w:rsidR="0021235D">
        <w:t>satisfaction</w:t>
      </w:r>
      <w:r w:rsidR="00FD5870">
        <w:t xml:space="preserve"> literature in </w:t>
      </w:r>
      <w:r w:rsidR="00D03283">
        <w:t xml:space="preserve">several </w:t>
      </w:r>
      <w:r w:rsidR="00FD5870">
        <w:t xml:space="preserve">ways. </w:t>
      </w:r>
      <w:r w:rsidR="00E96829">
        <w:t xml:space="preserve">First, </w:t>
      </w:r>
      <w:r w:rsidR="00E83BC2">
        <w:t xml:space="preserve">we have two distinct services and we quantify the effects of satisfaction in each category on </w:t>
      </w:r>
      <w:r w:rsidR="001F2C2A">
        <w:t xml:space="preserve">retention </w:t>
      </w:r>
      <w:r w:rsidR="00E83BC2">
        <w:t xml:space="preserve">decisions in </w:t>
      </w:r>
      <w:r w:rsidR="000C4824">
        <w:t xml:space="preserve">that and </w:t>
      </w:r>
      <w:r w:rsidR="00E83BC2">
        <w:t>the other category.</w:t>
      </w:r>
      <w:r w:rsidR="00E96829">
        <w:t xml:space="preserve"> Second, </w:t>
      </w:r>
      <w:r w:rsidR="0098468D">
        <w:t xml:space="preserve">our data </w:t>
      </w:r>
      <w:r w:rsidR="00504B85">
        <w:t>is</w:t>
      </w:r>
      <w:r w:rsidR="0098468D">
        <w:t xml:space="preserve"> across firms and categories</w:t>
      </w:r>
      <w:r w:rsidR="00504B85">
        <w:t>; this</w:t>
      </w:r>
      <w:r w:rsidR="0098468D">
        <w:t xml:space="preserve"> enable</w:t>
      </w:r>
      <w:r w:rsidR="001B456B">
        <w:t>s</w:t>
      </w:r>
      <w:r w:rsidR="0098468D">
        <w:t xml:space="preserve"> us to </w:t>
      </w:r>
      <w:r w:rsidR="0021235D">
        <w:t>study</w:t>
      </w:r>
      <w:r w:rsidR="0098468D">
        <w:t xml:space="preserve"> the incremental effects of having the same provider in the two categories. </w:t>
      </w:r>
      <w:r w:rsidR="0021235D">
        <w:t>Third</w:t>
      </w:r>
      <w:r w:rsidR="00E83BC2">
        <w:t xml:space="preserve">, we </w:t>
      </w:r>
      <w:r w:rsidR="0021235D">
        <w:t>look at</w:t>
      </w:r>
      <w:r w:rsidR="00E83BC2">
        <w:t xml:space="preserve"> the economic impact of (dis)satisfaction by looking at the effects on customer lifetime value. </w:t>
      </w:r>
    </w:p>
    <w:p w14:paraId="00608209" w14:textId="69FD8976" w:rsidR="002B537F" w:rsidRPr="002B537F" w:rsidRDefault="002B537F" w:rsidP="002B537F">
      <w:pPr>
        <w:ind w:firstLine="0"/>
        <w:rPr>
          <w:u w:val="single"/>
        </w:rPr>
      </w:pPr>
      <w:r w:rsidRPr="002B537F">
        <w:rPr>
          <w:u w:val="single"/>
        </w:rPr>
        <w:lastRenderedPageBreak/>
        <w:t>Theoretical underpinnings</w:t>
      </w:r>
      <w:r>
        <w:rPr>
          <w:u w:val="single"/>
        </w:rPr>
        <w:t xml:space="preserve">: </w:t>
      </w:r>
      <w:r>
        <w:t xml:space="preserve">When a customer is dissatisfied with his or her bank such a perception could increase the likelihood of staying with the current investment service provider if within the broader category of “financial services”, the customer focuses on the </w:t>
      </w:r>
      <w:r w:rsidRPr="0094384D">
        <w:rPr>
          <w:i/>
        </w:rPr>
        <w:t>contrast between</w:t>
      </w:r>
      <w:r>
        <w:t xml:space="preserve"> the two providers in terms of the service that they provide. Behavioral contrast theory (see e.g., </w:t>
      </w:r>
      <w:proofErr w:type="spellStart"/>
      <w:r>
        <w:t>Crespi</w:t>
      </w:r>
      <w:proofErr w:type="spellEnd"/>
      <w:r>
        <w:t xml:space="preserve"> 1942, </w:t>
      </w:r>
      <w:proofErr w:type="spellStart"/>
      <w:r>
        <w:t>Zeaman</w:t>
      </w:r>
      <w:proofErr w:type="spellEnd"/>
      <w:r>
        <w:t xml:space="preserve"> 1949, </w:t>
      </w:r>
      <w:r w:rsidRPr="0063068B">
        <w:rPr>
          <w:rFonts w:cs="Times New Roman"/>
        </w:rPr>
        <w:t xml:space="preserve">Simpson and </w:t>
      </w:r>
      <w:proofErr w:type="spellStart"/>
      <w:r w:rsidRPr="0063068B">
        <w:rPr>
          <w:rFonts w:cs="Times New Roman"/>
        </w:rPr>
        <w:t>Ostrom</w:t>
      </w:r>
      <w:proofErr w:type="spellEnd"/>
      <w:r w:rsidRPr="0063068B">
        <w:rPr>
          <w:rFonts w:cs="Times New Roman"/>
        </w:rPr>
        <w:t xml:space="preserve"> 1976, </w:t>
      </w:r>
      <w:r>
        <w:t xml:space="preserve">Bower and </w:t>
      </w:r>
      <w:proofErr w:type="spellStart"/>
      <w:r>
        <w:t>Hilgard</w:t>
      </w:r>
      <w:proofErr w:type="spellEnd"/>
      <w:r>
        <w:t xml:space="preserve"> 1980, </w:t>
      </w:r>
      <w:proofErr w:type="spellStart"/>
      <w:r w:rsidRPr="0063068B">
        <w:rPr>
          <w:rFonts w:cs="Times New Roman"/>
        </w:rPr>
        <w:t>Kenrick</w:t>
      </w:r>
      <w:proofErr w:type="spellEnd"/>
      <w:r w:rsidRPr="0063068B">
        <w:rPr>
          <w:rFonts w:cs="Times New Roman"/>
        </w:rPr>
        <w:t xml:space="preserve"> &amp; </w:t>
      </w:r>
      <w:proofErr w:type="spellStart"/>
      <w:r w:rsidRPr="0063068B">
        <w:rPr>
          <w:rFonts w:cs="Times New Roman"/>
        </w:rPr>
        <w:t>Gutierres</w:t>
      </w:r>
      <w:proofErr w:type="spellEnd"/>
      <w:r w:rsidRPr="0063068B">
        <w:rPr>
          <w:rFonts w:cs="Times New Roman"/>
        </w:rPr>
        <w:t xml:space="preserve"> 1980, </w:t>
      </w:r>
      <w:proofErr w:type="spellStart"/>
      <w:r w:rsidRPr="0063068B">
        <w:rPr>
          <w:rFonts w:cs="Times New Roman"/>
        </w:rPr>
        <w:t>Kenrick</w:t>
      </w:r>
      <w:proofErr w:type="spellEnd"/>
      <w:r w:rsidRPr="0063068B">
        <w:rPr>
          <w:rFonts w:cs="Times New Roman"/>
        </w:rPr>
        <w:t xml:space="preserve"> et al., 1989</w:t>
      </w:r>
      <w:r>
        <w:rPr>
          <w:rFonts w:cs="Times New Roman"/>
        </w:rPr>
        <w:t>,</w:t>
      </w:r>
      <w:r w:rsidRPr="00D30135">
        <w:t xml:space="preserve"> </w:t>
      </w:r>
      <w:r>
        <w:t>Flaherty 1996</w:t>
      </w:r>
      <w:r>
        <w:rPr>
          <w:rFonts w:cs="Times New Roman"/>
        </w:rPr>
        <w:t xml:space="preserve">) </w:t>
      </w:r>
      <w:r>
        <w:t xml:space="preserve">refers to a change in the strength of one </w:t>
      </w:r>
      <w:hyperlink r:id="rId8" w:tooltip="Stimulus (psychology)" w:history="1">
        <w:r w:rsidRPr="008D4754">
          <w:rPr>
            <w:rStyle w:val="Hyperlink"/>
            <w:color w:val="auto"/>
            <w:u w:val="none"/>
          </w:rPr>
          <w:t>response</w:t>
        </w:r>
      </w:hyperlink>
      <w:r w:rsidRPr="008D4754">
        <w:t xml:space="preserve"> </w:t>
      </w:r>
      <w:r>
        <w:t xml:space="preserve">that occurs when the rate of </w:t>
      </w:r>
      <w:hyperlink r:id="rId9" w:tooltip="Reward system" w:history="1">
        <w:r w:rsidRPr="008D4754">
          <w:rPr>
            <w:rStyle w:val="Hyperlink"/>
            <w:color w:val="auto"/>
            <w:u w:val="none"/>
          </w:rPr>
          <w:t>reward</w:t>
        </w:r>
      </w:hyperlink>
      <w:r w:rsidRPr="008D4754">
        <w:t xml:space="preserve"> </w:t>
      </w:r>
      <w:r>
        <w:t>of a second response is changed; in our context dissatisfaction (satisfaction) with one category results in increasing retention (defection) in the other category.</w:t>
      </w:r>
      <w:r>
        <w:rPr>
          <w:rStyle w:val="FootnoteReference"/>
        </w:rPr>
        <w:footnoteReference w:id="3"/>
      </w:r>
      <w:r>
        <w:rPr>
          <w:rFonts w:cs="Times New Roman"/>
        </w:rPr>
        <w:t xml:space="preserve"> </w:t>
      </w:r>
      <w:r>
        <w:t xml:space="preserve">Satisfaction with the firm providing the banking service could also increase the </w:t>
      </w:r>
      <w:r w:rsidR="003F1B38">
        <w:t xml:space="preserve">retention </w:t>
      </w:r>
      <w:r>
        <w:t xml:space="preserve">probability for the (different) firm providing the investment service if within the broader category of “financial services” the customer </w:t>
      </w:r>
      <w:r w:rsidRPr="0094384D">
        <w:rPr>
          <w:i/>
        </w:rPr>
        <w:t>learns that all providers share</w:t>
      </w:r>
      <w:r>
        <w:t xml:space="preserve"> the feature of providing satisfying service (see for example, </w:t>
      </w:r>
      <w:proofErr w:type="spellStart"/>
      <w:r>
        <w:t>Markman</w:t>
      </w:r>
      <w:proofErr w:type="spellEnd"/>
      <w:r>
        <w:t xml:space="preserve"> and Ross 2003, Chin-Parker and Ross 2002). Such learning could also lead to lower retention of the investment service provider when there is dissatisfaction with the banking provider. The net effect of the contrast effect and the learning effect is what we seek to quantify when the customer receives services from different providers. </w:t>
      </w:r>
    </w:p>
    <w:p w14:paraId="156C8CC1" w14:textId="22F4222C" w:rsidR="002B537F" w:rsidRDefault="002B537F" w:rsidP="002B537F">
      <w:r>
        <w:t xml:space="preserve">What happens when the customer gets both services from the same company? In this case, the contrast effect no longer applies and only the learning effect remains. So </w:t>
      </w:r>
      <w:r w:rsidR="00965A5C">
        <w:t>(dis)</w:t>
      </w:r>
      <w:r>
        <w:t>satisfaction</w:t>
      </w:r>
      <w:r w:rsidR="00965A5C">
        <w:t xml:space="preserve"> </w:t>
      </w:r>
      <w:r>
        <w:t xml:space="preserve">in one category will lead to retention </w:t>
      </w:r>
      <w:r w:rsidR="00965A5C">
        <w:t xml:space="preserve">/ </w:t>
      </w:r>
      <w:r>
        <w:t>defection in the other category. A similar outcome when dealing with a single firm across categories can also be due to the halo effect (Beckwith and Lehmann 1975). Therefore</w:t>
      </w:r>
      <w:r w:rsidRPr="00504B85">
        <w:t xml:space="preserve">, </w:t>
      </w:r>
      <w:r w:rsidR="00965A5C" w:rsidRPr="00504B85">
        <w:t xml:space="preserve">while we do not formally test these theories or make causal claims for the effects of satisfaction, </w:t>
      </w:r>
      <w:r w:rsidRPr="00504B85">
        <w:t>the theoretical bases for the cross-category effects are grounded in behavioral contrast and learning</w:t>
      </w:r>
      <w:r w:rsidR="00965A5C" w:rsidRPr="00504B85">
        <w:t xml:space="preserve"> theories</w:t>
      </w:r>
      <w:r w:rsidRPr="00504B85">
        <w:t>.</w:t>
      </w:r>
      <w:r w:rsidR="00965A5C">
        <w:t xml:space="preserve"> </w:t>
      </w:r>
    </w:p>
    <w:p w14:paraId="7054002A" w14:textId="619735BB" w:rsidR="006530B5" w:rsidRPr="006530B5" w:rsidRDefault="006530B5" w:rsidP="006530B5">
      <w:pPr>
        <w:ind w:firstLine="0"/>
        <w:jc w:val="center"/>
        <w:rPr>
          <w:sz w:val="28"/>
          <w:szCs w:val="28"/>
        </w:rPr>
      </w:pPr>
      <w:r w:rsidRPr="006530B5">
        <w:rPr>
          <w:sz w:val="28"/>
          <w:szCs w:val="28"/>
        </w:rPr>
        <w:t>Data description</w:t>
      </w:r>
    </w:p>
    <w:p w14:paraId="0DA2C3D3" w14:textId="081B0146" w:rsidR="00373C81" w:rsidRDefault="00373C81" w:rsidP="00EC0414">
      <w:r>
        <w:t xml:space="preserve">The data in our analysis are from </w:t>
      </w:r>
      <w:r w:rsidR="001B456B">
        <w:t>surveys</w:t>
      </w:r>
      <w:r>
        <w:t xml:space="preserve"> conducted by Forrester Research Inc.</w:t>
      </w:r>
      <w:r w:rsidR="006D0546">
        <w:t xml:space="preserve"> in 2010 and 2011. </w:t>
      </w:r>
      <w:r>
        <w:t>In</w:t>
      </w:r>
      <w:r w:rsidR="006D0546">
        <w:t xml:space="preserve"> each year, </w:t>
      </w:r>
      <w:r>
        <w:t xml:space="preserve">respondents are asked to rate their experiences with multiple service providers across various </w:t>
      </w:r>
      <w:r>
        <w:lastRenderedPageBreak/>
        <w:t>categories.</w:t>
      </w:r>
      <w:r w:rsidR="003F1B38">
        <w:t xml:space="preserve"> In </w:t>
      </w:r>
      <w:r w:rsidR="00504B85">
        <w:t>our</w:t>
      </w:r>
      <w:r w:rsidR="003F1B38">
        <w:t xml:space="preserve"> analysis, </w:t>
      </w:r>
      <w:r w:rsidR="00504B85">
        <w:t>we only use</w:t>
      </w:r>
      <w:r w:rsidR="003F1B38">
        <w:t xml:space="preserve"> information </w:t>
      </w:r>
      <w:r w:rsidR="00504B85">
        <w:t>on</w:t>
      </w:r>
      <w:r w:rsidR="003F1B38">
        <w:t xml:space="preserve"> banking and investment services. In each of these two categories, </w:t>
      </w:r>
      <w:r w:rsidR="00180799">
        <w:t>respondents report the</w:t>
      </w:r>
      <w:r w:rsidR="003F1B38">
        <w:t xml:space="preserve"> primary banking and investment companies. Each respondent reports two companies, one in each category</w:t>
      </w:r>
      <w:r w:rsidR="001C630A">
        <w:t>. Among them, s</w:t>
      </w:r>
      <w:r w:rsidR="003F1B38">
        <w:t xml:space="preserve">ome respondents use the same company for both services. </w:t>
      </w:r>
      <w:r w:rsidR="001C630A">
        <w:t>T</w:t>
      </w:r>
      <w:r w:rsidR="00180799">
        <w:t>he respondents</w:t>
      </w:r>
      <w:r w:rsidR="001C630A">
        <w:t xml:space="preserve"> </w:t>
      </w:r>
      <w:r w:rsidR="003F1B38">
        <w:t xml:space="preserve">also report their </w:t>
      </w:r>
      <w:r w:rsidR="00180799">
        <w:t>satisfaction levels</w:t>
      </w:r>
      <w:r w:rsidR="003F1B38">
        <w:t xml:space="preserve"> with the </w:t>
      </w:r>
      <w:r w:rsidR="00180799">
        <w:t xml:space="preserve">primary </w:t>
      </w:r>
      <w:r w:rsidR="003F1B38">
        <w:t>compan</w:t>
      </w:r>
      <w:r w:rsidR="00180799">
        <w:t>y for each service</w:t>
      </w:r>
      <w:r w:rsidR="003F1B38">
        <w:t>.</w:t>
      </w:r>
      <w:r w:rsidR="00180799" w:rsidRPr="00180799">
        <w:rPr>
          <w:rStyle w:val="FootnoteReference"/>
        </w:rPr>
        <w:t xml:space="preserve"> </w:t>
      </w:r>
      <w:r w:rsidR="00180799">
        <w:rPr>
          <w:rStyle w:val="FootnoteReference"/>
        </w:rPr>
        <w:footnoteReference w:id="4"/>
      </w:r>
      <w:r>
        <w:t xml:space="preserve"> </w:t>
      </w:r>
      <w:r w:rsidR="00461835">
        <w:t>The survey also collects information on s</w:t>
      </w:r>
      <w:r>
        <w:t xml:space="preserve">ome demographic </w:t>
      </w:r>
      <w:r w:rsidR="00461835">
        <w:t xml:space="preserve">variables and consumer characteristics of each </w:t>
      </w:r>
      <w:r w:rsidR="00E147B8">
        <w:t>respondent</w:t>
      </w:r>
      <w:r w:rsidR="00461835">
        <w:t>.</w:t>
      </w:r>
      <w:r w:rsidR="006D0546">
        <w:t xml:space="preserve"> To obtain the actual switching behavior from the survey data in these two years, we compare the primary banking and investment companies </w:t>
      </w:r>
      <w:r w:rsidR="00D13D8D">
        <w:t xml:space="preserve">reported </w:t>
      </w:r>
      <w:r w:rsidR="006D0546">
        <w:t xml:space="preserve">by each respondent. </w:t>
      </w:r>
      <w:r w:rsidR="008E48C7">
        <w:t>There are 9</w:t>
      </w:r>
      <w:r>
        <w:t xml:space="preserve"> companies</w:t>
      </w:r>
      <w:r w:rsidR="00255FE3">
        <w:t xml:space="preserve"> that offer both services to these respondents</w:t>
      </w:r>
      <w:r>
        <w:t xml:space="preserve">: Bank of America, </w:t>
      </w:r>
      <w:r w:rsidR="008E48C7">
        <w:t>Chase, Citi Bank, Charles Schwab, ING, TD Bank, US Bank, USAA and Wells Fargo</w:t>
      </w:r>
      <w:r>
        <w:t>.</w:t>
      </w:r>
      <w:r w:rsidR="00103A23">
        <w:t xml:space="preserve"> </w:t>
      </w:r>
    </w:p>
    <w:p w14:paraId="6A2DC7C1" w14:textId="32949EBB" w:rsidR="00255606" w:rsidRDefault="0045576B" w:rsidP="00D13D8D">
      <w:r>
        <w:t xml:space="preserve">We have 441 customers in the data for estimation. Among them, 66% stayed with </w:t>
      </w:r>
      <w:r w:rsidR="00655E83">
        <w:t>the same</w:t>
      </w:r>
      <w:r>
        <w:t xml:space="preserve"> bank </w:t>
      </w:r>
      <w:r w:rsidR="003F1B38">
        <w:t xml:space="preserve">as their primary banking service provider </w:t>
      </w:r>
      <w:r w:rsidR="00D13D8D">
        <w:t>from</w:t>
      </w:r>
      <w:r>
        <w:t xml:space="preserve"> 2010, while only 43% stayed with the same investment company. </w:t>
      </w:r>
      <w:r w:rsidR="00FC6D7F">
        <w:t xml:space="preserve">In the </w:t>
      </w:r>
      <w:r w:rsidR="00A04120">
        <w:t xml:space="preserve">2010 </w:t>
      </w:r>
      <w:r w:rsidR="00FC6D7F">
        <w:t xml:space="preserve">survey, each respondent is asked a question regarding </w:t>
      </w:r>
      <w:r w:rsidR="00A04120">
        <w:t>the</w:t>
      </w:r>
      <w:r w:rsidR="009772C6">
        <w:t xml:space="preserve"> satisfaction</w:t>
      </w:r>
      <w:r w:rsidR="005F0708">
        <w:t xml:space="preserve"> level</w:t>
      </w:r>
      <w:r w:rsidR="00D13D8D">
        <w:t xml:space="preserve"> with each service</w:t>
      </w:r>
      <w:r w:rsidR="003F1B38">
        <w:t xml:space="preserve"> provided by the primary provider</w:t>
      </w:r>
      <w:r w:rsidR="00D13D8D">
        <w:t xml:space="preserve">. </w:t>
      </w:r>
      <w:r w:rsidR="00135BC2">
        <w:t xml:space="preserve">A </w:t>
      </w:r>
      <w:r w:rsidR="00241A27">
        <w:t>possible</w:t>
      </w:r>
      <w:r w:rsidR="00135BC2">
        <w:t xml:space="preserve"> concer</w:t>
      </w:r>
      <w:r w:rsidR="005C5266">
        <w:t>n with variables of this nature</w:t>
      </w:r>
      <w:r w:rsidR="00135BC2">
        <w:t xml:space="preserve"> is that unobservable characteristics that drive </w:t>
      </w:r>
      <w:r w:rsidR="00D13D8D">
        <w:t xml:space="preserve">behavior </w:t>
      </w:r>
      <w:r w:rsidR="00135BC2">
        <w:t xml:space="preserve">could also be correlated with the drivers we include. </w:t>
      </w:r>
      <w:r w:rsidR="00A04120">
        <w:t xml:space="preserve">As our data is cross-sectional, </w:t>
      </w:r>
      <w:r w:rsidR="00504B85">
        <w:t>we can only</w:t>
      </w:r>
      <w:r w:rsidR="00A04120">
        <w:t xml:space="preserve"> account for </w:t>
      </w:r>
      <w:r w:rsidR="00241A27">
        <w:t xml:space="preserve">observable </w:t>
      </w:r>
      <w:r w:rsidR="00B06531">
        <w:t xml:space="preserve">and </w:t>
      </w:r>
      <w:r w:rsidR="00504B85">
        <w:t>some</w:t>
      </w:r>
      <w:r w:rsidR="00B06531">
        <w:t xml:space="preserve"> unobserved heterogeneity</w:t>
      </w:r>
      <w:r w:rsidR="00241A27">
        <w:t xml:space="preserve">. </w:t>
      </w:r>
    </w:p>
    <w:p w14:paraId="7EF8F0CE" w14:textId="23653CE0" w:rsidR="00CC5103" w:rsidRDefault="002C2123" w:rsidP="00D13D8D">
      <w:r>
        <w:t xml:space="preserve">Besides satisfaction and demographic information, the survey also </w:t>
      </w:r>
      <w:r w:rsidR="009106AC">
        <w:t>record</w:t>
      </w:r>
      <w:r w:rsidR="00CD1155">
        <w:t>s</w:t>
      </w:r>
      <w:r w:rsidR="009106AC">
        <w:t xml:space="preserve"> </w:t>
      </w:r>
      <w:r w:rsidR="00FB3762">
        <w:t>other aspects of</w:t>
      </w:r>
      <w:r w:rsidR="009106AC">
        <w:t xml:space="preserve"> respondents’ behaviors</w:t>
      </w:r>
      <w:r w:rsidR="00CC5103">
        <w:t xml:space="preserve">, four </w:t>
      </w:r>
      <w:r w:rsidR="00FB3762">
        <w:t xml:space="preserve">of which </w:t>
      </w:r>
      <w:r w:rsidR="00CC5103">
        <w:t xml:space="preserve">are included in </w:t>
      </w:r>
      <w:r w:rsidR="00FB3762">
        <w:t>our analysis</w:t>
      </w:r>
      <w:r w:rsidR="00CC5103">
        <w:t>.</w:t>
      </w:r>
      <w:r w:rsidR="00243BAF">
        <w:t xml:space="preserve"> </w:t>
      </w:r>
      <w:r w:rsidR="00B06531">
        <w:t>E</w:t>
      </w:r>
      <w:r w:rsidR="00E845D2">
        <w:t xml:space="preserve">ach respondent reported the </w:t>
      </w:r>
      <w:r w:rsidR="00C066A9">
        <w:t>number of banking (</w:t>
      </w:r>
      <w:r w:rsidR="00E845D2">
        <w:t xml:space="preserve">checking, savings etc.), </w:t>
      </w:r>
      <w:r w:rsidR="00C066A9">
        <w:t xml:space="preserve">and the </w:t>
      </w:r>
      <w:r w:rsidR="00E845D2">
        <w:t>number of investment accounts (</w:t>
      </w:r>
      <w:r w:rsidR="00C066A9">
        <w:t>401K, investments, etc.</w:t>
      </w:r>
      <w:r w:rsidR="00E845D2">
        <w:t>) held</w:t>
      </w:r>
      <w:r w:rsidR="00B06531">
        <w:t>; p</w:t>
      </w:r>
      <w:r w:rsidR="00E845D2">
        <w:t>eople with more banking (investment) accounts may have better knowledge about these services (</w:t>
      </w:r>
      <w:r w:rsidR="00AC2D87">
        <w:t>MORE_ACC</w:t>
      </w:r>
      <w:r w:rsidR="00E845D2">
        <w:t>).</w:t>
      </w:r>
      <w:r w:rsidR="00243BAF">
        <w:t xml:space="preserve"> Second,</w:t>
      </w:r>
      <w:r w:rsidR="00CF220E">
        <w:t xml:space="preserve"> </w:t>
      </w:r>
      <w:r w:rsidR="00BF561C">
        <w:t xml:space="preserve">each respondent reported the number of hours spent reading newspapers / magazines and watching TV online and offline in each week. The differences in time spent between the two years’ within respondent reflect the incremental exposure to these media, and potentially, to advertising </w:t>
      </w:r>
      <w:r w:rsidR="00BF561C">
        <w:lastRenderedPageBreak/>
        <w:t xml:space="preserve">and other media coverage; we refer to these activities as </w:t>
      </w:r>
      <w:r w:rsidR="00AC2D87">
        <w:t xml:space="preserve">media exposure </w:t>
      </w:r>
      <w:r w:rsidR="00BF561C">
        <w:t>(</w:t>
      </w:r>
      <w:r w:rsidR="00AC2D87">
        <w:t>MEDIA</w:t>
      </w:r>
      <w:r w:rsidR="00BF561C">
        <w:t xml:space="preserve">). Third, </w:t>
      </w:r>
      <w:r w:rsidR="00E845D2">
        <w:t>each respondent reported the total amount of money they have with each firm; the larger the amount of money held, bigger is likely to be the switching cost vis-a-vis that firm</w:t>
      </w:r>
      <w:r w:rsidR="004337BC">
        <w:t>.</w:t>
      </w:r>
      <w:r w:rsidR="00E040BC">
        <w:t xml:space="preserve"> </w:t>
      </w:r>
      <w:r w:rsidR="00D2711F">
        <w:t xml:space="preserve">Since the </w:t>
      </w:r>
      <w:r w:rsidR="00E040BC">
        <w:t xml:space="preserve">amount of money in each category could be </w:t>
      </w:r>
      <w:r w:rsidR="00D2711F">
        <w:t xml:space="preserve">endogenous to the satisfaction levels, </w:t>
      </w:r>
      <w:r w:rsidR="00E040BC">
        <w:t xml:space="preserve">we try to minimize its influence by using a dummy variable, </w:t>
      </w:r>
      <w:r w:rsidR="00A156C8">
        <w:t>indicating whether the to</w:t>
      </w:r>
      <w:r w:rsidR="005A45F1">
        <w:t xml:space="preserve">tal amount of money </w:t>
      </w:r>
      <w:r w:rsidR="00D2711F">
        <w:t>exceeds</w:t>
      </w:r>
      <w:r w:rsidR="005A45F1">
        <w:t xml:space="preserve"> $1M</w:t>
      </w:r>
      <w:r w:rsidR="00A156C8">
        <w:t xml:space="preserve"> </w:t>
      </w:r>
      <w:r w:rsidR="00E845D2">
        <w:t>(</w:t>
      </w:r>
      <w:r w:rsidR="00A156C8">
        <w:t>CATG_GT1M</w:t>
      </w:r>
      <w:r w:rsidR="00E845D2">
        <w:t xml:space="preserve">). </w:t>
      </w:r>
      <w:r w:rsidR="00601504">
        <w:t>Fina</w:t>
      </w:r>
      <w:r w:rsidR="00BF561C">
        <w:t>lly</w:t>
      </w:r>
      <w:r w:rsidR="00243BAF">
        <w:t xml:space="preserve">, </w:t>
      </w:r>
      <w:r w:rsidR="00E845D2">
        <w:t>for a subset of respondents, we can infer with which service (banking or investment) they initiated their relationship with each company</w:t>
      </w:r>
      <w:r w:rsidR="00B06531">
        <w:t xml:space="preserve"> </w:t>
      </w:r>
      <w:r w:rsidR="00E845D2">
        <w:t>(FIRST</w:t>
      </w:r>
      <w:r w:rsidR="00A156C8">
        <w:t>_</w:t>
      </w:r>
      <w:r w:rsidR="00E845D2">
        <w:t xml:space="preserve">CATG). </w:t>
      </w:r>
      <w:r w:rsidR="00857AA4">
        <w:t xml:space="preserve">This variable is created based on the following </w:t>
      </w:r>
      <w:r w:rsidR="002532A8">
        <w:t>two pieces of</w:t>
      </w:r>
      <w:r w:rsidR="00857AA4">
        <w:t xml:space="preserve"> information. First, all our </w:t>
      </w:r>
      <w:r w:rsidR="00D2711F">
        <w:t>respondents have</w:t>
      </w:r>
      <w:r w:rsidR="00857AA4">
        <w:t xml:space="preserve"> banking and investment accounts. Second, a subset of them answered the question “which account did you open in the past 12 months?” Among the respondents who answered this question, if only a banking </w:t>
      </w:r>
      <w:r w:rsidR="00D2711F">
        <w:t xml:space="preserve">(investment) </w:t>
      </w:r>
      <w:r w:rsidR="00857AA4">
        <w:t>account was opened in the past month, FIRST_CAT</w:t>
      </w:r>
      <w:r w:rsidR="00D2711F">
        <w:t>G</w:t>
      </w:r>
      <w:r w:rsidR="00857AA4">
        <w:t xml:space="preserve"> for investment </w:t>
      </w:r>
      <w:r w:rsidR="00D2711F">
        <w:t xml:space="preserve">(banking) </w:t>
      </w:r>
      <w:r w:rsidR="00857AA4">
        <w:t>is set to 1</w:t>
      </w:r>
      <w:r w:rsidR="00D2711F">
        <w:t>; else it is set to 0</w:t>
      </w:r>
      <w:r w:rsidR="00857AA4">
        <w:t xml:space="preserve">. </w:t>
      </w:r>
    </w:p>
    <w:p w14:paraId="033F1977" w14:textId="525DB80D" w:rsidR="003B7C23" w:rsidRDefault="003773DD" w:rsidP="00E41F27">
      <w:r>
        <w:t>Table 1</w:t>
      </w:r>
      <w:r w:rsidR="00822F1F">
        <w:t xml:space="preserve"> </w:t>
      </w:r>
      <w:r w:rsidR="005F0708">
        <w:t>lists the distribution of the three satisfaction levels</w:t>
      </w:r>
      <w:r w:rsidR="00C542F3">
        <w:rPr>
          <w:rStyle w:val="FootnoteReference"/>
        </w:rPr>
        <w:footnoteReference w:id="5"/>
      </w:r>
      <w:r w:rsidR="00E41F27">
        <w:t xml:space="preserve">: </w:t>
      </w:r>
      <w:r w:rsidR="005F0708">
        <w:t>low satisfaction,</w:t>
      </w:r>
      <w:r w:rsidR="005E1791">
        <w:t xml:space="preserve"> which could have a negative effect on the dependent measure; </w:t>
      </w:r>
      <w:r w:rsidR="005F0708">
        <w:t>high satisfaction</w:t>
      </w:r>
      <w:r w:rsidR="00180B8E">
        <w:t>,</w:t>
      </w:r>
      <w:r w:rsidR="00607D14">
        <w:t xml:space="preserve"> which</w:t>
      </w:r>
      <w:r w:rsidR="00D2003E">
        <w:t xml:space="preserve"> could have a </w:t>
      </w:r>
      <w:r w:rsidR="00255606">
        <w:t xml:space="preserve">positive </w:t>
      </w:r>
      <w:r w:rsidR="00607D14">
        <w:t>effect on the dependent measure</w:t>
      </w:r>
      <w:r w:rsidR="00D2003E">
        <w:t xml:space="preserve">; and </w:t>
      </w:r>
      <w:r w:rsidR="00180B8E">
        <w:t>neutral (</w:t>
      </w:r>
      <w:r w:rsidR="00607D14">
        <w:t>neither high nor low</w:t>
      </w:r>
      <w:r w:rsidR="00180B8E">
        <w:t>)</w:t>
      </w:r>
      <w:r w:rsidR="005E1791">
        <w:t xml:space="preserve"> satisfaction</w:t>
      </w:r>
      <w:r w:rsidR="00180B8E">
        <w:t>,</w:t>
      </w:r>
      <w:r w:rsidR="00607D14">
        <w:t xml:space="preserve"> which </w:t>
      </w:r>
      <w:r w:rsidR="00E41F27">
        <w:t xml:space="preserve">could </w:t>
      </w:r>
      <w:r w:rsidR="00607D14">
        <w:t xml:space="preserve">have </w:t>
      </w:r>
      <w:r w:rsidR="00D2003E">
        <w:t xml:space="preserve">no </w:t>
      </w:r>
      <w:r w:rsidR="00607D14">
        <w:t>effect on the dependent measure</w:t>
      </w:r>
      <w:r w:rsidR="00C632F2">
        <w:t>.</w:t>
      </w:r>
      <w:r w:rsidR="00255606">
        <w:t xml:space="preserve"> We estimate the relative effects of the negatives and positives vis-à-vis the neutral.</w:t>
      </w:r>
      <w:r w:rsidR="0015040D">
        <w:t xml:space="preserve"> </w:t>
      </w:r>
      <w:r w:rsidR="000D45D6">
        <w:t>We provide descriptive statistics for the</w:t>
      </w:r>
      <w:r w:rsidR="00180B8E">
        <w:t xml:space="preserve"> demographic</w:t>
      </w:r>
      <w:r w:rsidR="003C5A63">
        <w:t xml:space="preserve"> and </w:t>
      </w:r>
      <w:r w:rsidR="007634FA">
        <w:t>other</w:t>
      </w:r>
      <w:r w:rsidR="000D45D6">
        <w:t xml:space="preserve"> variables in</w:t>
      </w:r>
      <w:r w:rsidR="00656ED7">
        <w:t xml:space="preserve"> </w:t>
      </w:r>
      <w:r w:rsidR="00A94099">
        <w:t>Table 2</w:t>
      </w:r>
      <w:r w:rsidR="00E41F27">
        <w:t>.</w:t>
      </w:r>
      <w:r w:rsidR="00C4233A">
        <w:rPr>
          <w:rStyle w:val="FootnoteReference"/>
        </w:rPr>
        <w:footnoteReference w:id="6"/>
      </w:r>
    </w:p>
    <w:p w14:paraId="711F4A5F" w14:textId="4664BE68" w:rsidR="00397179" w:rsidRDefault="00F4079E" w:rsidP="00F15D1D">
      <w:r>
        <w:t xml:space="preserve">A key feature of the data is that </w:t>
      </w:r>
      <w:r w:rsidR="0072477B">
        <w:t xml:space="preserve">respondents </w:t>
      </w:r>
      <w:r w:rsidR="001D6547">
        <w:t>self-select</w:t>
      </w:r>
      <w:r w:rsidR="0072477B">
        <w:t xml:space="preserve"> into having </w:t>
      </w:r>
      <w:r>
        <w:t xml:space="preserve">1 </w:t>
      </w:r>
      <w:r w:rsidR="0072477B">
        <w:t xml:space="preserve">or </w:t>
      </w:r>
      <w:r>
        <w:t xml:space="preserve">2 </w:t>
      </w:r>
      <w:r w:rsidR="0072477B">
        <w:t xml:space="preserve">providers across the </w:t>
      </w:r>
      <w:r w:rsidR="00D2711F">
        <w:t xml:space="preserve">2 </w:t>
      </w:r>
      <w:r w:rsidR="0072477B">
        <w:t>categories</w:t>
      </w:r>
      <w:r>
        <w:t xml:space="preserve">. </w:t>
      </w:r>
      <w:r w:rsidR="00D2711F">
        <w:t>We</w:t>
      </w:r>
      <w:r w:rsidR="0072477B">
        <w:t xml:space="preserve"> need</w:t>
      </w:r>
      <w:r>
        <w:t xml:space="preserve"> to account for such selection </w:t>
      </w:r>
      <w:r w:rsidR="001125D2">
        <w:t xml:space="preserve">(Heckman 1979) </w:t>
      </w:r>
      <w:r>
        <w:t>and empirically we need</w:t>
      </w:r>
      <w:r w:rsidR="0072477B">
        <w:t xml:space="preserve"> information on variables that influence selection but are uncorrelated with our </w:t>
      </w:r>
      <w:r w:rsidR="00B24EC7">
        <w:t>dependent variables of interest; i.e.</w:t>
      </w:r>
      <w:r w:rsidR="001D6547">
        <w:t xml:space="preserve">, we need </w:t>
      </w:r>
      <w:r w:rsidR="001D6547" w:rsidRPr="001D261D">
        <w:rPr>
          <w:i/>
        </w:rPr>
        <w:t>exclusion variables</w:t>
      </w:r>
      <w:r w:rsidR="001D6547">
        <w:t xml:space="preserve">. A </w:t>
      </w:r>
      <w:r w:rsidR="00EB4B78">
        <w:t>B</w:t>
      </w:r>
      <w:r w:rsidR="001D6547">
        <w:t xml:space="preserve">inary </w:t>
      </w:r>
      <w:proofErr w:type="spellStart"/>
      <w:r w:rsidR="00EB4B78">
        <w:t>Probit</w:t>
      </w:r>
      <w:proofErr w:type="spellEnd"/>
      <w:r w:rsidR="001D6547">
        <w:t xml:space="preserve"> model of the choice of same or different providers on various characteristics yielded the following as significant determinants of this decision</w:t>
      </w:r>
      <w:r w:rsidR="00EF4138">
        <w:t xml:space="preserve"> </w:t>
      </w:r>
      <w:r w:rsidR="00B7713C">
        <w:t>–</w:t>
      </w:r>
      <w:r w:rsidR="001D6547">
        <w:t xml:space="preserve"> </w:t>
      </w:r>
      <w:r w:rsidR="00B7713C">
        <w:t>older people</w:t>
      </w:r>
      <w:r w:rsidR="00B24EC7">
        <w:t xml:space="preserve">, </w:t>
      </w:r>
      <w:r w:rsidR="00B7713C">
        <w:t>having no kids, go</w:t>
      </w:r>
      <w:r w:rsidR="00EF4138">
        <w:t>ing</w:t>
      </w:r>
      <w:r w:rsidR="00B7713C">
        <w:t xml:space="preserve"> online frequently</w:t>
      </w:r>
      <w:r w:rsidR="00EF4138">
        <w:t xml:space="preserve">; and those people who think </w:t>
      </w:r>
      <w:r w:rsidR="00417401">
        <w:t>“</w:t>
      </w:r>
      <w:r w:rsidR="00EF4138">
        <w:t>technology is important</w:t>
      </w:r>
      <w:r w:rsidR="00417401">
        <w:t>”</w:t>
      </w:r>
      <w:r w:rsidR="00EF4138">
        <w:t xml:space="preserve">, </w:t>
      </w:r>
      <w:r w:rsidR="00417401">
        <w:t>and “</w:t>
      </w:r>
      <w:r w:rsidR="00EF4138">
        <w:t xml:space="preserve">life is to have </w:t>
      </w:r>
      <w:r w:rsidR="00EF4138">
        <w:lastRenderedPageBreak/>
        <w:t>fun</w:t>
      </w:r>
      <w:r w:rsidR="00417401">
        <w:t>”</w:t>
      </w:r>
      <w:r w:rsidR="00EF4138">
        <w:t xml:space="preserve"> and </w:t>
      </w:r>
      <w:r w:rsidR="00417401">
        <w:t>“</w:t>
      </w:r>
      <w:r w:rsidR="00EF4138">
        <w:t>family is very important</w:t>
      </w:r>
      <w:r w:rsidR="00417401">
        <w:t>”</w:t>
      </w:r>
      <w:r w:rsidR="00EF4138">
        <w:t xml:space="preserve">. </w:t>
      </w:r>
      <w:r w:rsidR="00CA3A05">
        <w:t xml:space="preserve">Of these we found that only the first two variables were significantly correlated with the decision to stay or switch (the “main” model). Consequently, while we include age and having kids </w:t>
      </w:r>
      <w:r w:rsidR="00DC6D00">
        <w:t xml:space="preserve">(or being a parent) </w:t>
      </w:r>
      <w:r w:rsidR="00CA3A05">
        <w:t>in both models, the other variables are excluded from the main model.</w:t>
      </w:r>
    </w:p>
    <w:p w14:paraId="737A108F" w14:textId="2CDA31A4" w:rsidR="006530B5" w:rsidRPr="006530B5" w:rsidRDefault="006530B5" w:rsidP="00B8327B">
      <w:pPr>
        <w:jc w:val="center"/>
        <w:rPr>
          <w:sz w:val="28"/>
          <w:szCs w:val="28"/>
        </w:rPr>
      </w:pPr>
      <w:r w:rsidRPr="006530B5">
        <w:rPr>
          <w:sz w:val="28"/>
          <w:szCs w:val="28"/>
        </w:rPr>
        <w:t>Model</w:t>
      </w:r>
    </w:p>
    <w:p w14:paraId="5F0F8684" w14:textId="35D17022" w:rsidR="00373C81" w:rsidRDefault="00F028E4" w:rsidP="00144C71">
      <w:r>
        <w:t xml:space="preserve">We model the </w:t>
      </w:r>
      <w:r w:rsidR="001F2C2A">
        <w:t xml:space="preserve">retention vs. switching </w:t>
      </w:r>
      <w:r>
        <w:t>decisions</w:t>
      </w:r>
      <w:r w:rsidR="00373C81">
        <w:t xml:space="preserve"> </w:t>
      </w:r>
      <w:r w:rsidR="00D10262">
        <w:t xml:space="preserve">for all categories (indexed </w:t>
      </w:r>
      <w:proofErr w:type="gramStart"/>
      <w:r w:rsidR="00D10262">
        <w:t xml:space="preserve">by </w:t>
      </w:r>
      <w:proofErr w:type="gramEnd"/>
      <m:oMath>
        <m:r>
          <w:rPr>
            <w:rFonts w:ascii="Cambria Math" w:hAnsi="Cambria Math"/>
          </w:rPr>
          <m:t>c=1,…,C</m:t>
        </m:r>
      </m:oMath>
      <w:r w:rsidR="00D10262">
        <w:t xml:space="preserve">)  </w:t>
      </w:r>
      <w:r w:rsidR="00373C81">
        <w:t>simultaneously</w:t>
      </w:r>
      <w:r w:rsidR="008347F8">
        <w:t xml:space="preserve"> using a Binary </w:t>
      </w:r>
      <w:proofErr w:type="spellStart"/>
      <w:r w:rsidR="008347F8">
        <w:t>Probit</w:t>
      </w:r>
      <w:proofErr w:type="spellEnd"/>
      <w:r w:rsidR="008347F8">
        <w:t xml:space="preserve"> model</w:t>
      </w:r>
      <w:r w:rsidR="00384E39">
        <w:t xml:space="preserve"> in each category</w:t>
      </w:r>
      <w:r w:rsidR="00373C81">
        <w:t>.</w:t>
      </w:r>
      <w:r w:rsidR="00384E39">
        <w:t xml:space="preserve"> With </w:t>
      </w:r>
      <w:r w:rsidR="00384E39" w:rsidRPr="00A8594F">
        <w:rPr>
          <w:i/>
        </w:rPr>
        <w:t>C</w:t>
      </w:r>
      <w:r w:rsidR="00384E39">
        <w:t xml:space="preserve"> categories this </w:t>
      </w:r>
      <w:r w:rsidR="00A8594F">
        <w:t>requires</w:t>
      </w:r>
      <w:r w:rsidR="00384E39">
        <w:t xml:space="preserve"> a Multi</w:t>
      </w:r>
      <w:r w:rsidR="00BF561C">
        <w:t>dimensional</w:t>
      </w:r>
      <w:r w:rsidR="00384E39">
        <w:t xml:space="preserve"> Binary </w:t>
      </w:r>
      <w:proofErr w:type="spellStart"/>
      <w:r w:rsidR="00384E39">
        <w:t>Probit</w:t>
      </w:r>
      <w:proofErr w:type="spellEnd"/>
      <w:r w:rsidR="00384E39">
        <w:t xml:space="preserve"> (MBP) model.</w:t>
      </w:r>
      <w:r w:rsidR="00251C15">
        <w:t xml:space="preserve"> </w:t>
      </w:r>
      <w:r w:rsidR="00373C81">
        <w:t xml:space="preserve">The </w:t>
      </w:r>
      <w:r w:rsidR="00384E39">
        <w:t>utility</w:t>
      </w:r>
      <w:r w:rsidR="00373C81">
        <w:t xml:space="preserve"> of individual </w:t>
      </w:r>
      <m:oMath>
        <m:r>
          <w:rPr>
            <w:rFonts w:ascii="Cambria Math" w:hAnsi="Cambria Math"/>
          </w:rPr>
          <m:t>i</m:t>
        </m:r>
      </m:oMath>
      <w:r w:rsidR="00373C81">
        <w:t xml:space="preserve"> in </w:t>
      </w:r>
      <w:r w:rsidR="00384E39">
        <w:t xml:space="preserve">staying with company </w:t>
      </w:r>
      <m:oMath>
        <m:r>
          <w:rPr>
            <w:rFonts w:ascii="Cambria Math" w:hAnsi="Cambria Math"/>
          </w:rPr>
          <m:t>f</m:t>
        </m:r>
      </m:oMath>
      <w:r w:rsidR="00384E39">
        <w:t xml:space="preserve"> in </w:t>
      </w:r>
      <w:r w:rsidR="00373C81">
        <w:t xml:space="preserve">category </w:t>
      </w:r>
      <m:oMath>
        <m:r>
          <w:rPr>
            <w:rFonts w:ascii="Cambria Math" w:hAnsi="Cambria Math"/>
          </w:rPr>
          <m:t>c</m:t>
        </m:r>
      </m:oMath>
      <w:r w:rsidR="00373C81">
        <w:t xml:space="preserve"> is </w:t>
      </w:r>
      <w:r w:rsidR="00500F35">
        <w:t xml:space="preserve">a </w:t>
      </w:r>
      <w:r w:rsidR="00373C81">
        <w:t>latent</w:t>
      </w:r>
      <w:r w:rsidR="00B33F50">
        <w:t xml:space="preserve"> </w:t>
      </w:r>
      <w:proofErr w:type="gramStart"/>
      <w:r w:rsidR="00B33F50">
        <w:t>variable</w:t>
      </w:r>
      <w:r w:rsidR="00144C71">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ifc</m:t>
            </m:r>
          </m:sub>
        </m:sSub>
      </m:oMath>
      <w:r w:rsidR="00617311">
        <w:t xml:space="preserve">; this is decomposed into </w:t>
      </w:r>
      <w:r w:rsidR="00500F35">
        <w:t>an</w:t>
      </w:r>
      <w:r w:rsidR="00373C81">
        <w:t xml:space="preserve"> observed</w:t>
      </w:r>
      <w:r w:rsidR="00500F35">
        <w:t xml:space="preserve"> to the researcher component (</w:t>
      </w:r>
      <m:oMath>
        <m:sSub>
          <m:sSubPr>
            <m:ctrlPr>
              <w:rPr>
                <w:rFonts w:ascii="Cambria Math" w:hAnsi="Cambria Math"/>
                <w:i/>
              </w:rPr>
            </m:ctrlPr>
          </m:sSubPr>
          <m:e>
            <m:r>
              <w:rPr>
                <w:rFonts w:ascii="Cambria Math" w:hAnsi="Cambria Math"/>
              </w:rPr>
              <m:t>Q</m:t>
            </m:r>
          </m:e>
          <m:sub>
            <m:r>
              <w:rPr>
                <w:rFonts w:ascii="Cambria Math" w:hAnsi="Cambria Math"/>
              </w:rPr>
              <m:t>ifc</m:t>
            </m:r>
          </m:sub>
        </m:sSub>
      </m:oMath>
      <w:r w:rsidR="00500F35">
        <w:t>)</w:t>
      </w:r>
      <w:r w:rsidR="00373C81">
        <w:t xml:space="preserve"> and </w:t>
      </w:r>
      <w:r w:rsidR="00500F35">
        <w:t xml:space="preserve">a random </w:t>
      </w:r>
      <w:r w:rsidR="00AE4100">
        <w:t xml:space="preserve">component </w:t>
      </w:r>
      <w:r w:rsidR="00A8594F">
        <w:t xml:space="preserve">unobserved </w:t>
      </w:r>
      <w:r w:rsidR="00AE4100">
        <w:t>to the researcher but not the consumer</w:t>
      </w:r>
      <w:r w:rsidR="00500F35">
        <w:t xml:space="preserve"> (</w:t>
      </w:r>
      <m:oMath>
        <m:sSub>
          <m:sSubPr>
            <m:ctrlPr>
              <w:rPr>
                <w:rFonts w:ascii="Cambria Math" w:hAnsi="Cambria Math"/>
                <w:i/>
              </w:rPr>
            </m:ctrlPr>
          </m:sSubPr>
          <m:e>
            <m:r>
              <w:rPr>
                <w:rFonts w:ascii="Cambria Math" w:hAnsi="Cambria Math"/>
              </w:rPr>
              <m:t>ϵ</m:t>
            </m:r>
          </m:e>
          <m:sub>
            <m:r>
              <w:rPr>
                <w:rFonts w:ascii="Cambria Math" w:hAnsi="Cambria Math"/>
              </w:rPr>
              <m:t>ifc</m:t>
            </m:r>
          </m:sub>
        </m:sSub>
      </m:oMath>
      <w:r w:rsidR="00500F35">
        <w:t>)</w:t>
      </w:r>
      <w:r w:rsidR="00373C81">
        <w:t>:</w:t>
      </w:r>
    </w:p>
    <w:tbl>
      <w:tblPr>
        <w:tblW w:w="5000" w:type="pct"/>
        <w:tblLook w:val="04A0" w:firstRow="1" w:lastRow="0" w:firstColumn="1" w:lastColumn="0" w:noHBand="0" w:noVBand="1"/>
      </w:tblPr>
      <w:tblGrid>
        <w:gridCol w:w="936"/>
        <w:gridCol w:w="7488"/>
        <w:gridCol w:w="936"/>
      </w:tblGrid>
      <w:tr w:rsidR="00373C81" w:rsidRPr="00F12342" w14:paraId="0992B43A" w14:textId="77777777" w:rsidTr="00F7528F">
        <w:tc>
          <w:tcPr>
            <w:tcW w:w="500" w:type="pct"/>
            <w:vAlign w:val="center"/>
          </w:tcPr>
          <w:p w14:paraId="71A86E0F" w14:textId="77777777" w:rsidR="00373C81" w:rsidRPr="00F12342" w:rsidRDefault="00373C81" w:rsidP="00834541">
            <w:pPr>
              <w:spacing w:line="240" w:lineRule="auto"/>
              <w:rPr>
                <w:rFonts w:eastAsia="Calibri" w:cs="Times New Roman"/>
                <w:lang w:eastAsia="en-US"/>
              </w:rPr>
            </w:pPr>
          </w:p>
        </w:tc>
        <w:tc>
          <w:tcPr>
            <w:tcW w:w="4000" w:type="pct"/>
            <w:vAlign w:val="center"/>
          </w:tcPr>
          <w:p w14:paraId="65933C2B" w14:textId="10D7F97A" w:rsidR="00373C81" w:rsidRPr="00F12342" w:rsidRDefault="00890FE0" w:rsidP="00AA4927">
            <w:pPr>
              <w:spacing w:line="240" w:lineRule="auto"/>
              <w:rPr>
                <w:rFonts w:eastAsia="Calibri" w:cs="Times New Roman"/>
                <w:lang w:eastAsia="en-US"/>
              </w:rPr>
            </w:pPr>
            <m:oMathPara>
              <m:oMath>
                <m:sSub>
                  <m:sSubPr>
                    <m:ctrlPr>
                      <w:rPr>
                        <w:rFonts w:ascii="Cambria Math" w:hAnsi="Cambria Math"/>
                        <w:i/>
                      </w:rPr>
                    </m:ctrlPr>
                  </m:sSubPr>
                  <m:e>
                    <m:r>
                      <w:rPr>
                        <w:rFonts w:ascii="Cambria Math" w:hAnsi="Cambria Math"/>
                      </w:rPr>
                      <m:t>y</m:t>
                    </m:r>
                  </m:e>
                  <m:sub>
                    <m:r>
                      <w:rPr>
                        <w:rFonts w:ascii="Cambria Math" w:hAnsi="Cambria Math"/>
                      </w:rPr>
                      <m:t>ifc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ifc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ifc</m:t>
                    </m:r>
                  </m:sub>
                </m:sSub>
              </m:oMath>
            </m:oMathPara>
          </w:p>
        </w:tc>
        <w:tc>
          <w:tcPr>
            <w:tcW w:w="500" w:type="pct"/>
            <w:vAlign w:val="center"/>
          </w:tcPr>
          <w:p w14:paraId="5C782E3D" w14:textId="08686750" w:rsidR="00373C81" w:rsidRPr="00834541" w:rsidRDefault="00373C81" w:rsidP="00F7528F">
            <w:pPr>
              <w:numPr>
                <w:ilvl w:val="0"/>
                <w:numId w:val="2"/>
              </w:numPr>
              <w:adjustRightInd w:val="0"/>
              <w:snapToGrid w:val="0"/>
              <w:spacing w:before="120" w:after="120" w:line="240" w:lineRule="auto"/>
              <w:jc w:val="center"/>
              <w:rPr>
                <w:rFonts w:eastAsia="Calibri" w:cs="Times New Roman"/>
                <w:lang w:eastAsia="en-US"/>
              </w:rPr>
            </w:pPr>
          </w:p>
        </w:tc>
      </w:tr>
    </w:tbl>
    <w:p w14:paraId="58123A8A" w14:textId="4FE59E5D" w:rsidR="008E6B0F" w:rsidRDefault="00373C81" w:rsidP="008E6B0F">
      <w:r>
        <w:t xml:space="preserve">The random </w:t>
      </w:r>
      <w:r w:rsidR="00500F35">
        <w:t>component</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ifc</m:t>
                </m:r>
              </m:sub>
            </m:sSub>
            <m:r>
              <w:rPr>
                <w:rFonts w:ascii="Cambria Math" w:hAnsi="Cambria Math"/>
              </w:rPr>
              <m:t>, ∀c</m:t>
            </m:r>
          </m:e>
        </m:d>
      </m:oMath>
      <w:r>
        <w:t xml:space="preserve"> </w:t>
      </w:r>
      <w:r w:rsidR="00E207A0">
        <w:t xml:space="preserve">for each category </w:t>
      </w:r>
      <w:r>
        <w:t>follow</w:t>
      </w:r>
      <w:r w:rsidR="00617311">
        <w:t>s</w:t>
      </w:r>
      <w:r>
        <w:t xml:space="preserve"> </w:t>
      </w:r>
      <w:r w:rsidR="006C15CB">
        <w:t xml:space="preserve">a </w:t>
      </w:r>
      <w:r>
        <w:t>normal distribution</w:t>
      </w:r>
      <w:r w:rsidR="00CB6B78">
        <w:t xml:space="preserve">. </w:t>
      </w:r>
      <w:r w:rsidR="00617311">
        <w:t>T</w:t>
      </w:r>
      <w:r w:rsidR="00052864">
        <w:t xml:space="preserve">he common components across the two categories are captured by an individual specific intercept. As a result, we allow </w:t>
      </w:r>
      <m:oMath>
        <m:sSub>
          <m:sSubPr>
            <m:ctrlPr>
              <w:rPr>
                <w:rFonts w:ascii="Cambria Math" w:hAnsi="Cambria Math"/>
                <w:i/>
              </w:rPr>
            </m:ctrlPr>
          </m:sSubPr>
          <m:e>
            <m:r>
              <w:rPr>
                <w:rFonts w:ascii="Cambria Math" w:hAnsi="Cambria Math"/>
              </w:rPr>
              <m:t>ϵ</m:t>
            </m:r>
          </m:e>
          <m:sub>
            <m:r>
              <w:rPr>
                <w:rFonts w:ascii="Cambria Math" w:hAnsi="Cambria Math"/>
              </w:rPr>
              <m:t>ifc</m:t>
            </m:r>
          </m:sub>
        </m:sSub>
      </m:oMath>
      <w:r w:rsidR="00052864">
        <w:t>to</w:t>
      </w:r>
      <w:r w:rsidR="006C15CB">
        <w:t xml:space="preserve"> </w:t>
      </w:r>
      <w:r w:rsidR="00052864">
        <w:t>be independent across categories</w:t>
      </w:r>
      <w:r w:rsidR="009710B5">
        <w:rPr>
          <w:rStyle w:val="FootnoteReference"/>
        </w:rPr>
        <w:footnoteReference w:id="7"/>
      </w:r>
      <w:r w:rsidR="00052864">
        <w:t xml:space="preserve">. That </w:t>
      </w:r>
      <w:proofErr w:type="gramStart"/>
      <w:r w:rsidR="00052864">
        <w:t xml:space="preserve">is </w:t>
      </w:r>
      <w:proofErr w:type="gramEnd"/>
      <m:oMath>
        <m:sSub>
          <m:sSubPr>
            <m:ctrlPr>
              <w:rPr>
                <w:rFonts w:ascii="Cambria Math" w:hAnsi="Cambria Math"/>
                <w:i/>
              </w:rPr>
            </m:ctrlPr>
          </m:sSubPr>
          <m:e>
            <m:r>
              <w:rPr>
                <w:rFonts w:ascii="Cambria Math" w:hAnsi="Cambria Math"/>
              </w:rPr>
              <m:t>ϵ</m:t>
            </m:r>
          </m:e>
          <m:sub>
            <m:r>
              <w:rPr>
                <w:rFonts w:ascii="Cambria Math" w:hAnsi="Cambria Math"/>
              </w:rPr>
              <m:t>ifc</m:t>
            </m:r>
          </m:sub>
        </m:sSub>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,∀c</m:t>
        </m:r>
      </m:oMath>
      <w:r w:rsidR="00052864">
        <w:t>.</w:t>
      </w:r>
      <w:r w:rsidR="00774713">
        <w:t xml:space="preserve"> </w:t>
      </w:r>
      <m:oMath>
        <m:sSub>
          <m:sSubPr>
            <m:ctrlPr>
              <w:rPr>
                <w:rFonts w:ascii="Cambria Math" w:hAnsi="Cambria Math"/>
                <w:i/>
              </w:rPr>
            </m:ctrlPr>
          </m:sSubPr>
          <m:e>
            <m:r>
              <w:rPr>
                <w:rFonts w:ascii="Cambria Math" w:hAnsi="Cambria Math"/>
              </w:rPr>
              <m:t>Q</m:t>
            </m:r>
          </m:e>
          <m:sub>
            <m:r>
              <w:rPr>
                <w:rFonts w:ascii="Cambria Math" w:hAnsi="Cambria Math"/>
              </w:rPr>
              <m:t>ifc</m:t>
            </m:r>
          </m:sub>
        </m:sSub>
      </m:oMath>
      <w:r>
        <w:t xml:space="preserve"> </w:t>
      </w:r>
      <w:proofErr w:type="gramStart"/>
      <w:r>
        <w:t>is</w:t>
      </w:r>
      <w:proofErr w:type="gramEnd"/>
      <w:r>
        <w:t xml:space="preserve"> specified as follows</w:t>
      </w:r>
    </w:p>
    <w:p w14:paraId="794321D0" w14:textId="7FCAAAC9" w:rsidR="008E6B0F" w:rsidRPr="008E6B0F" w:rsidRDefault="00890FE0" w:rsidP="008E6B0F">
      <w:pPr>
        <w:ind w:firstLine="0"/>
        <w:rPr>
          <w:rFonts w:asciiTheme="minorHAnsi" w:hAnsiTheme="minorHAnsi"/>
        </w:rPr>
      </w:pPr>
      <m:oMathPara>
        <m:oMathParaPr>
          <m:jc m:val="left"/>
        </m:oMathParaPr>
        <m:oMath>
          <m:sSub>
            <m:sSubPr>
              <m:ctrlPr>
                <w:rPr>
                  <w:rFonts w:ascii="Cambria Math" w:hAnsi="Cambria Math"/>
                  <w:i/>
                </w:rPr>
              </m:ctrlPr>
            </m:sSubPr>
            <m:e>
              <m:r>
                <w:rPr>
                  <w:rFonts w:ascii="Cambria Math" w:hAnsi="Cambria Math"/>
                </w:rPr>
                <m:t xml:space="preserve"> Q</m:t>
              </m:r>
            </m:e>
            <m:sub>
              <m:r>
                <w:rPr>
                  <w:rFonts w:ascii="Cambria Math" w:hAnsi="Cambria Math"/>
                </w:rPr>
                <m:t>ifc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ifc</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ifcl</m:t>
                  </m:r>
                </m:sub>
              </m:sSub>
              <m:sSub>
                <m:sSubPr>
                  <m:ctrlPr>
                    <w:rPr>
                      <w:rFonts w:ascii="Cambria Math" w:hAnsi="Cambria Math"/>
                      <w:i/>
                    </w:rPr>
                  </m:ctrlPr>
                </m:sSubPr>
                <m:e>
                  <m:r>
                    <w:rPr>
                      <w:rFonts w:ascii="Cambria Math" w:hAnsi="Cambria Math"/>
                    </w:rPr>
                    <m:t>β</m:t>
                  </m:r>
                </m:e>
                <m:sub>
                  <m:r>
                    <w:rPr>
                      <w:rFonts w:ascii="Cambria Math" w:hAnsi="Cambria Math"/>
                    </w:rPr>
                    <m:t>cl</m:t>
                  </m:r>
                </m:sub>
              </m:sSub>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sub>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m:t>
                          </m:r>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sub>
                            <m:sup/>
                            <m:e>
                              <m:sSub>
                                <m:sSubPr>
                                  <m:ctrlPr>
                                    <w:rPr>
                                      <w:rFonts w:ascii="Cambria Math" w:hAnsi="Cambria Math"/>
                                      <w:i/>
                                    </w:rPr>
                                  </m:ctrlPr>
                                </m:sSubPr>
                                <m:e>
                                  <m:r>
                                    <w:rPr>
                                      <w:rFonts w:ascii="Cambria Math" w:hAnsi="Cambria Math"/>
                                    </w:rPr>
                                    <m:t>H</m:t>
                                  </m:r>
                                </m:e>
                                <m: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sub>
                              </m:sSub>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up>
                                  <m:r>
                                    <w:rPr>
                                      <w:rFonts w:ascii="Cambria Math" w:hAnsi="Cambria Math"/>
                                    </w:rPr>
                                    <m:t>S</m:t>
                                  </m:r>
                                </m:sup>
                              </m:sSubSup>
                            </m:e>
                          </m:nary>
                        </m:e>
                      </m:d>
                    </m:e>
                  </m:nary>
                </m:e>
              </m:nary>
            </m:e>
          </m:d>
        </m:oMath>
      </m:oMathPara>
    </w:p>
    <w:p w14:paraId="241E94A2" w14:textId="258B8220" w:rsidR="008E6B0F" w:rsidRPr="008E6B0F" w:rsidRDefault="008E6B0F" w:rsidP="008E6B0F">
      <w:pPr>
        <w:rPr>
          <w:rFonts w:asciiTheme="minorHAnsi" w:hAnsiTheme="minorHAnsi"/>
        </w:rPr>
      </w:pPr>
      <m:oMathPara>
        <m:oMath>
          <m:r>
            <m:rPr>
              <m:sty m:val="p"/>
            </m:rPr>
            <w:rPr>
              <w:rFonts w:ascii="Cambria Math" w:eastAsia="Calibri"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ik</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ifcl</m:t>
                          </m:r>
                        </m:sub>
                      </m:sSub>
                      <m:sSub>
                        <m:sSubPr>
                          <m:ctrlPr>
                            <w:rPr>
                              <w:rFonts w:ascii="Cambria Math" w:hAnsi="Cambria Math"/>
                              <w:i/>
                            </w:rPr>
                          </m:ctrlPr>
                        </m:sSubPr>
                        <m:e>
                          <m:r>
                            <w:rPr>
                              <w:rFonts w:ascii="Cambria Math" w:hAnsi="Cambria Math"/>
                            </w:rPr>
                            <m:t>β</m:t>
                          </m:r>
                        </m:e>
                        <m:sub>
                          <m:r>
                            <w:rPr>
                              <w:rFonts w:ascii="Cambria Math" w:hAnsi="Cambria Math"/>
                            </w:rPr>
                            <m:t>clk</m:t>
                          </m:r>
                        </m:sub>
                      </m:sSub>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sub>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m:t>
                                  </m:r>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lk</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sub>
                                    <m:sup/>
                                    <m:e>
                                      <m:sSub>
                                        <m:sSubPr>
                                          <m:ctrlPr>
                                            <w:rPr>
                                              <w:rFonts w:ascii="Cambria Math" w:hAnsi="Cambria Math"/>
                                              <w:i/>
                                            </w:rPr>
                                          </m:ctrlPr>
                                        </m:sSubPr>
                                        <m:e>
                                          <m:r>
                                            <w:rPr>
                                              <w:rFonts w:ascii="Cambria Math" w:hAnsi="Cambria Math"/>
                                            </w:rPr>
                                            <m:t>H</m:t>
                                          </m:r>
                                        </m:e>
                                        <m: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sub>
                                      </m:sSub>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lk</m:t>
                                          </m:r>
                                        </m:sub>
                                        <m:sup>
                                          <m:r>
                                            <w:rPr>
                                              <w:rFonts w:ascii="Cambria Math" w:hAnsi="Cambria Math"/>
                                            </w:rPr>
                                            <m:t>S</m:t>
                                          </m:r>
                                        </m:sup>
                                      </m:sSubSup>
                                    </m:e>
                                  </m:nary>
                                </m:e>
                              </m:d>
                            </m:e>
                          </m:nary>
                        </m:e>
                      </m:nary>
                    </m:e>
                  </m:d>
                </m:e>
              </m:d>
            </m:e>
          </m:nary>
          <m:r>
            <m:rPr>
              <m:sty m:val="p"/>
            </m:rPr>
            <w:rPr>
              <w:rFonts w:ascii="Cambria Math" w:eastAsia="Calibri"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ik</m:t>
                  </m:r>
                </m:sub>
              </m:sSub>
              <m:sSub>
                <m:sSubPr>
                  <m:ctrlPr>
                    <w:rPr>
                      <w:rFonts w:ascii="Cambria Math" w:hAnsi="Cambria Math"/>
                      <w:i/>
                    </w:rPr>
                  </m:ctrlPr>
                </m:sSubPr>
                <m:e>
                  <m:r>
                    <w:rPr>
                      <w:rFonts w:ascii="Cambria Math" w:hAnsi="Cambria Math"/>
                    </w:rPr>
                    <m:t>β</m:t>
                  </m:r>
                </m:e>
                <m:sub>
                  <m:r>
                    <w:rPr>
                      <w:rFonts w:ascii="Cambria Math" w:hAnsi="Cambria Math"/>
                    </w:rPr>
                    <m:t>ck</m:t>
                  </m:r>
                </m:sub>
              </m:sSub>
            </m:e>
          </m:nary>
          <m:r>
            <m:rPr>
              <m:sty m:val="p"/>
            </m:rPr>
            <w:rPr>
              <w:rFonts w:ascii="Cambria Math" w:eastAsia="Calibri" w:hAnsi="Cambria Math" w:cs="Times New Roman"/>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 xml:space="preserve">           (2)</m:t>
          </m:r>
        </m:oMath>
      </m:oMathPara>
    </w:p>
    <w:p w14:paraId="51A647E8" w14:textId="6D7A93FF" w:rsidR="000843D0" w:rsidRDefault="008057B9" w:rsidP="008057B9">
      <w:pPr>
        <w:ind w:firstLine="0"/>
      </w:pPr>
      <w:proofErr w:type="gramStart"/>
      <w:r>
        <w:t>where</w:t>
      </w:r>
      <w:proofErr w:type="gramEnd"/>
      <w:r w:rsidR="00EB2302">
        <w:t xml:space="preserve"> </w:t>
      </w:r>
      <w:r w:rsidR="00EB2302" w:rsidRPr="00EB2302">
        <w:rPr>
          <w:i/>
        </w:rPr>
        <w:t>l</w:t>
      </w:r>
      <w:r w:rsidR="00EB2302">
        <w:t xml:space="preserve"> </w:t>
      </w:r>
      <w:r>
        <w:t xml:space="preserve">stands </w:t>
      </w:r>
      <w:r w:rsidR="00EB2302">
        <w:t>for the level of the driver variable (positive, neutral, negative)</w:t>
      </w:r>
      <w:r w:rsidR="00D53BA8">
        <w:t xml:space="preserve">. </w:t>
      </w:r>
      <w:r w:rsidR="005A03DD">
        <w:t xml:space="preserve">The first </w:t>
      </w:r>
      <w:r w:rsidR="005452F9">
        <w:t>term</w:t>
      </w:r>
      <w:r w:rsidR="006F4CD9">
        <w:t xml:space="preserve"> </w:t>
      </w:r>
      <m:oMath>
        <m:sSub>
          <m:sSubPr>
            <m:ctrlPr>
              <w:rPr>
                <w:rFonts w:ascii="Cambria Math" w:hAnsi="Cambria Math"/>
                <w:i/>
              </w:rPr>
            </m:ctrlPr>
          </m:sSubPr>
          <m:e>
            <m:r>
              <w:rPr>
                <w:rFonts w:ascii="Cambria Math" w:hAnsi="Cambria Math"/>
              </w:rPr>
              <m:t>α</m:t>
            </m:r>
          </m:e>
          <m:sub>
            <m:r>
              <w:rPr>
                <w:rFonts w:ascii="Cambria Math" w:hAnsi="Cambria Math"/>
              </w:rPr>
              <m:t>ifc</m:t>
            </m:r>
          </m:sub>
        </m:sSub>
      </m:oMath>
      <w:r>
        <w:t xml:space="preserve"> contains the intercept or </w:t>
      </w:r>
      <w:r w:rsidR="005452F9">
        <w:t>intrinsic</w:t>
      </w:r>
      <w:r w:rsidR="008A23DA">
        <w:t xml:space="preserve"> intention of staying with </w:t>
      </w:r>
      <w:r>
        <w:t>the current service</w:t>
      </w:r>
      <w:r w:rsidR="005452F9">
        <w:t xml:space="preserve">. </w:t>
      </w:r>
      <w:r w:rsidR="00C56BEB">
        <w:t>S</w:t>
      </w:r>
      <w:r w:rsidR="005452F9">
        <w:t xml:space="preserve">ince </w:t>
      </w:r>
      <m:oMath>
        <m:sSub>
          <m:sSubPr>
            <m:ctrlPr>
              <w:rPr>
                <w:rFonts w:ascii="Cambria Math" w:hAnsi="Cambria Math"/>
                <w:i/>
              </w:rPr>
            </m:ctrlPr>
          </m:sSubPr>
          <m:e>
            <m:r>
              <w:rPr>
                <w:rFonts w:ascii="Cambria Math" w:hAnsi="Cambria Math"/>
              </w:rPr>
              <m:t>α</m:t>
            </m:r>
          </m:e>
          <m:sub>
            <m:r>
              <w:rPr>
                <w:rFonts w:ascii="Cambria Math" w:hAnsi="Cambria Math"/>
              </w:rPr>
              <m:t>ifc</m:t>
            </m:r>
          </m:sub>
        </m:sSub>
      </m:oMath>
      <w:r w:rsidR="006F4CD9">
        <w:t xml:space="preserve"> </w:t>
      </w:r>
      <w:r w:rsidR="00AC03A2">
        <w:t xml:space="preserve">is the dimensionality of </w:t>
      </w:r>
      <w:r w:rsidR="006F4CD9">
        <w:t>our data</w:t>
      </w:r>
      <w:r w:rsidR="005452F9">
        <w:t xml:space="preserve">, we decompose the intercept </w:t>
      </w:r>
      <w:r w:rsidR="006F4CD9">
        <w:t xml:space="preserve">into two components </w:t>
      </w:r>
      <w:r w:rsidR="005452F9">
        <w:t>as</w:t>
      </w:r>
      <w:proofErr w:type="gramStart"/>
      <w:r w:rsidR="005452F9">
        <w:t xml:space="preserve">: </w:t>
      </w:r>
      <w:proofErr w:type="gramEnd"/>
      <m:oMath>
        <m:sSub>
          <m:sSubPr>
            <m:ctrlPr>
              <w:rPr>
                <w:rFonts w:ascii="Cambria Math" w:hAnsi="Cambria Math"/>
                <w:i/>
              </w:rPr>
            </m:ctrlPr>
          </m:sSubPr>
          <m:e>
            <m:r>
              <w:rPr>
                <w:rFonts w:ascii="Cambria Math" w:hAnsi="Cambria Math"/>
              </w:rPr>
              <m:t>α</m:t>
            </m:r>
          </m:e>
          <m:sub>
            <m:r>
              <w:rPr>
                <w:rFonts w:ascii="Cambria Math" w:hAnsi="Cambria Math"/>
              </w:rPr>
              <m:t>ifc</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fc</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r>
          <w:rPr>
            <w:rFonts w:ascii="Cambria Math" w:hAnsi="Cambria Math"/>
          </w:rPr>
          <m:t>,∀i,</m:t>
        </m:r>
      </m:oMath>
      <w:r>
        <w:t xml:space="preserve"> </w:t>
      </w:r>
      <w:proofErr w:type="gramStart"/>
      <w:r>
        <w:t>is</w:t>
      </w:r>
      <w:proofErr w:type="gramEnd"/>
      <w:r>
        <w:t xml:space="preserve"> a random effect and </w:t>
      </w:r>
      <w:r w:rsidR="00B42716">
        <w:t>reflect</w:t>
      </w:r>
      <w:r w:rsidR="00867265">
        <w:t>s the</w:t>
      </w:r>
      <w:r w:rsidR="00B42716">
        <w:t xml:space="preserve"> overall differences across </w:t>
      </w:r>
      <w:r w:rsidR="00685088">
        <w:t>customers</w:t>
      </w:r>
      <w:r w:rsidR="00B42716">
        <w:t xml:space="preserve"> </w:t>
      </w:r>
      <w:r w:rsidR="00867265">
        <w:t>in their</w:t>
      </w:r>
      <w:r w:rsidR="00B42716">
        <w:t xml:space="preserve"> </w:t>
      </w:r>
      <w:r w:rsidR="007B7F28">
        <w:t xml:space="preserve">retention </w:t>
      </w:r>
      <w:r w:rsidR="000F6302">
        <w:t>decisions. The parameters of its</w:t>
      </w:r>
      <w:r w:rsidR="00B42716">
        <w:t xml:space="preserve"> distribution across </w:t>
      </w:r>
      <w:r w:rsidR="00AF7187">
        <w:t>individuals</w:t>
      </w:r>
      <w:r w:rsidR="00B42716">
        <w:t xml:space="preserve"> are identified using all the </w:t>
      </w:r>
      <w:r w:rsidR="00AF7187">
        <w:t>individual’s</w:t>
      </w:r>
      <w:r w:rsidR="00B42716">
        <w:t xml:space="preserve"> observations</w:t>
      </w:r>
      <w:r w:rsidR="008133A5">
        <w:t xml:space="preserve"> across </w:t>
      </w:r>
      <w:r w:rsidR="008133A5">
        <w:lastRenderedPageBreak/>
        <w:t xml:space="preserve">the two categories, </w:t>
      </w:r>
      <w:r w:rsidR="000F6302">
        <w:t>banking and investment</w:t>
      </w:r>
      <w:r w:rsidR="000F25C8">
        <w:t>.</w:t>
      </w:r>
      <w:r w:rsidR="00B143EE" w:rsidRPr="00B143EE">
        <w:t xml:space="preserve"> </w:t>
      </w:r>
      <m:oMath>
        <m:sSub>
          <m:sSubPr>
            <m:ctrlPr>
              <w:rPr>
                <w:rFonts w:ascii="Cambria Math" w:hAnsi="Cambria Math"/>
                <w:i/>
              </w:rPr>
            </m:ctrlPr>
          </m:sSubPr>
          <m:e>
            <m:r>
              <w:rPr>
                <w:rFonts w:ascii="Cambria Math" w:hAnsi="Cambria Math"/>
              </w:rPr>
              <m:t>α</m:t>
            </m:r>
          </m:e>
          <m:sub>
            <m:r>
              <w:rPr>
                <w:rFonts w:ascii="Cambria Math" w:hAnsi="Cambria Math"/>
              </w:rPr>
              <m:t>fc</m:t>
            </m:r>
          </m:sub>
        </m:sSub>
      </m:oMath>
      <w:r w:rsidR="000F25C8">
        <w:t xml:space="preserve"> </w:t>
      </w:r>
      <w:proofErr w:type="gramStart"/>
      <w:r>
        <w:t>is</w:t>
      </w:r>
      <w:proofErr w:type="gramEnd"/>
      <w:r w:rsidR="000F25C8">
        <w:t xml:space="preserve"> </w:t>
      </w:r>
      <w:r w:rsidR="008133A5">
        <w:t xml:space="preserve">the </w:t>
      </w:r>
      <w:r w:rsidR="000F25C8">
        <w:t>firm</w:t>
      </w:r>
      <w:r w:rsidR="000F6302">
        <w:t>-category</w:t>
      </w:r>
      <w:r w:rsidR="000F25C8">
        <w:t xml:space="preserve">-specific </w:t>
      </w:r>
      <w:r w:rsidR="008133A5">
        <w:t>effect</w:t>
      </w:r>
      <w:r w:rsidR="000F25C8">
        <w:t xml:space="preserve"> </w:t>
      </w:r>
      <w:r w:rsidR="00DC6D00">
        <w:t xml:space="preserve">and </w:t>
      </w:r>
      <w:r w:rsidR="000F6302">
        <w:t xml:space="preserve">is identified off respondents using the firm </w:t>
      </w:r>
      <w:r w:rsidR="00AE4100" w:rsidRPr="003B692B">
        <w:rPr>
          <w:i/>
        </w:rPr>
        <w:t>f</w:t>
      </w:r>
      <w:r w:rsidR="00AE4100">
        <w:t xml:space="preserve"> in category </w:t>
      </w:r>
      <w:r w:rsidR="00AE4100" w:rsidRPr="003B692B">
        <w:rPr>
          <w:i/>
        </w:rPr>
        <w:t>c</w:t>
      </w:r>
      <w:r w:rsidR="007D1641">
        <w:t xml:space="preserve">; </w:t>
      </w:r>
      <m:oMath>
        <m:sSub>
          <m:sSubPr>
            <m:ctrlPr>
              <w:rPr>
                <w:rFonts w:ascii="Cambria Math" w:hAnsi="Cambria Math"/>
                <w:i/>
              </w:rPr>
            </m:ctrlPr>
          </m:sSubPr>
          <m:e>
            <m:r>
              <w:rPr>
                <w:rFonts w:ascii="Cambria Math" w:hAnsi="Cambria Math"/>
              </w:rPr>
              <m:t>α</m:t>
            </m:r>
          </m:e>
          <m:sub>
            <m:r>
              <w:rPr>
                <w:rFonts w:ascii="Cambria Math" w:hAnsi="Cambria Math"/>
              </w:rPr>
              <m:t>fc</m:t>
            </m:r>
          </m:sub>
        </m:sSub>
        <m:r>
          <w:rPr>
            <w:rFonts w:ascii="Cambria Math" w:hAnsi="Cambria Math"/>
          </w:rPr>
          <m:t>=0</m:t>
        </m:r>
      </m:oMath>
      <w:r w:rsidR="00B143EE">
        <w:t xml:space="preserve">, when </w:t>
      </w:r>
      <m:oMath>
        <m:r>
          <w:rPr>
            <w:rFonts w:ascii="Cambria Math" w:hAnsi="Cambria Math"/>
          </w:rPr>
          <m:t>f=1,∀c</m:t>
        </m:r>
      </m:oMath>
      <w:r w:rsidR="007D1641">
        <w:t xml:space="preserve"> for identification</w:t>
      </w:r>
      <w:r w:rsidR="00B143EE">
        <w:t>.</w:t>
      </w:r>
    </w:p>
    <w:p w14:paraId="5AD2ABB1" w14:textId="5ACAE102" w:rsidR="0034637A" w:rsidRDefault="00890FE0" w:rsidP="003E784F">
      <m:oMath>
        <m:sSub>
          <m:sSubPr>
            <m:ctrlPr>
              <w:rPr>
                <w:rFonts w:ascii="Cambria Math" w:hAnsi="Cambria Math"/>
                <w:i/>
              </w:rPr>
            </m:ctrlPr>
          </m:sSubPr>
          <m:e>
            <m:r>
              <w:rPr>
                <w:rFonts w:ascii="Cambria Math" w:hAnsi="Cambria Math"/>
              </w:rPr>
              <m:t>X</m:t>
            </m:r>
          </m:e>
          <m:sub>
            <m:r>
              <w:rPr>
                <w:rFonts w:ascii="Cambria Math" w:hAnsi="Cambria Math"/>
              </w:rPr>
              <m:t>ifcl</m:t>
            </m:r>
          </m:sub>
        </m:sSub>
      </m:oMath>
      <w:r w:rsidR="00FA6531">
        <w:t xml:space="preserve"> </w:t>
      </w:r>
      <w:proofErr w:type="gramStart"/>
      <w:r w:rsidR="00FA6531">
        <w:t>refers</w:t>
      </w:r>
      <w:proofErr w:type="gramEnd"/>
      <w:r w:rsidR="00FA6531">
        <w:t xml:space="preserve"> to the </w:t>
      </w:r>
      <w:r w:rsidR="00D62871">
        <w:t xml:space="preserve">vector of </w:t>
      </w:r>
      <w:r w:rsidR="00FA6531">
        <w:t>satisfaction</w:t>
      </w:r>
      <w:r w:rsidR="00A0174C">
        <w:t xml:space="preserve"> levels </w:t>
      </w:r>
      <w:r w:rsidR="00744E67">
        <w:t xml:space="preserve">for firm </w:t>
      </w:r>
      <m:oMath>
        <m:r>
          <w:rPr>
            <w:rFonts w:ascii="Cambria Math" w:hAnsi="Cambria Math"/>
          </w:rPr>
          <m:t>f</m:t>
        </m:r>
      </m:oMath>
      <w:r w:rsidR="00744E67">
        <w:t xml:space="preserve"> </w:t>
      </w:r>
      <w:r w:rsidR="00A0174C">
        <w:t xml:space="preserve">in category </w:t>
      </w:r>
      <m:oMath>
        <m:r>
          <w:rPr>
            <w:rFonts w:ascii="Cambria Math" w:hAnsi="Cambria Math"/>
          </w:rPr>
          <m:t>c</m:t>
        </m:r>
      </m:oMath>
      <w:r w:rsidR="00A0174C">
        <w:t xml:space="preserve">, as reported by individual </w:t>
      </w:r>
      <m:oMath>
        <m:r>
          <w:rPr>
            <w:rFonts w:ascii="Cambria Math" w:hAnsi="Cambria Math"/>
          </w:rPr>
          <m:t>i</m:t>
        </m:r>
      </m:oMath>
      <w:r w:rsidR="00A0174C">
        <w:t>.</w:t>
      </w:r>
      <w:r w:rsidR="00A0174C">
        <w:rPr>
          <w:rFonts w:hint="eastAsia"/>
        </w:rPr>
        <w:t xml:space="preserve"> </w:t>
      </w:r>
      <m:oMath>
        <m:r>
          <w:rPr>
            <w:rFonts w:ascii="Cambria Math" w:hAnsi="Cambria Math"/>
          </w:rPr>
          <m:t>l</m:t>
        </m:r>
      </m:oMath>
      <w:r w:rsidR="00A0174C">
        <w:t xml:space="preserve"> </w:t>
      </w:r>
      <w:proofErr w:type="gramStart"/>
      <w:r w:rsidR="00A0174C">
        <w:rPr>
          <w:rFonts w:hint="eastAsia"/>
        </w:rPr>
        <w:t>indexes</w:t>
      </w:r>
      <w:proofErr w:type="gramEnd"/>
      <w:r w:rsidR="00A0174C">
        <w:rPr>
          <w:rFonts w:hint="eastAsia"/>
        </w:rPr>
        <w:t xml:space="preserve"> the level of satisfaction, which could be positive</w:t>
      </w:r>
      <w:r w:rsidR="00D62871">
        <w:t xml:space="preserve"> (satisfied)</w:t>
      </w:r>
      <w:r w:rsidR="00A0174C">
        <w:rPr>
          <w:rFonts w:hint="eastAsia"/>
        </w:rPr>
        <w:t xml:space="preserve">, neutral </w:t>
      </w:r>
      <w:r w:rsidR="004D52A7">
        <w:t xml:space="preserve">(base case for identification) </w:t>
      </w:r>
      <w:r w:rsidR="00A0174C">
        <w:rPr>
          <w:rFonts w:hint="eastAsia"/>
        </w:rPr>
        <w:t>or negative</w:t>
      </w:r>
      <w:r w:rsidR="00D62871">
        <w:t xml:space="preserve"> (dissatisfied)</w:t>
      </w:r>
      <w:r w:rsidR="00FA6531">
        <w:t xml:space="preserve">. </w:t>
      </w:r>
      <m:oMath>
        <m:sSub>
          <m:sSubPr>
            <m:ctrlPr>
              <w:rPr>
                <w:rFonts w:ascii="Cambria Math" w:hAnsi="Cambria Math"/>
                <w:i/>
              </w:rPr>
            </m:ctrlPr>
          </m:sSubPr>
          <m:e>
            <m:r>
              <w:rPr>
                <w:rFonts w:ascii="Cambria Math" w:hAnsi="Cambria Math"/>
              </w:rPr>
              <m:t>β</m:t>
            </m:r>
          </m:e>
          <m:sub>
            <m:r>
              <w:rPr>
                <w:rFonts w:ascii="Cambria Math" w:hAnsi="Cambria Math"/>
              </w:rPr>
              <m:t>cl</m:t>
            </m:r>
          </m:sub>
        </m:sSub>
      </m:oMath>
      <w:r w:rsidR="00A0174C">
        <w:t xml:space="preserve"> </w:t>
      </w:r>
      <w:proofErr w:type="gramStart"/>
      <w:r w:rsidR="00D46849">
        <w:t>i</w:t>
      </w:r>
      <w:r w:rsidR="00A0174C">
        <w:t>s</w:t>
      </w:r>
      <w:proofErr w:type="gramEnd"/>
      <w:r w:rsidR="00A0174C">
        <w:t xml:space="preserve"> the</w:t>
      </w:r>
      <w:r w:rsidR="004C1D12">
        <w:t xml:space="preserve"> </w:t>
      </w:r>
      <w:r w:rsidR="00D62871">
        <w:t xml:space="preserve">vector of </w:t>
      </w:r>
      <w:r w:rsidR="00A0174C">
        <w:t xml:space="preserve">parameters </w:t>
      </w:r>
      <w:r w:rsidR="007E1179">
        <w:t>for the within-category</w:t>
      </w:r>
      <w:r w:rsidR="00CC620E">
        <w:t xml:space="preserve"> satisfaction </w:t>
      </w:r>
      <w:r w:rsidR="007E1179">
        <w:t>effect</w:t>
      </w:r>
      <w:r w:rsidR="00CC620E">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oMath>
      <w:r w:rsidR="00304633">
        <w:t xml:space="preserve"> </w:t>
      </w:r>
      <w:proofErr w:type="gramStart"/>
      <w:r w:rsidR="00D46849">
        <w:t>is</w:t>
      </w:r>
      <w:proofErr w:type="gramEnd"/>
      <w:r w:rsidR="00304633">
        <w:t xml:space="preserve"> the satisfaction</w:t>
      </w:r>
      <w:r w:rsidR="00A0174C">
        <w:t xml:space="preserve"> level </w:t>
      </w:r>
      <w:r w:rsidR="002D7057">
        <w:t xml:space="preserve">for </w:t>
      </w:r>
      <w:r w:rsidR="00A0174C">
        <w:t xml:space="preserve">the other categories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w:r w:rsidR="002D7057">
        <w:t xml:space="preserve">. </w:t>
      </w:r>
      <m:oMath>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oMath>
      <w:r w:rsidR="00D46849">
        <w:t xml:space="preserve"> </w:t>
      </w:r>
      <w:proofErr w:type="gramStart"/>
      <w:r w:rsidR="007E1179">
        <w:t>is</w:t>
      </w:r>
      <w:proofErr w:type="gramEnd"/>
      <w:r w:rsidR="00D46849">
        <w:t xml:space="preserve"> the cross-effect</w:t>
      </w:r>
      <w:r w:rsidR="00A0174C">
        <w:t xml:space="preserve"> on the</w:t>
      </w:r>
      <w:r w:rsidR="002D7057">
        <w:t xml:space="preserve"> decision </w:t>
      </w:r>
      <w:r w:rsidR="00592B43">
        <w:t>to</w:t>
      </w:r>
      <w:r w:rsidR="00B142D4">
        <w:t xml:space="preserve"> stay with</w:t>
      </w:r>
      <w:r w:rsidR="002D7057">
        <w:t xml:space="preserve"> firm </w:t>
      </w:r>
      <m:oMath>
        <m:r>
          <w:rPr>
            <w:rFonts w:ascii="Cambria Math" w:hAnsi="Cambria Math"/>
          </w:rPr>
          <m:t>c</m:t>
        </m:r>
      </m:oMath>
      <w:r w:rsidR="002D7057">
        <w:t xml:space="preserve">, </w:t>
      </w:r>
      <w:r w:rsidR="007E1179">
        <w:t>when</w:t>
      </w:r>
      <w:r w:rsidR="002D7057">
        <w:t xml:space="preserve"> different companies </w:t>
      </w:r>
      <w:r w:rsidR="007E1179">
        <w:t xml:space="preserve">are used </w:t>
      </w:r>
      <w:r w:rsidR="002D7057">
        <w:t>in these two categories</w:t>
      </w:r>
      <w:r w:rsidR="00A0174C">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rsidR="00F86E4D">
        <w:t xml:space="preserve"> </w:t>
      </w:r>
      <w:proofErr w:type="gramStart"/>
      <w:r w:rsidR="00226AFF">
        <w:t>is</w:t>
      </w:r>
      <w:proofErr w:type="gramEnd"/>
      <w:r w:rsidR="00226AFF">
        <w:t xml:space="preserve"> an</w:t>
      </w:r>
      <w:r w:rsidR="00CC5E61">
        <w:t xml:space="preserve"> indicator variable</w:t>
      </w:r>
      <w:r w:rsidR="00226AFF">
        <w:t xml:space="preserve"> that takes the value 1 if the </w:t>
      </w:r>
      <w:r w:rsidR="004D52A7">
        <w:t>s</w:t>
      </w:r>
      <w:r w:rsidR="00AB3C51">
        <w:t>ame firm</w:t>
      </w:r>
      <w:r w:rsidR="004D52A7">
        <w:t xml:space="preserve"> is used</w:t>
      </w:r>
      <w:r w:rsidR="00226AFF">
        <w:t xml:space="preserve"> in both categories</w:t>
      </w:r>
      <w:r w:rsidR="0040428A">
        <w:t xml:space="preserve"> </w:t>
      </w:r>
      <w:r w:rsidR="0040428A" w:rsidRPr="0040428A">
        <w:rPr>
          <w:i/>
        </w:rPr>
        <w:t>c</w:t>
      </w:r>
      <w:r w:rsidR="0040428A">
        <w:t xml:space="preserve">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26AFF">
        <w:t xml:space="preserve">. </w:t>
      </w:r>
      <m:oMath>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up>
            <m:r>
              <w:rPr>
                <w:rFonts w:ascii="Cambria Math" w:hAnsi="Cambria Math"/>
              </w:rPr>
              <m:t>S</m:t>
            </m:r>
          </m:sup>
        </m:sSubSup>
      </m:oMath>
      <w:r w:rsidR="00EE79F8">
        <w:t xml:space="preserve"> </w:t>
      </w:r>
      <w:proofErr w:type="gramStart"/>
      <w:r w:rsidR="00CC5E61">
        <w:t>measures</w:t>
      </w:r>
      <w:proofErr w:type="gramEnd"/>
      <w:r w:rsidR="00CC5E61">
        <w:t xml:space="preserve"> the </w:t>
      </w:r>
      <w:r w:rsidR="00CC5E61" w:rsidRPr="00235FB9">
        <w:rPr>
          <w:i/>
        </w:rPr>
        <w:t>incremental</w:t>
      </w:r>
      <w:r w:rsidR="00CC5E61">
        <w:t xml:space="preserve"> cross-category effect of satisfaction with the firm in </w:t>
      </w:r>
      <w:r w:rsidR="00CC5E61" w:rsidRPr="00235FB9">
        <w:rPr>
          <w:i/>
        </w:rPr>
        <w:t>c’</w:t>
      </w:r>
      <w:r w:rsidR="00CC5E61">
        <w:t xml:space="preserve"> </w:t>
      </w:r>
      <w:r w:rsidR="00226AFF">
        <w:t>when</w:t>
      </w:r>
      <w:r w:rsidR="00CC5E61">
        <w:t xml:space="preserve"> the firms are the same across categories</w:t>
      </w:r>
      <w:r w:rsidR="00226AFF">
        <w:t>.</w:t>
      </w:r>
      <w:r w:rsidR="003E784F">
        <w:t xml:space="preserve"> Next, we have</w:t>
      </w:r>
      <w:r w:rsidR="00975FB6">
        <w:t xml:space="preserve"> the interactions between the satisfaction variables (within and across categories) and </w:t>
      </w:r>
      <w:r w:rsidR="00D2711F">
        <w:t>MORE_ACC, MEDIA, CATG_GT1M and</w:t>
      </w:r>
      <w:r w:rsidR="00C32C1C">
        <w:t xml:space="preserve"> </w:t>
      </w:r>
      <w:r w:rsidR="008D5217">
        <w:t xml:space="preserve">FIRST_CATG </w:t>
      </w:r>
      <w:r w:rsidR="00975FB6">
        <w:t xml:space="preserve">(denoted </w:t>
      </w:r>
      <w:proofErr w:type="gramStart"/>
      <w:r w:rsidR="00975FB6">
        <w:t xml:space="preserve">as </w:t>
      </w:r>
      <w:proofErr w:type="gramEnd"/>
      <m:oMath>
        <m:sSub>
          <m:sSubPr>
            <m:ctrlPr>
              <w:rPr>
                <w:rFonts w:ascii="Cambria Math" w:hAnsi="Cambria Math"/>
                <w:i/>
              </w:rPr>
            </m:ctrlPr>
          </m:sSubPr>
          <m:e>
            <m:r>
              <w:rPr>
                <w:rFonts w:ascii="Cambria Math" w:hAnsi="Cambria Math"/>
              </w:rPr>
              <m:t>G</m:t>
            </m:r>
          </m:e>
          <m:sub>
            <m:r>
              <w:rPr>
                <w:rFonts w:ascii="Cambria Math" w:hAnsi="Cambria Math"/>
              </w:rPr>
              <m:t>ik</m:t>
            </m:r>
          </m:sub>
        </m:sSub>
      </m:oMath>
      <w:r w:rsidR="0066349A">
        <w:t xml:space="preserve">, where </w:t>
      </w:r>
      <w:r w:rsidR="0066349A" w:rsidRPr="0066349A">
        <w:rPr>
          <w:i/>
        </w:rPr>
        <w:t>k</w:t>
      </w:r>
      <w:r w:rsidR="003E784F">
        <w:t xml:space="preserve">=1,2,3,4, </w:t>
      </w:r>
      <w:r w:rsidR="00EF5C00">
        <w:t>indexing</w:t>
      </w:r>
      <w:r w:rsidR="003E784F">
        <w:t xml:space="preserve"> </w:t>
      </w:r>
      <w:r w:rsidR="0066349A">
        <w:t xml:space="preserve">these </w:t>
      </w:r>
      <w:r w:rsidR="008A7E9C">
        <w:t xml:space="preserve">four </w:t>
      </w:r>
      <w:r w:rsidR="0066349A">
        <w:t>variables</w:t>
      </w:r>
      <w:r w:rsidR="002239C0">
        <w:t xml:space="preserve">). </w:t>
      </w:r>
      <w:r w:rsidR="003E784F">
        <w:t xml:space="preserve"> We also have </w:t>
      </w:r>
      <w:r w:rsidR="0034637A">
        <w:t>the</w:t>
      </w:r>
      <w:r w:rsidR="009B1F3D">
        <w:t xml:space="preserve"> </w:t>
      </w:r>
      <w:r w:rsidR="00C655F0">
        <w:t xml:space="preserve">main effects of the </w:t>
      </w:r>
      <w:r w:rsidR="009B1F3D">
        <w:t>behavior</w:t>
      </w:r>
      <w:r w:rsidR="00F15D1D">
        <w:t>al</w:t>
      </w:r>
      <w:r w:rsidR="009B1F3D">
        <w:t xml:space="preserve"> </w:t>
      </w:r>
      <w:proofErr w:type="gramStart"/>
      <w:r w:rsidR="009B1F3D">
        <w:t xml:space="preserve">variables </w:t>
      </w:r>
      <w:proofErr w:type="gramEnd"/>
      <m:oMath>
        <m:sSub>
          <m:sSubPr>
            <m:ctrlPr>
              <w:rPr>
                <w:rFonts w:ascii="Cambria Math" w:hAnsi="Cambria Math"/>
                <w:i/>
              </w:rPr>
            </m:ctrlPr>
          </m:sSubPr>
          <m:e>
            <m:r>
              <w:rPr>
                <w:rFonts w:ascii="Cambria Math" w:hAnsi="Cambria Math"/>
              </w:rPr>
              <m:t>G</m:t>
            </m:r>
          </m:e>
          <m:sub>
            <m:r>
              <w:rPr>
                <w:rFonts w:ascii="Cambria Math" w:hAnsi="Cambria Math"/>
              </w:rPr>
              <m:t>ik</m:t>
            </m:r>
          </m:sub>
        </m:sSub>
      </m:oMath>
      <w:r w:rsidR="009B1F3D">
        <w:t xml:space="preserve">, </w:t>
      </w:r>
      <w:r w:rsidR="00C655F0">
        <w:t>the</w:t>
      </w:r>
      <w:r w:rsidR="0034637A">
        <w:t xml:space="preserve"> demographic variables</w:t>
      </w:r>
      <w:r w:rsidR="009B1F3D">
        <w:t xml:space="preserve"> and consumer characteristics </w:t>
      </w:r>
      <w:proofErr w:type="spellStart"/>
      <w:r w:rsidR="0034637A" w:rsidRPr="0034637A">
        <w:rPr>
          <w:i/>
        </w:rPr>
        <w:t>Z</w:t>
      </w:r>
      <w:r w:rsidR="0034637A" w:rsidRPr="0034637A">
        <w:rPr>
          <w:i/>
          <w:vertAlign w:val="subscript"/>
        </w:rPr>
        <w:t>i</w:t>
      </w:r>
      <w:proofErr w:type="spellEnd"/>
      <w:r w:rsidR="004E733B">
        <w:t xml:space="preserve">. </w:t>
      </w:r>
      <w:r w:rsidR="00750E2B">
        <w:t>T</w:t>
      </w:r>
      <w:r w:rsidR="004E733B">
        <w:t xml:space="preserve">heir </w:t>
      </w:r>
      <w:r w:rsidR="0034637A">
        <w:t>effects are accounted for via the parameters</w:t>
      </w:r>
      <w:r w:rsidR="004E733B">
        <w:t xml:space="preserve"> </w:t>
      </w:r>
      <m:oMath>
        <m:sSub>
          <m:sSubPr>
            <m:ctrlPr>
              <w:rPr>
                <w:rFonts w:ascii="Cambria Math" w:hAnsi="Cambria Math"/>
                <w:i/>
              </w:rPr>
            </m:ctrlPr>
          </m:sSubPr>
          <m:e>
            <m:r>
              <w:rPr>
                <w:rFonts w:ascii="Cambria Math" w:hAnsi="Cambria Math"/>
              </w:rPr>
              <m:t>β</m:t>
            </m:r>
          </m:e>
          <m:sub>
            <m:r>
              <w:rPr>
                <w:rFonts w:ascii="Cambria Math" w:hAnsi="Cambria Math"/>
              </w:rPr>
              <m:t>ck</m:t>
            </m:r>
          </m:sub>
        </m:sSub>
        <m:r>
          <w:rPr>
            <w:rFonts w:ascii="Cambria Math" w:hAnsi="Cambria Math"/>
          </w:rPr>
          <m:t>, ∀k</m:t>
        </m:r>
      </m:oMath>
      <w:r w:rsidR="004E733B">
        <w:t xml:space="preserve"> </w:t>
      </w:r>
      <w:proofErr w:type="gramStart"/>
      <w:r w:rsidR="004E733B">
        <w:t>and</w:t>
      </w:r>
      <w:r w:rsidR="004041FC">
        <w:t xml:space="preserve"> </w:t>
      </w:r>
      <w:proofErr w:type="gramEnd"/>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34637A" w:rsidRPr="0034637A">
        <w:rPr>
          <w:i/>
        </w:rPr>
        <w:t>.</w:t>
      </w:r>
      <w:r w:rsidR="0034637A">
        <w:t xml:space="preserve"> These variables account for observed heterogeneity across respondents</w:t>
      </w:r>
      <w:r w:rsidR="003E784F">
        <w:t>.</w:t>
      </w:r>
      <w:r w:rsidR="0034637A">
        <w:t xml:space="preserve"> </w:t>
      </w:r>
    </w:p>
    <w:p w14:paraId="48D27DFC" w14:textId="253D15CE" w:rsidR="00930F38" w:rsidRDefault="0078267A" w:rsidP="00AB3C51">
      <w:r>
        <w:t xml:space="preserve">How a consumer determines </w:t>
      </w:r>
      <m:oMath>
        <m:sSub>
          <m:sSubPr>
            <m:ctrlPr>
              <w:rPr>
                <w:rFonts w:ascii="Cambria Math" w:hAnsi="Cambria Math"/>
                <w:i/>
              </w:rPr>
            </m:ctrlPr>
          </m:sSubPr>
          <m:e>
            <m:r>
              <w:rPr>
                <w:rFonts w:ascii="Cambria Math" w:hAnsi="Cambria Math"/>
              </w:rPr>
              <m:t>H</m:t>
            </m:r>
          </m:e>
          <m: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t xml:space="preserve"> is the basis for accounting for self-selection in the data. </w:t>
      </w:r>
      <w:r w:rsidR="00AB3C51">
        <w:t>W</w:t>
      </w:r>
      <w:r>
        <w:t xml:space="preserve">e use a Binary </w:t>
      </w:r>
      <w:proofErr w:type="spellStart"/>
      <w:r>
        <w:t>Probit</w:t>
      </w:r>
      <w:proofErr w:type="spellEnd"/>
      <w:r>
        <w:t xml:space="preserve"> model to understand how various factors drive the choice of the same or different providers across categories. As only two categories are present in our data, there is only </w:t>
      </w:r>
      <w:proofErr w:type="gramStart"/>
      <w:r>
        <w:t xml:space="preserve">one </w:t>
      </w:r>
      <w:proofErr w:type="gramEnd"/>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 i</w:t>
      </w:r>
      <w:r>
        <w:t xml:space="preserve">n the following,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is removed from the subscripts. </w:t>
      </w:r>
      <w:r w:rsidR="009507EF">
        <w:t xml:space="preserve">The </w:t>
      </w:r>
      <w:r w:rsidR="00550039">
        <w:t xml:space="preserve">Binary </w:t>
      </w:r>
      <w:proofErr w:type="spellStart"/>
      <w:r w:rsidR="00550039">
        <w:t>Probit</w:t>
      </w:r>
      <w:proofErr w:type="spellEnd"/>
      <w:r w:rsidR="008A37A9">
        <w:t xml:space="preserve"> (BP)</w:t>
      </w:r>
      <w:r w:rsidR="00550039">
        <w:t xml:space="preserve"> </w:t>
      </w:r>
      <w:r w:rsidR="009507EF">
        <w:t>model is specified as</w:t>
      </w:r>
    </w:p>
    <w:tbl>
      <w:tblPr>
        <w:tblW w:w="5000" w:type="pct"/>
        <w:tblLook w:val="04A0" w:firstRow="1" w:lastRow="0" w:firstColumn="1" w:lastColumn="0" w:noHBand="0" w:noVBand="1"/>
      </w:tblPr>
      <w:tblGrid>
        <w:gridCol w:w="809"/>
        <w:gridCol w:w="7615"/>
        <w:gridCol w:w="936"/>
      </w:tblGrid>
      <w:tr w:rsidR="00DA2CED" w:rsidRPr="00F12342" w14:paraId="794C3DC9" w14:textId="77777777" w:rsidTr="00DA2CED">
        <w:tc>
          <w:tcPr>
            <w:tcW w:w="432" w:type="pct"/>
            <w:vAlign w:val="center"/>
          </w:tcPr>
          <w:p w14:paraId="11FFF2E5" w14:textId="77777777" w:rsidR="00DA2CED" w:rsidRPr="00F12342" w:rsidRDefault="00DA2CED" w:rsidP="00D62332">
            <w:pPr>
              <w:rPr>
                <w:rFonts w:eastAsia="Calibri" w:cs="Times New Roman"/>
                <w:lang w:eastAsia="en-US"/>
              </w:rPr>
            </w:pPr>
          </w:p>
        </w:tc>
        <w:tc>
          <w:tcPr>
            <w:tcW w:w="4067" w:type="pct"/>
            <w:vAlign w:val="center"/>
          </w:tcPr>
          <w:p w14:paraId="1D4392D8" w14:textId="08960685" w:rsidR="00DA2CED" w:rsidRPr="00F12342" w:rsidRDefault="00890FE0" w:rsidP="00A8594F">
            <w:pPr>
              <w:spacing w:line="240" w:lineRule="auto"/>
              <w:rPr>
                <w:rFonts w:eastAsia="Calibri" w:cs="Times New Roman"/>
                <w:lang w:eastAsia="en-US"/>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500" w:type="pct"/>
            <w:vAlign w:val="center"/>
          </w:tcPr>
          <w:p w14:paraId="4465326C" w14:textId="15B0DA6F" w:rsidR="00DA2CED" w:rsidRPr="00F12342" w:rsidRDefault="00AB3C51" w:rsidP="00AB3C51">
            <w:pPr>
              <w:adjustRightInd w:val="0"/>
              <w:snapToGrid w:val="0"/>
              <w:spacing w:before="120" w:after="120" w:line="240" w:lineRule="auto"/>
              <w:ind w:firstLine="0"/>
              <w:jc w:val="center"/>
              <w:rPr>
                <w:rFonts w:eastAsia="Calibri" w:cs="Times New Roman"/>
                <w:lang w:eastAsia="en-US"/>
              </w:rPr>
            </w:pPr>
            <w:r>
              <w:rPr>
                <w:rFonts w:eastAsia="Calibri" w:cs="Times New Roman"/>
                <w:lang w:eastAsia="en-US"/>
              </w:rPr>
              <w:t>(3)</w:t>
            </w:r>
          </w:p>
        </w:tc>
      </w:tr>
    </w:tbl>
    <w:p w14:paraId="76E90851" w14:textId="403FE5CC" w:rsidR="00670A67" w:rsidRDefault="00670A67" w:rsidP="0099148F">
      <w:pPr>
        <w:ind w:firstLine="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&gt;0|</m:t>
              </m:r>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5B1F046E" w14:textId="6175B3FA" w:rsidR="0055020E" w:rsidRDefault="00890FE0" w:rsidP="00AB3C51">
      <w:pPr>
        <w:ind w:firstLine="0"/>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B3C51">
        <w:t xml:space="preserve"> </w:t>
      </w:r>
      <w:proofErr w:type="gramStart"/>
      <w:r w:rsidR="00AB3C51">
        <w:t>represents</w:t>
      </w:r>
      <w:proofErr w:type="gramEnd"/>
      <w:r w:rsidR="00AB3C51">
        <w:t xml:space="preserve"> </w:t>
      </w:r>
      <w:r w:rsidR="00064E8D">
        <w:t xml:space="preserve">individual specific factors that drive selection and </w:t>
      </w:r>
      <m:oMath>
        <m:r>
          <w:rPr>
            <w:rFonts w:ascii="Cambria Math" w:hAnsi="Cambria Math"/>
          </w:rPr>
          <m:t>ρ</m:t>
        </m:r>
      </m:oMath>
      <w:r w:rsidR="00A8594F">
        <w:t xml:space="preserve"> </w:t>
      </w:r>
      <w:r w:rsidR="00064E8D">
        <w:t xml:space="preserve">denotes the effect of </w:t>
      </w:r>
      <w:r w:rsidR="003F2FD1">
        <w:t xml:space="preserve">these factors on selecting </w:t>
      </w:r>
      <w:r w:rsidR="00A8594F">
        <w:t>the same company for both services</w:t>
      </w:r>
      <w:r w:rsidR="003F2FD1">
        <w:t xml:space="preserve">.. </w:t>
      </w:r>
      <w:r w:rsidR="00AB3C51">
        <w:t>T</w:t>
      </w:r>
      <w:r w:rsidR="002272FE">
        <w:t xml:space="preserve">he random error term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2272FE">
        <w:t xml:space="preserve"> is assumed to follow </w:t>
      </w:r>
      <w:r w:rsidR="00AC03A2">
        <w:t xml:space="preserve">a </w:t>
      </w:r>
      <w:r w:rsidR="008A37A9">
        <w:t xml:space="preserve">standard </w:t>
      </w:r>
      <w:r w:rsidR="00550039">
        <w:t>n</w:t>
      </w:r>
      <w:r w:rsidR="002272FE">
        <w:t>ormal distribution</w:t>
      </w:r>
      <w:r w:rsidR="00B47740">
        <w:t>,</w:t>
      </w:r>
      <w:r w:rsidR="00AB3C51">
        <w:t xml:space="preserve"> i.e.</w:t>
      </w:r>
      <w:r w:rsidR="00635734">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0,1</m:t>
            </m:r>
          </m:e>
        </m:d>
      </m:oMath>
      <w:r w:rsidR="00237235">
        <w:t>.</w:t>
      </w:r>
      <w:r w:rsidR="00AB3C51">
        <w:t xml:space="preserve"> We allow the error terms in the</w:t>
      </w:r>
      <w:r w:rsidR="00670A67">
        <w:t xml:space="preserve"> two models to be correlated, </w:t>
      </w:r>
      <w:r w:rsidR="00384E39">
        <w:t>so the distribution of</w:t>
      </w:r>
      <w:r w:rsidR="00670A67">
        <w:t xml:space="preserve"> </w:t>
      </w:r>
      <m:oMath>
        <m:sSub>
          <m:sSubPr>
            <m:ctrlPr>
              <w:rPr>
                <w:rFonts w:ascii="Cambria Math" w:hAnsi="Cambria Math"/>
                <w:i/>
              </w:rPr>
            </m:ctrlPr>
          </m:sSubPr>
          <m:e>
            <m:r>
              <w:rPr>
                <w:rFonts w:ascii="Cambria Math" w:hAnsi="Cambria Math"/>
              </w:rPr>
              <m:t>ϵ</m:t>
            </m:r>
          </m:e>
          <m:sub>
            <m:r>
              <w:rPr>
                <w:rFonts w:ascii="Cambria Math" w:hAnsi="Cambria Math"/>
              </w:rPr>
              <m:t>ifc</m:t>
            </m:r>
          </m:sub>
        </m:sSub>
      </m:oMath>
      <w:r w:rsidR="009245B9">
        <w:t xml:space="preserve"> in the M</w:t>
      </w:r>
      <w:r w:rsidR="00414768">
        <w:t>B</w:t>
      </w:r>
      <w:r w:rsidR="009245B9">
        <w:t>P model (equation (</w:t>
      </w:r>
      <w:r w:rsidR="00DC6D00">
        <w:t>1</w:t>
      </w:r>
      <w:r w:rsidR="009245B9">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9245B9">
        <w:t xml:space="preserve"> in the </w:t>
      </w:r>
      <w:r w:rsidR="008A37A9">
        <w:t xml:space="preserve">BP </w:t>
      </w:r>
      <w:r w:rsidR="009245B9">
        <w:t>model (equation (3))</w:t>
      </w:r>
      <w:r w:rsidR="0055020E">
        <w:t xml:space="preserve"> is</w:t>
      </w:r>
    </w:p>
    <w:p w14:paraId="3C4B0BA0" w14:textId="4D559FF4" w:rsidR="00670A67" w:rsidRPr="00886A59" w:rsidRDefault="00890FE0" w:rsidP="0055020E">
      <w:pPr>
        <w:ind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ifc</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mr>
              </m:m>
            </m:e>
          </m:d>
          <m:r>
            <w:rPr>
              <w:rFonts w:ascii="Cambria Math" w:hAnsi="Cambria Math"/>
            </w:rPr>
            <m:t>~N</m:t>
          </m:r>
          <m:d>
            <m:dPr>
              <m:ctrlPr>
                <w:rPr>
                  <w:rFonts w:ascii="Cambria Math" w:hAnsi="Cambria Math"/>
                  <w:i/>
                </w:rPr>
              </m:ctrlPr>
            </m:dPr>
            <m:e>
              <m:r>
                <w:rPr>
                  <w:rFonts w:ascii="Cambria Math" w:hAnsi="Cambria Math"/>
                </w:rPr>
                <m:t>0,</m:t>
              </m:r>
              <m:r>
                <m:rPr>
                  <m:sty m:val="p"/>
                </m:rPr>
                <w:rPr>
                  <w:rFonts w:ascii="Cambria Math" w:hAnsi="Cambria Math"/>
                </w:rPr>
                <m:t>Σ</m:t>
              </m:r>
            </m:e>
          </m:d>
        </m:oMath>
      </m:oMathPara>
    </w:p>
    <w:p w14:paraId="185C0689" w14:textId="02C172CC" w:rsidR="005355D3" w:rsidRDefault="00373C81" w:rsidP="00CD1155">
      <w:pPr>
        <w:ind w:firstLine="0"/>
      </w:pPr>
      <w:r>
        <w:t xml:space="preserve">In summary, </w:t>
      </w:r>
      <w:r w:rsidR="00AB3C51">
        <w:t xml:space="preserve">our model specification is a MBP-BP model </w:t>
      </w:r>
      <w:r>
        <w:t>using an indiv</w:t>
      </w:r>
      <w:r w:rsidR="00BF561C">
        <w:t>idual level Multidimensional</w:t>
      </w:r>
      <w:r w:rsidR="00414768">
        <w:t xml:space="preserve"> Binary</w:t>
      </w:r>
      <w:r>
        <w:t xml:space="preserve"> </w:t>
      </w:r>
      <w:proofErr w:type="spellStart"/>
      <w:r>
        <w:t>Probit</w:t>
      </w:r>
      <w:proofErr w:type="spellEnd"/>
      <w:r>
        <w:t xml:space="preserve"> model</w:t>
      </w:r>
      <w:r w:rsidR="005D3FA0">
        <w:t xml:space="preserve"> </w:t>
      </w:r>
      <w:r w:rsidR="001B456B">
        <w:t>and</w:t>
      </w:r>
      <w:r w:rsidR="005D3FA0">
        <w:t xml:space="preserve"> </w:t>
      </w:r>
      <w:r w:rsidR="00F002F3">
        <w:t xml:space="preserve">accounting for selection on a </w:t>
      </w:r>
      <w:r w:rsidR="001B456B">
        <w:t>RHS</w:t>
      </w:r>
      <w:r w:rsidR="00F002F3">
        <w:t xml:space="preserve"> variable</w:t>
      </w:r>
      <w:r w:rsidR="00DF1B8B">
        <w:t xml:space="preserve"> using a </w:t>
      </w:r>
      <w:r w:rsidR="008E37A6">
        <w:t xml:space="preserve">Binary </w:t>
      </w:r>
      <w:proofErr w:type="spellStart"/>
      <w:r w:rsidR="00DF1B8B">
        <w:t>Probit</w:t>
      </w:r>
      <w:proofErr w:type="spellEnd"/>
      <w:r w:rsidR="00DF1B8B">
        <w:t xml:space="preserve"> choice model</w:t>
      </w:r>
      <w:r>
        <w:t>.</w:t>
      </w:r>
      <w:r w:rsidR="00046618">
        <w:t xml:space="preserve"> </w:t>
      </w:r>
    </w:p>
    <w:p w14:paraId="0E519CA6" w14:textId="310345CD" w:rsidR="00F513D8" w:rsidRPr="00F513D8" w:rsidRDefault="00F513D8" w:rsidP="004655A2">
      <w:pPr>
        <w:ind w:firstLine="0"/>
        <w:jc w:val="center"/>
        <w:rPr>
          <w:rFonts w:asciiTheme="majorHAnsi" w:eastAsiaTheme="majorEastAsia" w:hAnsiTheme="majorHAnsi" w:cstheme="majorBidi"/>
          <w:b/>
          <w:bCs/>
          <w:color w:val="365F91" w:themeColor="accent1" w:themeShade="BF"/>
          <w:sz w:val="28"/>
          <w:szCs w:val="28"/>
        </w:rPr>
      </w:pPr>
      <w:r w:rsidRPr="00F513D8">
        <w:rPr>
          <w:sz w:val="28"/>
          <w:szCs w:val="28"/>
        </w:rPr>
        <w:t>Estimation</w:t>
      </w:r>
      <w:r w:rsidR="00057D60">
        <w:rPr>
          <w:sz w:val="28"/>
          <w:szCs w:val="28"/>
        </w:rPr>
        <w:t xml:space="preserve"> &amp; Identification</w:t>
      </w:r>
    </w:p>
    <w:p w14:paraId="11539582" w14:textId="441E30FB" w:rsidR="00965BF3" w:rsidRPr="0096175E" w:rsidRDefault="001B456B" w:rsidP="0096175E">
      <w:r>
        <w:t>W</w:t>
      </w:r>
      <w:r w:rsidR="00C51D51">
        <w:t>e develop a likelihood-based approach that allows us to estimate all the model parameters simultaneously using Bayesian methods.</w:t>
      </w:r>
      <w:r w:rsidR="007F7A61">
        <w:t xml:space="preserve"> </w:t>
      </w:r>
      <w:r w:rsidR="009C1AE9">
        <w:t>D</w:t>
      </w:r>
      <w:r w:rsidR="00C51D51">
        <w:t xml:space="preserve">efine </w:t>
      </w:r>
      <m:oMath>
        <m:r>
          <m:rPr>
            <m:sty m:val="p"/>
          </m:rPr>
          <w:rPr>
            <w:rFonts w:ascii="Cambria Math" w:hAnsi="Cambria Math"/>
          </w:rPr>
          <m:t>Δ</m:t>
        </m:r>
      </m:oMath>
      <w:r w:rsidR="00C51D51">
        <w:t xml:space="preserve"> as the set of all the parameters to be estimated, i.e. </w:t>
      </w:r>
    </w:p>
    <w:p w14:paraId="00E71F66" w14:textId="199DEEE1" w:rsidR="00965BF3" w:rsidRDefault="00C51D51" w:rsidP="00465CF1">
      <w:pPr>
        <w:ind w:firstLine="0"/>
        <w:jc w:val="left"/>
      </w:pPr>
      <m:oMathPara>
        <m:oMath>
          <m:r>
            <m:rPr>
              <m:sty m:val="p"/>
            </m:rPr>
            <w:rPr>
              <w:rFonts w:ascii="Cambria Math" w:hAnsi="Cambria Math"/>
            </w:rPr>
            <m:t>Δ</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r>
                <w:rPr>
                  <w:rFonts w:ascii="Cambria Math" w:hAnsi="Cambria Math"/>
                </w:rPr>
                <m:t xml:space="preserve">, </m:t>
              </m:r>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up>
                  <m:r>
                    <w:rPr>
                      <w:rFonts w:ascii="Cambria Math" w:hAnsi="Cambria Math"/>
                    </w:rPr>
                    <m:t>S</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clk</m:t>
                  </m:r>
                </m:sub>
              </m:sSub>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lk</m:t>
                  </m:r>
                </m:sub>
              </m:sSub>
              <m:r>
                <w:rPr>
                  <w:rFonts w:ascii="Cambria Math" w:hAnsi="Cambria Math"/>
                </w:rPr>
                <m:t xml:space="preserve">, </m:t>
              </m:r>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,ρ,</m:t>
              </m:r>
              <m:r>
                <m:rPr>
                  <m:sty m:val="p"/>
                </m:rPr>
                <w:rPr>
                  <w:rFonts w:ascii="Cambria Math" w:hAnsi="Cambria Math"/>
                </w:rPr>
                <m:t xml:space="preserve">Σ,   </m:t>
              </m:r>
              <m:r>
                <w:rPr>
                  <w:rFonts w:ascii="Cambria Math" w:hAnsi="Cambria Math"/>
                </w:rPr>
                <m:t>∀i,c,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,f,l,k</m:t>
              </m:r>
            </m:e>
          </m:d>
        </m:oMath>
      </m:oMathPara>
    </w:p>
    <w:p w14:paraId="6DA0ED86" w14:textId="79E3F42E" w:rsidR="00985AE7" w:rsidRDefault="00C51D51" w:rsidP="008D5217">
      <w:pPr>
        <w:ind w:firstLine="0"/>
        <w:jc w:val="left"/>
      </w:pPr>
      <w:r>
        <w:t xml:space="preserve">The full information likelihood function is </w:t>
      </w:r>
    </w:p>
    <w:tbl>
      <w:tblPr>
        <w:tblW w:w="4910" w:type="pct"/>
        <w:tblLook w:val="04A0" w:firstRow="1" w:lastRow="0" w:firstColumn="1" w:lastColumn="0" w:noHBand="0" w:noVBand="1"/>
      </w:tblPr>
      <w:tblGrid>
        <w:gridCol w:w="458"/>
        <w:gridCol w:w="7811"/>
        <w:gridCol w:w="923"/>
      </w:tblGrid>
      <w:tr w:rsidR="00985AE7" w:rsidRPr="00D06F32" w14:paraId="1B060546" w14:textId="77777777" w:rsidTr="00E831D9">
        <w:tc>
          <w:tcPr>
            <w:tcW w:w="249" w:type="pct"/>
            <w:vAlign w:val="center"/>
          </w:tcPr>
          <w:p w14:paraId="5E01672C" w14:textId="77777777" w:rsidR="00985AE7" w:rsidRPr="00D06F32" w:rsidRDefault="00985AE7" w:rsidP="00E831D9">
            <w:pPr>
              <w:jc w:val="center"/>
              <w:rPr>
                <w:rFonts w:eastAsia="Calibri" w:cs="Times New Roman"/>
                <w:lang w:eastAsia="en-US"/>
              </w:rPr>
            </w:pPr>
          </w:p>
        </w:tc>
        <w:tc>
          <w:tcPr>
            <w:tcW w:w="4249" w:type="pct"/>
            <w:vAlign w:val="center"/>
          </w:tcPr>
          <w:p w14:paraId="07E79CA5" w14:textId="1C184A55" w:rsidR="00985AE7" w:rsidRPr="00E831D9" w:rsidRDefault="00985AE7" w:rsidP="00E831D9">
            <w:pPr>
              <w:spacing w:line="240" w:lineRule="auto"/>
              <w:ind w:firstLine="0"/>
              <w:jc w:val="center"/>
            </w:pPr>
            <m:oMathPara>
              <m:oMathParaPr>
                <m:jc m:val="center"/>
              </m:oMathPara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Δ</m:t>
                    </m:r>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Δ</m:t>
                    </m:r>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,ρ, </m:t>
                    </m:r>
                    <m:r>
                      <m:rPr>
                        <m:sty m:val="p"/>
                      </m:rPr>
                      <w:rPr>
                        <w:rFonts w:ascii="Cambria Math" w:hAnsi="Cambria Math"/>
                      </w:rPr>
                      <m:t>Σ</m:t>
                    </m:r>
                  </m:e>
                </m:d>
              </m:oMath>
            </m:oMathPara>
          </w:p>
        </w:tc>
        <w:tc>
          <w:tcPr>
            <w:tcW w:w="502" w:type="pct"/>
          </w:tcPr>
          <w:p w14:paraId="5B710CD4" w14:textId="7007E392" w:rsidR="00985AE7" w:rsidRPr="00D06F32" w:rsidRDefault="00E831D9" w:rsidP="00E831D9">
            <w:pPr>
              <w:adjustRightInd w:val="0"/>
              <w:snapToGrid w:val="0"/>
              <w:spacing w:before="120" w:after="120" w:line="240" w:lineRule="auto"/>
              <w:ind w:firstLine="0"/>
              <w:jc w:val="center"/>
              <w:rPr>
                <w:rFonts w:eastAsia="Calibri" w:cs="Times New Roman"/>
                <w:lang w:eastAsia="en-US"/>
              </w:rPr>
            </w:pPr>
            <w:r>
              <w:rPr>
                <w:rFonts w:eastAsia="Calibri" w:cs="Times New Roman"/>
                <w:lang w:eastAsia="en-US"/>
              </w:rPr>
              <w:t>(4)</w:t>
            </w:r>
          </w:p>
        </w:tc>
      </w:tr>
    </w:tbl>
    <w:p w14:paraId="79B2425C" w14:textId="77777777" w:rsidR="00E831D9" w:rsidRDefault="00E831D9" w:rsidP="008D5217">
      <w:pPr>
        <w:tabs>
          <w:tab w:val="left" w:pos="6186"/>
        </w:tabs>
        <w:ind w:firstLine="0"/>
      </w:pPr>
    </w:p>
    <w:p w14:paraId="780BD82D" w14:textId="07E0C910" w:rsidR="00C51D51" w:rsidRDefault="00C51D51" w:rsidP="008D5217">
      <w:pPr>
        <w:tabs>
          <w:tab w:val="left" w:pos="6186"/>
        </w:tabs>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denotes individual </w:t>
      </w:r>
      <w:r w:rsidRPr="002A629B">
        <w:rPr>
          <w:i/>
        </w:rPr>
        <w:t>i</w:t>
      </w:r>
      <w:r>
        <w:t xml:space="preserve">’s </w:t>
      </w:r>
      <w:r w:rsidR="00414768">
        <w:t>decisions</w:t>
      </w:r>
      <w:r w:rsidR="00B142D4">
        <w:t xml:space="preserve"> </w:t>
      </w:r>
      <w:r w:rsidR="00592B43">
        <w:t>to</w:t>
      </w:r>
      <w:r w:rsidR="00B142D4">
        <w:t xml:space="preserve"> stay</w:t>
      </w:r>
      <w:r>
        <w:t>, which are observed</w:t>
      </w:r>
      <w:r w:rsidR="00414768">
        <w:t xml:space="preserve"> dummy variables</w:t>
      </w:r>
      <w:r w:rsidRPr="00465CF1">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465CF1">
        <w:t xml:space="preserve"> </w:t>
      </w:r>
      <w:proofErr w:type="gramStart"/>
      <w:r w:rsidRPr="00465CF1">
        <w:t>denote</w:t>
      </w:r>
      <w:r w:rsidR="009C32C8">
        <w:t>s</w:t>
      </w:r>
      <w:proofErr w:type="gramEnd"/>
      <w:r w:rsidRPr="00465CF1">
        <w:t xml:space="preserve"> </w:t>
      </w:r>
      <w:r w:rsidR="0096175E">
        <w:t xml:space="preserve">whether </w:t>
      </w:r>
      <w:r w:rsidRPr="00465CF1">
        <w:t>the customer</w:t>
      </w:r>
      <w:r w:rsidR="00D431D0">
        <w:t xml:space="preserve"> </w:t>
      </w:r>
      <w:r w:rsidR="0096175E">
        <w:t xml:space="preserve">uses the </w:t>
      </w:r>
      <w:r w:rsidR="00D431D0">
        <w:t>same or different providers in the categories</w:t>
      </w:r>
      <w:r>
        <w:t xml:space="preserve">. </w:t>
      </w:r>
    </w:p>
    <w:p w14:paraId="3FBFF299" w14:textId="278DDB22" w:rsidR="00C51D51" w:rsidRDefault="00C51D51" w:rsidP="0096175E">
      <w:r>
        <w:t>The li</w:t>
      </w:r>
      <w:r w:rsidR="00AF0F9F">
        <w:t>kelihood function in equation (4</w:t>
      </w:r>
      <w:r>
        <w:t>) consists of two likelihood functions from two models, i.e. the</w:t>
      </w:r>
      <w:r w:rsidR="004075EF">
        <w:t xml:space="preserve"> MB</w:t>
      </w:r>
      <w:r>
        <w:t xml:space="preserve">P </w:t>
      </w:r>
      <w:r w:rsidR="00D431D0">
        <w:t xml:space="preserve">switching </w:t>
      </w:r>
      <w:r w:rsidR="00924437">
        <w:t>(the first probabilit</w:t>
      </w:r>
      <w:r w:rsidR="00791C40">
        <w:t>y</w:t>
      </w:r>
      <w:r w:rsidR="00924437">
        <w:t xml:space="preserve">) </w:t>
      </w:r>
      <w:r>
        <w:t xml:space="preserve">and the </w:t>
      </w:r>
      <w:r w:rsidR="00E80E2A">
        <w:t>B</w:t>
      </w:r>
      <w:r w:rsidR="0090196C">
        <w:t>P</w:t>
      </w:r>
      <w:r>
        <w:t xml:space="preserve"> selection models (the last probabilit</w:t>
      </w:r>
      <w:r w:rsidR="00791C40">
        <w:t>y</w:t>
      </w:r>
      <w:r>
        <w:t>). We develop an MCMC algorithm to estimate the model parameters in this likelihood function</w:t>
      </w:r>
      <w:r w:rsidR="00CE05F9">
        <w:t xml:space="preserve">, by augmenting the latent variables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5F0502">
        <w:t xml:space="preserve"> as in equation (1) and </w:t>
      </w:r>
      <m:oMath>
        <m:sSub>
          <m:sSubPr>
            <m:ctrlPr>
              <w:rPr>
                <w:rFonts w:ascii="Cambria Math" w:hAnsi="Cambria Math"/>
                <w:i/>
              </w:rPr>
            </m:ctrlPr>
          </m:sSubPr>
          <m:e>
            <m:r>
              <w:rPr>
                <w:rFonts w:ascii="Cambria Math" w:hAnsi="Cambria Math"/>
              </w:rPr>
              <m:t>h</m:t>
            </m:r>
          </m:e>
          <m:sub>
            <m:r>
              <w:rPr>
                <w:rFonts w:ascii="Cambria Math" w:hAnsi="Cambria Math"/>
              </w:rPr>
              <m:t>it</m:t>
            </m:r>
          </m:sub>
        </m:sSub>
      </m:oMath>
      <w:r w:rsidR="0028212F">
        <w:t xml:space="preserve"> as in equation (3)</w:t>
      </w:r>
      <w:r>
        <w:t>. In doing so, we put the parameters and the latent values into groups, and obtain the posterior distributions of all the parameters via Gibbs sampling and data augmentation techniques. The d</w:t>
      </w:r>
      <w:r w:rsidR="00BC16C6">
        <w:t xml:space="preserve">etails of the Gibbs sampling </w:t>
      </w:r>
      <w:r w:rsidR="00182423">
        <w:t>are presented in</w:t>
      </w:r>
      <w:r w:rsidR="0007555C">
        <w:t xml:space="preserve"> Web</w:t>
      </w:r>
      <w:r w:rsidR="00182423">
        <w:t xml:space="preserve"> Appendi</w:t>
      </w:r>
      <w:r w:rsidR="0007555C">
        <w:t>x</w:t>
      </w:r>
      <w:r w:rsidR="0096175E">
        <w:t xml:space="preserve">. </w:t>
      </w:r>
    </w:p>
    <w:p w14:paraId="03A388EE" w14:textId="3EC7A99C" w:rsidR="00A74675" w:rsidRPr="00212C35" w:rsidRDefault="00EA7F85" w:rsidP="00212C35">
      <w:r>
        <w:t>D</w:t>
      </w:r>
      <w:r w:rsidR="00713A44">
        <w:t xml:space="preserve">ue to the inclusion of the </w:t>
      </w:r>
      <m:oMath>
        <m:sSub>
          <m:sSubPr>
            <m:ctrlPr>
              <w:rPr>
                <w:rFonts w:ascii="Cambria Math" w:hAnsi="Cambria Math"/>
                <w:i/>
              </w:rPr>
            </m:ctrlPr>
          </m:sSubPr>
          <m:e>
            <m:r>
              <w:rPr>
                <w:rFonts w:ascii="Cambria Math" w:hAnsi="Cambria Math"/>
              </w:rPr>
              <m:t>G</m:t>
            </m:r>
          </m:e>
          <m:sub>
            <m:r>
              <w:rPr>
                <w:rFonts w:ascii="Cambria Math" w:hAnsi="Cambria Math"/>
              </w:rPr>
              <m:t>ik</m:t>
            </m:r>
          </m:sub>
        </m:sSub>
      </m:oMath>
      <w:r w:rsidR="00B35424">
        <w:t>variables in equation (2)</w:t>
      </w:r>
      <w:r>
        <w:t>, we have a large number of interaction effects we need to estimate</w:t>
      </w:r>
      <w:r w:rsidR="00B35424">
        <w:t xml:space="preserve">. </w:t>
      </w:r>
      <w:r w:rsidR="00F15D1D">
        <w:t xml:space="preserve">We take two steps to alleviate that burden. The </w:t>
      </w:r>
      <w:r w:rsidR="008D5217">
        <w:t xml:space="preserve">MORE_ACC </w:t>
      </w:r>
      <w:r w:rsidR="00F15D1D">
        <w:t>variable</w:t>
      </w:r>
      <w:r w:rsidR="00277D23">
        <w:t xml:space="preserve"> is measured </w:t>
      </w:r>
      <w:r w:rsidR="00E3605D">
        <w:t xml:space="preserve">only </w:t>
      </w:r>
      <w:r w:rsidR="00277D23">
        <w:t>at</w:t>
      </w:r>
      <w:r w:rsidR="00F15D1D">
        <w:t xml:space="preserve"> the </w:t>
      </w:r>
      <w:r w:rsidR="00277D23">
        <w:t xml:space="preserve">category </w:t>
      </w:r>
      <w:r w:rsidR="00F15D1D">
        <w:t xml:space="preserve">level </w:t>
      </w:r>
      <w:r w:rsidR="006D7418">
        <w:t>(</w:t>
      </w:r>
      <w:r w:rsidR="00E3605D">
        <w:t>whereas</w:t>
      </w:r>
      <w:r w:rsidR="00443499">
        <w:t xml:space="preserve"> all the other variables are measured at firm level</w:t>
      </w:r>
      <w:r w:rsidR="006D7418">
        <w:t>)</w:t>
      </w:r>
      <w:r w:rsidR="00F15D1D">
        <w:t xml:space="preserve">. </w:t>
      </w:r>
      <w:r w:rsidR="00277D23">
        <w:t>So rather than interact it with the firm-specific satisfaction lev</w:t>
      </w:r>
      <w:r w:rsidR="00E3605D">
        <w:t>els, we use</w:t>
      </w:r>
      <w:r w:rsidR="00277D23">
        <w:t xml:space="preserve"> it as a shifter of the propensity to stay with the current provider; i.e., we only estimate </w:t>
      </w:r>
      <m:oMath>
        <m:sSub>
          <m:sSubPr>
            <m:ctrlPr>
              <w:rPr>
                <w:rFonts w:ascii="Cambria Math" w:hAnsi="Cambria Math"/>
                <w:i/>
              </w:rPr>
            </m:ctrlPr>
          </m:sSubPr>
          <m:e>
            <m:r>
              <w:rPr>
                <w:rFonts w:ascii="Cambria Math" w:hAnsi="Cambria Math"/>
              </w:rPr>
              <m:t>β</m:t>
            </m:r>
          </m:e>
          <m:sub>
            <m:r>
              <w:rPr>
                <w:rFonts w:ascii="Cambria Math" w:hAnsi="Cambria Math"/>
              </w:rPr>
              <m:t>ck</m:t>
            </m:r>
          </m:sub>
        </m:sSub>
      </m:oMath>
      <w:r w:rsidR="00277D23">
        <w:t xml:space="preserve"> (in equation (2)) for this variable. </w:t>
      </w:r>
      <w:r w:rsidR="00212C35">
        <w:t>O</w:t>
      </w:r>
      <w:r w:rsidR="007B3598">
        <w:t>nly 92 (63)</w:t>
      </w:r>
      <w:r w:rsidR="00A928B7">
        <w:t xml:space="preserve"> of 441</w:t>
      </w:r>
      <w:r w:rsidR="007B3598">
        <w:t xml:space="preserve"> respondents </w:t>
      </w:r>
      <w:r w:rsidR="00212C35">
        <w:t>report</w:t>
      </w:r>
      <w:r w:rsidR="007B3598">
        <w:t xml:space="preserve"> over $1M in the banking (investment) company</w:t>
      </w:r>
      <w:r w:rsidR="00212C35">
        <w:t xml:space="preserve"> (</w:t>
      </w:r>
      <w:r w:rsidR="008D5217">
        <w:t>CATG_GT1M</w:t>
      </w:r>
      <w:r w:rsidR="00212C35">
        <w:t>)</w:t>
      </w:r>
      <w:r w:rsidR="00B729E6">
        <w:t xml:space="preserve">. </w:t>
      </w:r>
      <w:r w:rsidR="00212C35">
        <w:t xml:space="preserve">We reduce the number </w:t>
      </w:r>
      <w:r w:rsidR="00212C35">
        <w:lastRenderedPageBreak/>
        <w:t xml:space="preserve">of associated parameters from 12 </w:t>
      </w:r>
      <w:r w:rsidR="00BA6797">
        <w:t>(</w:t>
      </w:r>
      <w:r w:rsidR="0084450B">
        <w:t xml:space="preserve">including 2 categories, and within each category: </w:t>
      </w:r>
      <w:r w:rsidR="00F15D1D">
        <w:t>2 own category, 2 cross category</w:t>
      </w:r>
      <w:r w:rsidR="0015599A">
        <w:t xml:space="preserve"> for the baseline spillover effects</w:t>
      </w:r>
      <w:r w:rsidR="00F15D1D">
        <w:t>, 2 cross category</w:t>
      </w:r>
      <w:r w:rsidR="0015599A">
        <w:t xml:space="preserve"> for the additional spillover effects due to the </w:t>
      </w:r>
      <w:r w:rsidR="00F15D1D">
        <w:t>same firm)</w:t>
      </w:r>
      <w:r w:rsidR="00212C35">
        <w:t xml:space="preserve"> to 4 by </w:t>
      </w:r>
      <w:r w:rsidR="00E3605D">
        <w:t>first</w:t>
      </w:r>
      <w:r w:rsidR="00F15D1D">
        <w:t xml:space="preserve"> constrai</w:t>
      </w:r>
      <w:r w:rsidR="0015599A">
        <w:t>n</w:t>
      </w:r>
      <w:r w:rsidR="00E3605D">
        <w:t>ing</w:t>
      </w:r>
      <w:r w:rsidR="00F15D1D">
        <w:t xml:space="preserve"> the parameters to be the same across categories</w:t>
      </w:r>
      <w:r w:rsidR="00BA6797">
        <w:t xml:space="preserve"> (reducing it to 6 parameters)</w:t>
      </w:r>
      <w:r w:rsidR="0015599A">
        <w:t>;</w:t>
      </w:r>
      <w:r w:rsidR="00F15D1D">
        <w:t xml:space="preserve"> and then </w:t>
      </w:r>
      <w:r w:rsidR="00443499">
        <w:t xml:space="preserve">combining the </w:t>
      </w:r>
      <w:r w:rsidR="0015599A">
        <w:t>2 sets of</w:t>
      </w:r>
      <w:r w:rsidR="00F15D1D">
        <w:t xml:space="preserve"> cross category effects</w:t>
      </w:r>
      <w:r w:rsidR="00E4724C">
        <w:t xml:space="preserve"> </w:t>
      </w:r>
      <w:r w:rsidR="00443499">
        <w:t>parameters</w:t>
      </w:r>
      <w:r w:rsidR="0015599A">
        <w:t xml:space="preserve"> (baseline and additional)</w:t>
      </w:r>
      <w:r w:rsidR="00212C35">
        <w:t xml:space="preserve">. </w:t>
      </w:r>
      <w:r w:rsidR="00F15D1D">
        <w:t>Similarly,</w:t>
      </w:r>
      <w:r w:rsidR="007B3598">
        <w:t xml:space="preserve"> 39 (26) participants report having a banking (investment) account before an investment (banking) account</w:t>
      </w:r>
      <w:r w:rsidR="00212C35">
        <w:t xml:space="preserve">; we </w:t>
      </w:r>
      <w:r w:rsidR="00F15D1D">
        <w:t xml:space="preserve">reduce the number of parameters to estimate </w:t>
      </w:r>
      <w:r w:rsidR="00991C4E">
        <w:t xml:space="preserve">for the </w:t>
      </w:r>
      <w:r w:rsidR="008D5217" w:rsidRPr="0017405C">
        <w:t>FIRST_CATG</w:t>
      </w:r>
      <w:r w:rsidR="00A928B7" w:rsidRPr="0017405C">
        <w:t xml:space="preserve"> </w:t>
      </w:r>
      <w:r w:rsidR="00BA6797" w:rsidRPr="0017405C">
        <w:t xml:space="preserve">variable </w:t>
      </w:r>
      <w:r w:rsidR="00F15D1D" w:rsidRPr="0017405C">
        <w:t>from 12 to 4</w:t>
      </w:r>
      <w:r w:rsidR="00212C35" w:rsidRPr="0017405C">
        <w:t xml:space="preserve"> in the same way</w:t>
      </w:r>
      <w:r w:rsidR="00F15D1D" w:rsidRPr="0017405C">
        <w:t xml:space="preserve">. </w:t>
      </w:r>
      <w:r w:rsidR="00212C35" w:rsidRPr="0017405C">
        <w:t xml:space="preserve">For the </w:t>
      </w:r>
      <w:r w:rsidR="008D5217" w:rsidRPr="0017405C">
        <w:t xml:space="preserve">MEDIA </w:t>
      </w:r>
      <w:r w:rsidR="00212C35" w:rsidRPr="0017405C">
        <w:t xml:space="preserve">variable we have </w:t>
      </w:r>
      <w:r w:rsidR="00F15D1D" w:rsidRPr="0017405C">
        <w:t>184</w:t>
      </w:r>
      <w:r w:rsidR="00212C35" w:rsidRPr="008D5217">
        <w:t xml:space="preserve"> respondents</w:t>
      </w:r>
      <w:r w:rsidR="00212C35">
        <w:t xml:space="preserve"> fro</w:t>
      </w:r>
      <w:r w:rsidR="00B33F50">
        <w:t>m</w:t>
      </w:r>
      <w:r w:rsidR="00212C35">
        <w:t xml:space="preserve"> whom we </w:t>
      </w:r>
      <w:r w:rsidR="00ED4B18">
        <w:t xml:space="preserve">estimate all </w:t>
      </w:r>
      <w:r w:rsidR="00991C4E">
        <w:t xml:space="preserve">effects for </w:t>
      </w:r>
      <w:r w:rsidR="0085503A">
        <w:t xml:space="preserve">interactions with </w:t>
      </w:r>
      <w:r w:rsidR="00991C4E">
        <w:t>this variable.</w:t>
      </w:r>
      <w:r w:rsidR="00212C35">
        <w:t xml:space="preserve"> </w:t>
      </w:r>
      <w:r w:rsidR="00A928B7">
        <w:rPr>
          <w:rFonts w:cs="Times New Roman"/>
        </w:rPr>
        <w:t>The final specification is:</w:t>
      </w:r>
    </w:p>
    <w:p w14:paraId="121A7823" w14:textId="482645B4" w:rsidR="002D4287" w:rsidRPr="00E3605D" w:rsidRDefault="00890FE0" w:rsidP="00E3605D">
      <w:pPr>
        <w:rPr>
          <w:rFonts w:cs="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ifc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MORE_ACC</m:t>
              </m:r>
            </m:e>
            <m:sub>
              <m:r>
                <w:rPr>
                  <w:rFonts w:ascii="Cambria Math" w:hAnsi="Cambria Math"/>
                  <w:sz w:val="20"/>
                  <w:szCs w:val="20"/>
                </w:rPr>
                <m:t>ic</m:t>
              </m:r>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β</m:t>
              </m:r>
              <m:ctrlPr>
                <w:rPr>
                  <w:rFonts w:ascii="Cambria Math" w:hAnsi="Cambria Math"/>
                  <w:i/>
                  <w:sz w:val="20"/>
                  <w:szCs w:val="20"/>
                </w:rPr>
              </m:ctrlPr>
            </m:e>
            <m:sub>
              <m:r>
                <w:rPr>
                  <w:rFonts w:ascii="Cambria Math" w:hAnsi="Cambria Math"/>
                  <w:sz w:val="20"/>
                  <w:szCs w:val="20"/>
                </w:rPr>
                <m:t>ic</m:t>
              </m:r>
              <m:ctrlPr>
                <w:rPr>
                  <w:rFonts w:ascii="Cambria Math" w:hAnsi="Cambria Math"/>
                  <w:i/>
                  <w:sz w:val="20"/>
                  <w:szCs w:val="20"/>
                </w:rPr>
              </m:ctrlPr>
            </m:sub>
            <m:sup>
              <m:r>
                <w:rPr>
                  <w:rFonts w:ascii="Cambria Math" w:hAnsi="Cambria Math"/>
                  <w:sz w:val="20"/>
                  <w:szCs w:val="20"/>
                </w:rPr>
                <m:t>KL</m:t>
              </m:r>
            </m:sup>
          </m:sSubSup>
          <m:r>
            <w:rPr>
              <w:rFonts w:ascii="Cambria Math" w:hAnsi="Cambria Math" w:cs="Times New Roman"/>
              <w:sz w:val="20"/>
              <w:szCs w:val="20"/>
            </w:rPr>
            <m:t xml:space="preserve"> </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CATG_GT1M</m:t>
              </m:r>
            </m:e>
            <m:sub>
              <m:r>
                <w:rPr>
                  <w:rFonts w:ascii="Cambria Math" w:hAnsi="Cambria Math"/>
                  <w:sz w:val="20"/>
                  <w:szCs w:val="20"/>
                </w:rPr>
                <m:t>ifc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L</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ifcl</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β</m:t>
                      </m:r>
                    </m:e>
                    <m:sub>
                      <m:r>
                        <w:rPr>
                          <w:rFonts w:ascii="Cambria Math" w:hAnsi="Cambria Math"/>
                          <w:sz w:val="20"/>
                          <w:szCs w:val="20"/>
                        </w:rPr>
                        <m:t>l</m:t>
                      </m:r>
                    </m:sub>
                    <m:sup>
                      <m:r>
                        <w:rPr>
                          <w:rFonts w:ascii="Cambria Math" w:hAnsi="Cambria Math"/>
                          <w:sz w:val="20"/>
                          <w:szCs w:val="20"/>
                        </w:rPr>
                        <m:t>SC</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β</m:t>
                      </m:r>
                    </m:e>
                    <m:sub>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sub>
                    <m:sup>
                      <m:r>
                        <w:rPr>
                          <w:rFonts w:ascii="Cambria Math" w:hAnsi="Cambria Math"/>
                          <w:sz w:val="20"/>
                          <w:szCs w:val="20"/>
                        </w:rPr>
                        <m:t>SC</m:t>
                      </m:r>
                    </m:sup>
                  </m:sSubSup>
                </m:e>
              </m:d>
            </m:e>
          </m:nary>
        </m:oMath>
      </m:oMathPara>
    </w:p>
    <w:p w14:paraId="3716F100" w14:textId="6FC0E175" w:rsidR="00A928B7" w:rsidRPr="00723C0B" w:rsidRDefault="00D53610" w:rsidP="00B35424">
      <w:pPr>
        <w:rPr>
          <w:rFonts w:cs="Times New Roman"/>
        </w:rPr>
      </w:pPr>
      <m:oMathPara>
        <m:oMathParaPr>
          <m:jc m:val="left"/>
        </m:oMathParaPr>
        <m:oMath>
          <m:r>
            <m:rPr>
              <m:sty m:val="p"/>
            </m:rPr>
            <w:rPr>
              <w:rFonts w:ascii="Cambria Math" w:hAnsi="Cambria Math"/>
              <w:sz w:val="20"/>
              <w:szCs w:val="20"/>
            </w:rPr>
            <m:t xml:space="preserve">                               + </m:t>
          </m:r>
          <m:r>
            <w:rPr>
              <w:rFonts w:ascii="Cambria Math" w:hAnsi="Cambria Math"/>
              <w:sz w:val="20"/>
              <w:szCs w:val="20"/>
            </w:rPr>
            <m:t>FIRST_</m:t>
          </m:r>
          <m:sSub>
            <m:sSubPr>
              <m:ctrlPr>
                <w:rPr>
                  <w:rFonts w:ascii="Cambria Math" w:hAnsi="Cambria Math"/>
                  <w:i/>
                  <w:sz w:val="20"/>
                  <w:szCs w:val="20"/>
                </w:rPr>
              </m:ctrlPr>
            </m:sSubPr>
            <m:e>
              <m:r>
                <w:rPr>
                  <w:rFonts w:ascii="Cambria Math" w:hAnsi="Cambria Math"/>
                  <w:sz w:val="20"/>
                  <w:szCs w:val="20"/>
                </w:rPr>
                <m:t>CATG</m:t>
              </m:r>
            </m:e>
            <m:sub>
              <m:r>
                <w:rPr>
                  <w:rFonts w:ascii="Cambria Math" w:hAnsi="Cambria Math"/>
                  <w:sz w:val="20"/>
                  <w:szCs w:val="20"/>
                </w:rPr>
                <m:t>ifc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L</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ifcl</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β</m:t>
                      </m:r>
                    </m:e>
                    <m:sub>
                      <m:r>
                        <w:rPr>
                          <w:rFonts w:ascii="Cambria Math" w:hAnsi="Cambria Math"/>
                          <w:sz w:val="20"/>
                          <w:szCs w:val="20"/>
                        </w:rPr>
                        <m:t>l</m:t>
                      </m:r>
                    </m:sub>
                    <m:sup>
                      <m:r>
                        <w:rPr>
                          <w:rFonts w:ascii="Cambria Math" w:hAnsi="Cambria Math"/>
                          <w:sz w:val="20"/>
                          <w:szCs w:val="20"/>
                        </w:rPr>
                        <m:t>FC</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β</m:t>
                      </m:r>
                    </m:e>
                    <m:sub>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sub>
                    <m:sup>
                      <m:r>
                        <w:rPr>
                          <w:rFonts w:ascii="Cambria Math" w:hAnsi="Cambria Math"/>
                          <w:sz w:val="20"/>
                          <w:szCs w:val="20"/>
                        </w:rPr>
                        <m:t>FC</m:t>
                      </m:r>
                    </m:sup>
                  </m:sSubSup>
                </m:e>
              </m:d>
            </m:e>
          </m:nary>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MEDIA</m:t>
              </m:r>
            </m:e>
            <m:sub>
              <m:r>
                <w:rPr>
                  <w:rFonts w:ascii="Cambria Math" w:hAnsi="Cambria Math"/>
                  <w:sz w:val="20"/>
                  <w:szCs w:val="20"/>
                </w:rPr>
                <m:t>ifc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L</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ifcl</m:t>
                      </m:r>
                    </m:sub>
                  </m:sSub>
                  <m:sSubSup>
                    <m:sSubSupPr>
                      <m:ctrlPr>
                        <w:rPr>
                          <w:rFonts w:ascii="Cambria Math" w:hAnsi="Cambria Math"/>
                          <w:i/>
                          <w:sz w:val="20"/>
                          <w:szCs w:val="20"/>
                        </w:rPr>
                      </m:ctrlPr>
                    </m:sSubSupPr>
                    <m:e>
                      <m:r>
                        <w:rPr>
                          <w:rFonts w:ascii="Cambria Math" w:hAnsi="Cambria Math"/>
                          <w:sz w:val="20"/>
                          <w:szCs w:val="20"/>
                        </w:rPr>
                        <m:t>β</m:t>
                      </m:r>
                    </m:e>
                    <m:sub>
                      <m:r>
                        <w:rPr>
                          <w:rFonts w:ascii="Cambria Math" w:hAnsi="Cambria Math"/>
                          <w:sz w:val="20"/>
                          <w:szCs w:val="20"/>
                        </w:rPr>
                        <m:t>cl</m:t>
                      </m:r>
                    </m:sub>
                    <m:sup>
                      <m:r>
                        <w:rPr>
                          <w:rFonts w:ascii="Cambria Math" w:hAnsi="Cambria Math"/>
                          <w:sz w:val="20"/>
                          <w:szCs w:val="20"/>
                        </w:rPr>
                        <m:t>AD</m:t>
                      </m:r>
                    </m:sup>
                  </m:sSubSup>
                  <m:nary>
                    <m:naryPr>
                      <m:chr m:val="∑"/>
                      <m:limLoc m:val="undOvr"/>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≠c</m:t>
                      </m:r>
                    </m:sub>
                    <m:sup/>
                    <m:e>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L</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β</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m:t>
                                  </m:r>
                                </m:sub>
                                <m:sup>
                                  <m:r>
                                    <w:rPr>
                                      <w:rFonts w:ascii="Cambria Math" w:hAnsi="Cambria Math"/>
                                      <w:sz w:val="20"/>
                                      <w:szCs w:val="20"/>
                                    </w:rPr>
                                    <m:t>AD</m:t>
                                  </m:r>
                                </m:sup>
                              </m:sSubSup>
                              <m:r>
                                <w:rPr>
                                  <w:rFonts w:ascii="Cambria Math" w:hAnsi="Cambria Math"/>
                                  <w:sz w:val="20"/>
                                  <w:szCs w:val="20"/>
                                </w:rPr>
                                <m:t>+</m:t>
                              </m:r>
                              <m:nary>
                                <m:naryPr>
                                  <m:chr m:val="∑"/>
                                  <m:limLoc m:val="undOvr"/>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≠c</m:t>
                                  </m:r>
                                </m:sub>
                                <m:sup/>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sub>
                                  </m:sSub>
                                  <m:sSubSup>
                                    <m:sSubSupPr>
                                      <m:ctrlPr>
                                        <w:rPr>
                                          <w:rFonts w:ascii="Cambria Math" w:hAnsi="Cambria Math"/>
                                          <w:i/>
                                          <w:sz w:val="20"/>
                                          <w:szCs w:val="20"/>
                                        </w:rPr>
                                      </m:ctrlPr>
                                    </m:sSubSupPr>
                                    <m:e>
                                      <m:r>
                                        <w:rPr>
                                          <w:rFonts w:ascii="Cambria Math" w:hAnsi="Cambria Math"/>
                                          <w:sz w:val="20"/>
                                          <w:szCs w:val="20"/>
                                        </w:rPr>
                                        <m:t>β</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m:t>
                                      </m:r>
                                    </m:sub>
                                    <m:sup>
                                      <m:r>
                                        <w:rPr>
                                          <w:rFonts w:ascii="Cambria Math" w:hAnsi="Cambria Math"/>
                                          <w:sz w:val="20"/>
                                          <w:szCs w:val="20"/>
                                        </w:rPr>
                                        <m:t>S,AD</m:t>
                                      </m:r>
                                    </m:sup>
                                  </m:sSubSup>
                                </m:e>
                              </m:nary>
                            </m:e>
                          </m:d>
                        </m:e>
                      </m:nary>
                    </m:e>
                  </m:nary>
                </m:e>
              </m:d>
            </m:e>
          </m:nary>
          <m:r>
            <w:rPr>
              <w:rFonts w:ascii="Cambria Math" w:hAnsi="Cambria Math"/>
              <w:sz w:val="20"/>
              <w:szCs w:val="20"/>
            </w:rPr>
            <m:t xml:space="preserve"> </m:t>
          </m:r>
        </m:oMath>
      </m:oMathPara>
    </w:p>
    <w:p w14:paraId="42A0B377" w14:textId="4B2EB3C9" w:rsidR="00723C0B" w:rsidRPr="00723C0B" w:rsidRDefault="00723C0B" w:rsidP="00723C0B">
      <w:pPr>
        <w:ind w:firstLine="0"/>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M</m:t>
            </m:r>
          </m:e>
          <m:sub>
            <m:r>
              <w:rPr>
                <w:rFonts w:ascii="Cambria Math" w:hAnsi="Cambria Math"/>
              </w:rPr>
              <m:t>ifc</m:t>
            </m:r>
          </m:sub>
        </m:sSub>
      </m:oMath>
      <w:r w:rsidR="00A1131A">
        <w:rPr>
          <w:rFonts w:cs="Times New Roman"/>
        </w:rPr>
        <w:t xml:space="preserve"> </w:t>
      </w:r>
      <w:r>
        <w:rPr>
          <w:rFonts w:cs="Times New Roman"/>
        </w:rPr>
        <w:t xml:space="preserve">refers to the part related to the interaction variables in </w:t>
      </w:r>
      <w:r w:rsidR="00A1131A">
        <w:rPr>
          <w:rFonts w:cs="Times New Roman"/>
        </w:rPr>
        <w:t xml:space="preserve">the second row of </w:t>
      </w:r>
      <w:r>
        <w:rPr>
          <w:rFonts w:cs="Times New Roman"/>
        </w:rPr>
        <w:t>equation (2), that is</w:t>
      </w:r>
    </w:p>
    <w:p w14:paraId="3B12DF98" w14:textId="61C9E438" w:rsidR="00A928B7" w:rsidRPr="00E3605D" w:rsidRDefault="00890FE0" w:rsidP="00E3605D">
      <w:pPr>
        <w:ind w:firstLine="0"/>
        <w:rPr>
          <w:rFonts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ifc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p>
            <m:e>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L</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ifcl</m:t>
                          </m:r>
                        </m:sub>
                      </m:sSub>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clk</m:t>
                          </m:r>
                        </m:sub>
                      </m:sSub>
                    </m:e>
                  </m:nary>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≠c</m:t>
                          </m:r>
                        </m:sub>
                        <m:sup/>
                        <m:e>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L</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m:t>
                                  </m:r>
                                </m:sub>
                              </m:sSub>
                              <m:sSub>
                                <m:sSubPr>
                                  <m:ctrlPr>
                                    <w:rPr>
                                      <w:rFonts w:ascii="Cambria Math" w:hAnsi="Cambria Math"/>
                                      <w:i/>
                                      <w:sz w:val="20"/>
                                      <w:szCs w:val="20"/>
                                    </w:rPr>
                                  </m:ctrlPr>
                                </m:sSubPr>
                                <m:e>
                                  <m:r>
                                    <w:rPr>
                                      <w:rFonts w:ascii="Cambria Math" w:hAnsi="Cambria Math"/>
                                      <w:sz w:val="20"/>
                                      <w:szCs w:val="20"/>
                                    </w:rPr>
                                    <m:t>(β</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lk</m:t>
                                  </m:r>
                                </m:sub>
                              </m:sSub>
                              <m:r>
                                <w:rPr>
                                  <w:rFonts w:ascii="Cambria Math" w:hAnsi="Cambria Math"/>
                                  <w:sz w:val="20"/>
                                  <w:szCs w:val="20"/>
                                </w:rPr>
                                <m:t>+</m:t>
                              </m:r>
                            </m:e>
                          </m:nary>
                        </m:e>
                      </m:nary>
                      <m:nary>
                        <m:naryPr>
                          <m:chr m:val="∑"/>
                          <m:limLoc m:val="undOvr"/>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≠c</m:t>
                          </m:r>
                        </m:sub>
                        <m:sup/>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sub>
                          </m:sSub>
                          <m:sSubSup>
                            <m:sSubSupPr>
                              <m:ctrlPr>
                                <w:rPr>
                                  <w:rFonts w:ascii="Cambria Math" w:hAnsi="Cambria Math"/>
                                  <w:i/>
                                  <w:sz w:val="20"/>
                                  <w:szCs w:val="20"/>
                                </w:rPr>
                              </m:ctrlPr>
                            </m:sSubSupPr>
                            <m:e>
                              <m:r>
                                <w:rPr>
                                  <w:rFonts w:ascii="Cambria Math" w:hAnsi="Cambria Math"/>
                                  <w:sz w:val="20"/>
                                  <w:szCs w:val="20"/>
                                </w:rPr>
                                <m:t>β</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lk</m:t>
                              </m:r>
                            </m:sub>
                            <m:sup>
                              <m:r>
                                <w:rPr>
                                  <w:rFonts w:ascii="Cambria Math" w:hAnsi="Cambria Math"/>
                                  <w:sz w:val="20"/>
                                  <w:szCs w:val="20"/>
                                </w:rPr>
                                <m:t>S</m:t>
                              </m:r>
                            </m:sup>
                          </m:sSubSup>
                        </m:e>
                      </m:nary>
                      <m:r>
                        <w:rPr>
                          <w:rFonts w:ascii="Cambria Math" w:hAnsi="Cambria Math"/>
                          <w:sz w:val="20"/>
                          <w:szCs w:val="20"/>
                        </w:rPr>
                        <m:t>)</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ik</m:t>
                  </m:r>
                </m:sub>
              </m:sSub>
            </m:e>
          </m:nary>
        </m:oMath>
      </m:oMathPara>
    </w:p>
    <w:p w14:paraId="591E3C45" w14:textId="58D26954" w:rsidR="00057D60" w:rsidRPr="00CA79B7" w:rsidRDefault="00057D60" w:rsidP="00CA79B7">
      <w:pPr>
        <w:ind w:firstLine="0"/>
        <w:rPr>
          <w:rFonts w:eastAsia="Cambria-Bold" w:cs="Times New Roman"/>
          <w:bCs/>
        </w:rPr>
      </w:pPr>
      <w:r w:rsidRPr="003B692B">
        <w:rPr>
          <w:rFonts w:eastAsia="Cambria-Bold" w:cs="Times New Roman"/>
          <w:bCs/>
          <w:u w:val="single"/>
        </w:rPr>
        <w:t>Identification</w:t>
      </w:r>
      <w:r w:rsidRPr="003B692B">
        <w:rPr>
          <w:rFonts w:eastAsia="Cambria-Bold" w:cs="Times New Roman"/>
          <w:bCs/>
        </w:rPr>
        <w:t xml:space="preserve">: We estimate the following set of parameters: (a) </w:t>
      </w:r>
      <w:proofErr w:type="gramStart"/>
      <w:r w:rsidRPr="003B692B">
        <w:rPr>
          <w:rFonts w:eastAsia="Cambria-Bold" w:cs="Times New Roman"/>
          <w:bCs/>
        </w:rPr>
        <w:t>An</w:t>
      </w:r>
      <w:proofErr w:type="gramEnd"/>
      <w:r w:rsidRPr="003B692B">
        <w:rPr>
          <w:rFonts w:eastAsia="Cambria-Bold" w:cs="Times New Roman"/>
          <w:bCs/>
        </w:rPr>
        <w:t xml:space="preserve"> overall </w:t>
      </w:r>
      <w:r w:rsidR="00AF7187">
        <w:rPr>
          <w:rFonts w:eastAsia="Cambria-Bold" w:cs="Times New Roman"/>
          <w:bCs/>
        </w:rPr>
        <w:t>individual</w:t>
      </w:r>
      <w:r w:rsidRPr="003B692B">
        <w:rPr>
          <w:rFonts w:eastAsia="Cambria-Bold" w:cs="Times New Roman"/>
          <w:bCs/>
        </w:rPr>
        <w:t>-specific intercept (</w:t>
      </w:r>
      <m:oMath>
        <m:sSub>
          <m:sSubPr>
            <m:ctrlPr>
              <w:rPr>
                <w:rFonts w:ascii="Cambria Math" w:eastAsia="Cambria-Bold" w:hAnsi="Cambria Math" w:cs="Times New Roman"/>
                <w:bCs/>
                <w:i/>
              </w:rPr>
            </m:ctrlPr>
          </m:sSubPr>
          <m:e>
            <m:r>
              <w:rPr>
                <w:rFonts w:ascii="Cambria Math" w:eastAsia="Cambria-Bold" w:hAnsi="Cambria Math" w:cs="Times New Roman"/>
              </w:rPr>
              <m:t>α</m:t>
            </m:r>
          </m:e>
          <m:sub>
            <m:r>
              <w:rPr>
                <w:rFonts w:ascii="Cambria Math" w:eastAsia="Cambria-Bold" w:hAnsi="Cambria Math" w:cs="Times New Roman"/>
              </w:rPr>
              <m:t>i</m:t>
            </m:r>
          </m:sub>
        </m:sSub>
      </m:oMath>
      <w:r w:rsidRPr="003B692B">
        <w:rPr>
          <w:rFonts w:eastAsia="Cambria-Bold" w:cs="Times New Roman"/>
          <w:bCs/>
        </w:rPr>
        <w:t xml:space="preserve">) – this is identified off the 2 observations we have for each </w:t>
      </w:r>
      <w:r w:rsidR="00AF7187">
        <w:rPr>
          <w:rFonts w:eastAsia="Cambria-Bold" w:cs="Times New Roman"/>
          <w:bCs/>
        </w:rPr>
        <w:t>consumer</w:t>
      </w:r>
      <w:r w:rsidRPr="003B692B">
        <w:rPr>
          <w:rFonts w:eastAsia="Cambria-Bold" w:cs="Times New Roman"/>
          <w:bCs/>
        </w:rPr>
        <w:t xml:space="preserve"> – one for each category. (b) A firm-category intercept </w:t>
      </w:r>
      <w:r w:rsidRPr="00667011">
        <w:rPr>
          <w:rFonts w:eastAsia="Cambria-Bold" w:cs="Times New Roman"/>
          <w:bCs/>
        </w:rPr>
        <w:t>(</w:t>
      </w:r>
      <m:oMath>
        <m:sSub>
          <m:sSubPr>
            <m:ctrlPr>
              <w:rPr>
                <w:rFonts w:ascii="Cambria Math" w:eastAsia="Cambria-Bold" w:hAnsi="Cambria Math" w:cs="Times New Roman"/>
                <w:bCs/>
                <w:i/>
              </w:rPr>
            </m:ctrlPr>
          </m:sSubPr>
          <m:e>
            <m:r>
              <w:rPr>
                <w:rFonts w:ascii="Cambria Math" w:eastAsia="Cambria-Bold" w:hAnsi="Cambria Math" w:cs="Times New Roman"/>
              </w:rPr>
              <m:t>α</m:t>
            </m:r>
          </m:e>
          <m:sub>
            <m:r>
              <w:rPr>
                <w:rFonts w:ascii="Cambria Math" w:eastAsia="Cambria-Bold" w:hAnsi="Cambria Math" w:cs="Times New Roman"/>
              </w:rPr>
              <m:t>fc</m:t>
            </m:r>
          </m:sub>
        </m:sSub>
      </m:oMath>
      <w:r w:rsidRPr="00667011">
        <w:rPr>
          <w:rFonts w:eastAsia="Cambria-Bold" w:cs="Times New Roman"/>
          <w:bCs/>
        </w:rPr>
        <w:t>)</w:t>
      </w:r>
      <w:r w:rsidRPr="003B692B">
        <w:rPr>
          <w:rFonts w:eastAsia="Cambria-Bold" w:cs="Times New Roman"/>
          <w:bCs/>
        </w:rPr>
        <w:t xml:space="preserve"> – this is identified by the share of each firm in each category. (c) Within category effect of satisfaction </w:t>
      </w:r>
      <w:r w:rsidRPr="00667011">
        <w:rPr>
          <w:rFonts w:eastAsia="Cambria-Bold" w:cs="Times New Roman"/>
          <w:bCs/>
        </w:rPr>
        <w:t>(</w:t>
      </w:r>
      <m:oMath>
        <m:sSub>
          <m:sSubPr>
            <m:ctrlPr>
              <w:rPr>
                <w:rFonts w:ascii="Cambria Math" w:hAnsi="Cambria Math"/>
                <w:i/>
              </w:rPr>
            </m:ctrlPr>
          </m:sSubPr>
          <m:e>
            <m:r>
              <w:rPr>
                <w:rFonts w:ascii="Cambria Math" w:hAnsi="Cambria Math"/>
              </w:rPr>
              <m:t>β</m:t>
            </m:r>
          </m:e>
          <m:sub>
            <m:r>
              <w:rPr>
                <w:rFonts w:ascii="Cambria Math" w:hAnsi="Cambria Math"/>
              </w:rPr>
              <m:t>cl</m:t>
            </m:r>
          </m:sub>
        </m:sSub>
      </m:oMath>
      <w:r w:rsidRPr="00667011">
        <w:rPr>
          <w:rFonts w:eastAsia="Cambria-Bold" w:cs="Times New Roman"/>
          <w:bCs/>
        </w:rPr>
        <w:t>)</w:t>
      </w:r>
      <w:r w:rsidRPr="003B692B">
        <w:rPr>
          <w:rFonts w:eastAsia="Cambria-Bold" w:cs="Times New Roman"/>
          <w:bCs/>
        </w:rPr>
        <w:t xml:space="preserve"> – for “satisfied” respondents this is identified off the difference in the share of respondents who are satisfied and stay and the share of respondents with a neutral evaluation and stay. A similar argument holds for the dissatisfied customers. (</w:t>
      </w:r>
      <w:proofErr w:type="gramStart"/>
      <w:r w:rsidRPr="003B692B">
        <w:rPr>
          <w:rFonts w:eastAsia="Cambria-Bold" w:cs="Times New Roman"/>
          <w:bCs/>
        </w:rPr>
        <w:t>d</w:t>
      </w:r>
      <w:proofErr w:type="gramEnd"/>
      <w:r w:rsidRPr="003B692B">
        <w:rPr>
          <w:rFonts w:eastAsia="Cambria-Bold" w:cs="Times New Roman"/>
          <w:bCs/>
        </w:rPr>
        <w:t xml:space="preserve">) </w:t>
      </w:r>
      <w:r w:rsidRPr="00CD24A7">
        <w:rPr>
          <w:rFonts w:eastAsia="Cambria-Bold" w:cs="Times New Roman"/>
          <w:bCs/>
        </w:rPr>
        <w:t>Cross category effect of satisfaction (</w:t>
      </w:r>
      <m:oMath>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Sub>
      </m:oMath>
      <w:r w:rsidRPr="00CD24A7">
        <w:rPr>
          <w:rFonts w:eastAsia="Cambria-Bold" w:cs="Times New Roman"/>
          <w:bCs/>
        </w:rPr>
        <w:t xml:space="preserve"> and </w:t>
      </w:r>
      <m:oMath>
        <m:sSubSup>
          <m:sSubSupPr>
            <m:ctrlPr>
              <w:rPr>
                <w:rFonts w:ascii="Cambria Math" w:hAnsi="Cambria Math"/>
                <w:i/>
              </w:rPr>
            </m:ctrlPr>
          </m:sSubSupPr>
          <m:e>
            <m:r>
              <w:rPr>
                <w:rFonts w:ascii="Cambria Math" w:hAnsi="Cambria Math"/>
              </w:rPr>
              <m:t>β</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m:t>
            </m:r>
          </m:sub>
          <m:sup>
            <m:r>
              <w:rPr>
                <w:rFonts w:ascii="Cambria Math" w:hAnsi="Cambria Math"/>
              </w:rPr>
              <m:t>S</m:t>
            </m:r>
          </m:sup>
        </m:sSubSup>
      </m:oMath>
      <w:r w:rsidRPr="00CD24A7">
        <w:rPr>
          <w:rFonts w:eastAsia="Cambria-Bold" w:cs="Times New Roman"/>
          <w:bCs/>
        </w:rPr>
        <w:t>)</w:t>
      </w:r>
      <w:r w:rsidRPr="003B692B">
        <w:rPr>
          <w:rFonts w:eastAsia="Cambria-Bold" w:cs="Times New Roman"/>
          <w:bCs/>
        </w:rPr>
        <w:t xml:space="preserve"> – here we distinguish between those who use the same company across categories (group A) and those who use diff</w:t>
      </w:r>
      <w:r w:rsidR="00ED4B18">
        <w:rPr>
          <w:rFonts w:eastAsia="Cambria-Bold" w:cs="Times New Roman"/>
          <w:bCs/>
        </w:rPr>
        <w:t>erent companies (group B). W</w:t>
      </w:r>
      <w:r w:rsidRPr="003B692B">
        <w:rPr>
          <w:rFonts w:eastAsia="Cambria-Bold" w:cs="Times New Roman"/>
          <w:bCs/>
        </w:rPr>
        <w:t xml:space="preserve">ithin each group the cross-category effect on banking (investment) for those “satisfied” with the investment (banking) service is identified off the difference in share of banking </w:t>
      </w:r>
      <w:r w:rsidRPr="003B692B">
        <w:rPr>
          <w:rFonts w:eastAsia="Cambria-Bold" w:cs="Times New Roman"/>
          <w:bCs/>
        </w:rPr>
        <w:lastRenderedPageBreak/>
        <w:t>(investment) respondents who are satisfied with investment (banking) and stay relative to those who are neutral and stay. A</w:t>
      </w:r>
      <w:r w:rsidR="00ED4B18">
        <w:rPr>
          <w:rFonts w:eastAsia="Cambria-Bold" w:cs="Times New Roman"/>
          <w:bCs/>
        </w:rPr>
        <w:t xml:space="preserve"> similar argument holds for </w:t>
      </w:r>
      <w:r w:rsidRPr="003B692B">
        <w:rPr>
          <w:rFonts w:eastAsia="Cambria-Bold" w:cs="Times New Roman"/>
          <w:bCs/>
        </w:rPr>
        <w:t xml:space="preserve">dissatisfied customers. Finally the identification of the main effects of the demographic and behavioral variables can be argued in a similar way – based on the share of respondents in each group that stays with the previous service. </w:t>
      </w:r>
    </w:p>
    <w:p w14:paraId="0967E4B0" w14:textId="71BCDCFF" w:rsidR="00F513D8" w:rsidRPr="00F513D8" w:rsidRDefault="00F513D8" w:rsidP="00F513D8">
      <w:pPr>
        <w:ind w:firstLine="0"/>
        <w:jc w:val="center"/>
        <w:rPr>
          <w:sz w:val="28"/>
          <w:szCs w:val="28"/>
        </w:rPr>
      </w:pPr>
      <w:r w:rsidRPr="00F513D8">
        <w:rPr>
          <w:sz w:val="28"/>
          <w:szCs w:val="28"/>
        </w:rPr>
        <w:t>Results</w:t>
      </w:r>
    </w:p>
    <w:p w14:paraId="1202ED57" w14:textId="60DB3F48" w:rsidR="00F513D8" w:rsidRPr="00980AA4" w:rsidRDefault="00C65AAD" w:rsidP="00980AA4">
      <w:pPr>
        <w:ind w:firstLine="0"/>
        <w:rPr>
          <w:u w:val="single"/>
        </w:rPr>
      </w:pPr>
      <w:r w:rsidRPr="00980AA4">
        <w:rPr>
          <w:u w:val="single"/>
        </w:rPr>
        <w:t>Intercepts</w:t>
      </w:r>
    </w:p>
    <w:p w14:paraId="4B5DDB44" w14:textId="6598C0AC" w:rsidR="00170812" w:rsidRDefault="006574C6" w:rsidP="00EE2D9B">
      <w:r>
        <w:t>From the estimates for</w:t>
      </w:r>
      <w:r w:rsidR="00813D76">
        <w:t xml:space="preserve"> the individual-specific </w:t>
      </w:r>
      <w:proofErr w:type="gramStart"/>
      <w:r w:rsidR="00813D76">
        <w:t>intercept</w:t>
      </w:r>
      <w:r w:rsidR="00044D54">
        <w:t xml:space="preserve"> </w:t>
      </w:r>
      <w:proofErr w:type="gramEnd"/>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r w:rsidR="003D0B4E">
        <w:t xml:space="preserve">we find </w:t>
      </w:r>
      <w:r w:rsidR="003704F1">
        <w:t>considerable heterogeneity in the</w:t>
      </w:r>
      <w:r w:rsidR="00044D54">
        <w:t xml:space="preserve"> intrinsic propensity to </w:t>
      </w:r>
      <w:r w:rsidR="00974717">
        <w:t>switch to a different provider</w:t>
      </w:r>
      <w:r w:rsidR="00044D54">
        <w:t xml:space="preserve">. </w:t>
      </w:r>
      <w:r w:rsidR="007901BE">
        <w:t>The resu</w:t>
      </w:r>
      <w:r w:rsidR="0076717A">
        <w:t xml:space="preserve">lts </w:t>
      </w:r>
      <w:r w:rsidR="00F9457D">
        <w:t>for</w:t>
      </w:r>
      <w:r w:rsidR="00983B29">
        <w:t xml:space="preserve"> the mean of</w:t>
      </w:r>
      <w:r w:rsidR="00F9457D">
        <w:t xml:space="preserve"> </w:t>
      </w:r>
      <m:oMath>
        <m:sSub>
          <m:sSubPr>
            <m:ctrlPr>
              <w:rPr>
                <w:rFonts w:ascii="Cambria Math" w:hAnsi="Cambria Math"/>
                <w:i/>
              </w:rPr>
            </m:ctrlPr>
          </m:sSubPr>
          <m:e>
            <m:r>
              <w:rPr>
                <w:rFonts w:ascii="Cambria Math" w:hAnsi="Cambria Math"/>
              </w:rPr>
              <m:t>α</m:t>
            </m:r>
          </m:e>
          <m:sub>
            <m:r>
              <w:rPr>
                <w:rFonts w:ascii="Cambria Math" w:hAnsi="Cambria Math"/>
              </w:rPr>
              <m:t>fc</m:t>
            </m:r>
          </m:sub>
        </m:sSub>
      </m:oMath>
      <w:r w:rsidR="00F9457D">
        <w:t xml:space="preserve"> </w:t>
      </w:r>
      <w:r w:rsidR="0076717A">
        <w:t xml:space="preserve">in the banking category </w:t>
      </w:r>
      <w:r w:rsidR="00F9457D">
        <w:t xml:space="preserve">show that </w:t>
      </w:r>
      <w:r w:rsidR="0076717A">
        <w:t>Bank of America, Citibank, Chase, TD Bank and US bank are not statistically distinguishable from zero</w:t>
      </w:r>
      <w:r w:rsidR="00F9457D">
        <w:t xml:space="preserve"> (Wells Fargo</w:t>
      </w:r>
      <w:r w:rsidR="003704F1">
        <w:t>, the</w:t>
      </w:r>
      <w:r w:rsidR="00F9457D">
        <w:t xml:space="preserve"> base brand is 0);</w:t>
      </w:r>
      <w:r w:rsidR="00AA1219">
        <w:t xml:space="preserve"> Charles Schwab, ING and USAA have significant negative intercepts. The former group</w:t>
      </w:r>
      <w:r w:rsidR="003704F1">
        <w:t>’s customers</w:t>
      </w:r>
      <w:r w:rsidR="00AA1219">
        <w:t xml:space="preserve"> </w:t>
      </w:r>
      <w:r w:rsidR="003704F1">
        <w:t xml:space="preserve">are </w:t>
      </w:r>
      <w:r w:rsidR="0076717A">
        <w:t xml:space="preserve">indifferent between staying </w:t>
      </w:r>
      <w:r w:rsidR="003704F1">
        <w:t>and</w:t>
      </w:r>
      <w:r w:rsidR="0076717A">
        <w:t xml:space="preserve"> switching </w:t>
      </w:r>
      <w:r w:rsidR="003704F1">
        <w:t xml:space="preserve">while </w:t>
      </w:r>
      <w:r w:rsidR="00AA1219">
        <w:t>the latter</w:t>
      </w:r>
      <w:r w:rsidR="003704F1">
        <w:t xml:space="preserve">’s </w:t>
      </w:r>
      <w:r w:rsidR="00592B43">
        <w:t xml:space="preserve">customers </w:t>
      </w:r>
      <w:r w:rsidR="003704F1">
        <w:t>are</w:t>
      </w:r>
      <w:r w:rsidR="00AA1219">
        <w:t xml:space="preserve"> inclined to</w:t>
      </w:r>
      <w:r>
        <w:t xml:space="preserve"> switch. </w:t>
      </w:r>
      <w:r w:rsidR="00877DF8">
        <w:t>The results for the investment services are</w:t>
      </w:r>
      <w:r w:rsidR="004A34A8">
        <w:t xml:space="preserve"> mostly</w:t>
      </w:r>
      <w:r w:rsidR="00877DF8">
        <w:t xml:space="preserve"> negative, </w:t>
      </w:r>
      <w:r w:rsidR="004A34A8">
        <w:t xml:space="preserve">except for </w:t>
      </w:r>
      <w:r w:rsidR="003704F1">
        <w:t xml:space="preserve">Citibank </w:t>
      </w:r>
      <w:r w:rsidR="004A34A8">
        <w:t xml:space="preserve">and </w:t>
      </w:r>
      <w:r w:rsidR="00877DF8">
        <w:t>Wells Fargo</w:t>
      </w:r>
      <w:r w:rsidR="002A7B43">
        <w:t xml:space="preserve"> </w:t>
      </w:r>
      <w:r w:rsidR="003704F1">
        <w:t xml:space="preserve">(base) </w:t>
      </w:r>
      <w:r w:rsidR="00877DF8">
        <w:t xml:space="preserve">customers </w:t>
      </w:r>
      <w:r w:rsidR="003704F1">
        <w:t xml:space="preserve">who </w:t>
      </w:r>
      <w:r w:rsidR="007316B2">
        <w:t xml:space="preserve">have </w:t>
      </w:r>
      <w:r w:rsidR="003E522D">
        <w:t xml:space="preserve">the highest probability </w:t>
      </w:r>
      <w:r w:rsidR="007316B2">
        <w:t xml:space="preserve">of </w:t>
      </w:r>
      <w:r w:rsidR="003E522D">
        <w:t>stay</w:t>
      </w:r>
      <w:r w:rsidR="007316B2">
        <w:t>ing</w:t>
      </w:r>
      <w:r w:rsidR="003E522D">
        <w:t xml:space="preserve"> with </w:t>
      </w:r>
      <w:r w:rsidR="003704F1">
        <w:t>their</w:t>
      </w:r>
      <w:r w:rsidR="003E522D">
        <w:t xml:space="preserve"> compan</w:t>
      </w:r>
      <w:r w:rsidR="003704F1">
        <w:t>ies</w:t>
      </w:r>
      <w:r w:rsidR="003E522D" w:rsidRPr="007241E0">
        <w:t xml:space="preserve">. </w:t>
      </w:r>
      <w:r w:rsidR="007241E0" w:rsidRPr="007241E0">
        <w:t>The</w:t>
      </w:r>
      <w:r w:rsidR="00983B29" w:rsidRPr="007241E0">
        <w:t xml:space="preserve"> correlation </w:t>
      </w:r>
      <w:r w:rsidR="007241E0" w:rsidRPr="007241E0">
        <w:t xml:space="preserve">in </w:t>
      </w:r>
      <m:oMath>
        <m:sSub>
          <m:sSubPr>
            <m:ctrlPr>
              <w:rPr>
                <w:rFonts w:ascii="Cambria Math" w:hAnsi="Cambria Math"/>
                <w:i/>
              </w:rPr>
            </m:ctrlPr>
          </m:sSubPr>
          <m:e>
            <m:r>
              <w:rPr>
                <w:rFonts w:ascii="Cambria Math" w:hAnsi="Cambria Math"/>
              </w:rPr>
              <m:t>α</m:t>
            </m:r>
          </m:e>
          <m:sub>
            <m:r>
              <w:rPr>
                <w:rFonts w:ascii="Cambria Math" w:hAnsi="Cambria Math"/>
              </w:rPr>
              <m:t>fc</m:t>
            </m:r>
          </m:sub>
        </m:sSub>
      </m:oMath>
      <w:r w:rsidR="007241E0" w:rsidRPr="007241E0">
        <w:t xml:space="preserve"> between the</w:t>
      </w:r>
      <w:r w:rsidR="00983B29" w:rsidRPr="007241E0">
        <w:t xml:space="preserve"> two categories is 0.07,</w:t>
      </w:r>
      <w:r w:rsidR="008635BC" w:rsidRPr="007241E0">
        <w:t xml:space="preserve"> </w:t>
      </w:r>
      <w:r w:rsidR="00592B43" w:rsidRPr="007241E0">
        <w:t xml:space="preserve">and </w:t>
      </w:r>
      <w:r w:rsidR="00E11E72" w:rsidRPr="007241E0">
        <w:t>is</w:t>
      </w:r>
      <w:r w:rsidR="008635BC" w:rsidRPr="007241E0">
        <w:t xml:space="preserve"> not statistically significant, </w:t>
      </w:r>
      <w:r w:rsidR="00983B29" w:rsidRPr="007241E0">
        <w:t xml:space="preserve">with standard </w:t>
      </w:r>
      <w:r w:rsidR="00592B43" w:rsidRPr="007241E0">
        <w:t>error of</w:t>
      </w:r>
      <w:r w:rsidR="00983B29" w:rsidRPr="007241E0">
        <w:t xml:space="preserve"> 0.29.</w:t>
      </w:r>
      <w:r w:rsidR="00592B43">
        <w:t xml:space="preserve"> </w:t>
      </w:r>
    </w:p>
    <w:p w14:paraId="0D99E46F" w14:textId="0AD8924A" w:rsidR="00F513D8" w:rsidRPr="00980AA4" w:rsidRDefault="00F513D8" w:rsidP="00980AA4">
      <w:pPr>
        <w:ind w:firstLine="0"/>
        <w:rPr>
          <w:u w:val="single"/>
        </w:rPr>
      </w:pPr>
      <w:r w:rsidRPr="00980AA4">
        <w:rPr>
          <w:u w:val="single"/>
        </w:rPr>
        <w:t>Satisfaction</w:t>
      </w:r>
      <w:r w:rsidR="00CC5AB9" w:rsidRPr="00980AA4">
        <w:rPr>
          <w:u w:val="single"/>
        </w:rPr>
        <w:t xml:space="preserve"> and</w:t>
      </w:r>
      <w:r w:rsidR="00D21EEB" w:rsidRPr="00980AA4">
        <w:rPr>
          <w:u w:val="single"/>
        </w:rPr>
        <w:t xml:space="preserve"> interactions</w:t>
      </w:r>
    </w:p>
    <w:p w14:paraId="3DD2CBEB" w14:textId="2AE37B8C" w:rsidR="002C4F84" w:rsidRPr="003C4CC8" w:rsidRDefault="00EE2D9B" w:rsidP="000802B2">
      <w:pPr>
        <w:rPr>
          <w:rFonts w:cs="Times New Roman"/>
        </w:rPr>
      </w:pPr>
      <w:r>
        <w:t xml:space="preserve">Estimates for </w:t>
      </w:r>
      <w:r w:rsidR="00E822F8">
        <w:t xml:space="preserve">the effects of </w:t>
      </w:r>
      <w:r>
        <w:t>customers’ overall</w:t>
      </w:r>
      <w:r w:rsidR="00583A20">
        <w:t xml:space="preserve"> satisfaction level</w:t>
      </w:r>
      <w:r>
        <w:t>s</w:t>
      </w:r>
      <w:r w:rsidR="002C4F84">
        <w:t xml:space="preserve"> and</w:t>
      </w:r>
      <w:r w:rsidR="00BC3341">
        <w:t xml:space="preserve"> their interactions with</w:t>
      </w:r>
      <w:r w:rsidR="00EC5EEA">
        <w:t xml:space="preserve"> the</w:t>
      </w:r>
      <w:r w:rsidR="00BC3341">
        <w:t xml:space="preserve"> </w:t>
      </w:r>
      <w:r w:rsidR="004977E4">
        <w:t>behavior</w:t>
      </w:r>
      <w:r w:rsidR="00B35424">
        <w:t>al</w:t>
      </w:r>
      <w:r w:rsidR="004977E4">
        <w:t xml:space="preserve"> </w:t>
      </w:r>
      <w:r w:rsidR="00BC3341">
        <w:t>variables</w:t>
      </w:r>
      <w:r w:rsidR="008B4790">
        <w:t xml:space="preserve"> (</w:t>
      </w:r>
      <w:r w:rsidR="00C67A5E">
        <w:t xml:space="preserve">media exposure and advertising – </w:t>
      </w:r>
      <w:r w:rsidR="00A4109A">
        <w:t>MEDIA</w:t>
      </w:r>
      <w:r w:rsidR="00C67A5E">
        <w:t xml:space="preserve">; </w:t>
      </w:r>
      <w:r w:rsidR="008B4790">
        <w:t xml:space="preserve">switching cost – </w:t>
      </w:r>
      <w:r w:rsidR="00A4109A">
        <w:t>CATG_GT1M</w:t>
      </w:r>
      <w:r w:rsidR="008B4790">
        <w:t xml:space="preserve">; </w:t>
      </w:r>
      <w:r w:rsidR="00C67A5E">
        <w:t xml:space="preserve">and </w:t>
      </w:r>
      <w:r w:rsidR="008B4790">
        <w:t xml:space="preserve">order of category acquisition – </w:t>
      </w:r>
      <w:r w:rsidR="00A4109A">
        <w:t>FIRST_</w:t>
      </w:r>
      <w:r w:rsidR="008B4790">
        <w:t>CATG)</w:t>
      </w:r>
      <w:r w:rsidR="004977E4">
        <w:t xml:space="preserve">, </w:t>
      </w:r>
      <w:r w:rsidR="003704F1">
        <w:t>and</w:t>
      </w:r>
      <w:r w:rsidR="004977E4">
        <w:t xml:space="preserve"> the main effects of these </w:t>
      </w:r>
      <w:r w:rsidR="008B4790">
        <w:t xml:space="preserve">latter </w:t>
      </w:r>
      <w:r w:rsidR="004977E4">
        <w:t>variables</w:t>
      </w:r>
      <w:r>
        <w:t xml:space="preserve"> </w:t>
      </w:r>
      <w:r w:rsidR="00583A20">
        <w:t>are</w:t>
      </w:r>
      <w:r w:rsidR="00EC5EEA">
        <w:t xml:space="preserve"> </w:t>
      </w:r>
      <w:r w:rsidR="00583A20">
        <w:t xml:space="preserve">in </w:t>
      </w:r>
      <w:r w:rsidR="006E7989" w:rsidRPr="00C67A5E">
        <w:t xml:space="preserve">Table 4. </w:t>
      </w:r>
      <w:r w:rsidR="00AA1219">
        <w:t xml:space="preserve">In parentheses </w:t>
      </w:r>
      <w:r w:rsidR="003704F1">
        <w:t>are</w:t>
      </w:r>
      <w:r w:rsidR="00601DB0" w:rsidRPr="00C67A5E">
        <w:t xml:space="preserve"> the percentage</w:t>
      </w:r>
      <w:r w:rsidR="003704F1">
        <w:t>s</w:t>
      </w:r>
      <w:r w:rsidR="00601DB0" w:rsidRPr="00C67A5E">
        <w:t xml:space="preserve"> of </w:t>
      </w:r>
      <w:r w:rsidR="005F59A2" w:rsidRPr="00C67A5E">
        <w:t xml:space="preserve">times </w:t>
      </w:r>
      <w:r w:rsidR="00601DB0" w:rsidRPr="00C67A5E">
        <w:t xml:space="preserve">each parameter </w:t>
      </w:r>
      <w:r w:rsidR="005F59A2" w:rsidRPr="00C67A5E">
        <w:t>is</w:t>
      </w:r>
      <w:r w:rsidR="00601DB0" w:rsidRPr="00C67A5E">
        <w:t xml:space="preserve"> positive when simulated from its posterior </w:t>
      </w:r>
      <w:proofErr w:type="gramStart"/>
      <w:r w:rsidR="00601DB0" w:rsidRPr="00C67A5E">
        <w:t>distribution.</w:t>
      </w:r>
      <w:proofErr w:type="gramEnd"/>
      <w:r w:rsidR="00583A20" w:rsidRPr="00C67A5E">
        <w:t xml:space="preserve"> </w:t>
      </w:r>
      <w:r w:rsidR="00583A20">
        <w:t>This information</w:t>
      </w:r>
      <w:r w:rsidR="003704F1">
        <w:t xml:space="preserve"> </w:t>
      </w:r>
      <w:r w:rsidR="00AD044E">
        <w:t xml:space="preserve">is especially useful given the </w:t>
      </w:r>
      <w:r w:rsidR="000E34A7">
        <w:t xml:space="preserve">large number of parameters (52 in addition to the intercepts) estimated using a relatively </w:t>
      </w:r>
      <w:r w:rsidR="00AD044E">
        <w:t>small size of our sample</w:t>
      </w:r>
      <w:r w:rsidR="000E34A7">
        <w:t xml:space="preserve"> (441 respondents). Providing the percentages of times each parameter is positive helps us to gauge the relative strength of </w:t>
      </w:r>
      <w:r w:rsidR="000E34A7" w:rsidRPr="00E95DAE">
        <w:t>each model estimate</w:t>
      </w:r>
      <w:r w:rsidR="004431E4" w:rsidRPr="00E95DAE">
        <w:t>. Further,</w:t>
      </w:r>
      <w:r w:rsidR="000E34A7" w:rsidRPr="00E95DAE">
        <w:t xml:space="preserve"> it is easy to assess whether th</w:t>
      </w:r>
      <w:r w:rsidR="004431E4" w:rsidRPr="00E95DAE">
        <w:t>is</w:t>
      </w:r>
      <w:r w:rsidR="000E34A7" w:rsidRPr="00E95DAE">
        <w:t xml:space="preserve"> percentage is greater than 90% or 95%</w:t>
      </w:r>
      <w:r w:rsidR="004431E4" w:rsidRPr="00E95DAE">
        <w:t xml:space="preserve"> - a useful feature vis-à-vis the assessment of statistical significance</w:t>
      </w:r>
      <w:r w:rsidR="000E34A7" w:rsidRPr="00E95DAE">
        <w:rPr>
          <w:rFonts w:cs="Times New Roman"/>
        </w:rPr>
        <w:t xml:space="preserve">. </w:t>
      </w:r>
      <w:r w:rsidR="003C4CC8" w:rsidRPr="00E95DAE">
        <w:rPr>
          <w:rFonts w:cs="Times New Roman"/>
          <w:bCs/>
        </w:rPr>
        <w:t xml:space="preserve">We base our discussions below on the 90% level. Using </w:t>
      </w:r>
      <w:r w:rsidR="003C4CC8" w:rsidRPr="00E95DAE">
        <w:rPr>
          <w:rFonts w:cs="Times New Roman"/>
          <w:bCs/>
        </w:rPr>
        <w:lastRenderedPageBreak/>
        <w:t>the 95% level will leave our implications unchanged but a few of the parameters will no longer be significant.</w:t>
      </w:r>
    </w:p>
    <w:p w14:paraId="5DE27864" w14:textId="53037ADB" w:rsidR="00F513D8" w:rsidRPr="002C4F84" w:rsidRDefault="002C4F84" w:rsidP="003B692B">
      <w:pPr>
        <w:pStyle w:val="ListParagraph"/>
        <w:numPr>
          <w:ilvl w:val="0"/>
          <w:numId w:val="40"/>
        </w:numPr>
        <w:spacing w:after="0" w:line="480" w:lineRule="auto"/>
        <w:rPr>
          <w:b/>
        </w:rPr>
      </w:pPr>
      <w:r>
        <w:rPr>
          <w:b/>
        </w:rPr>
        <w:t xml:space="preserve"> </w:t>
      </w:r>
      <w:r w:rsidR="006F321F">
        <w:rPr>
          <w:b/>
        </w:rPr>
        <w:t>Base line effect of customer satisfaction</w:t>
      </w:r>
    </w:p>
    <w:p w14:paraId="7ACC58B7" w14:textId="60174B89" w:rsidR="006F321F" w:rsidRDefault="003704F1" w:rsidP="008A7EB3">
      <w:r>
        <w:t>We find</w:t>
      </w:r>
      <w:r w:rsidR="00CF271C">
        <w:t xml:space="preserve"> </w:t>
      </w:r>
      <w:r>
        <w:t xml:space="preserve">statistically significant </w:t>
      </w:r>
      <w:r w:rsidR="00AB45BB">
        <w:t>effects</w:t>
      </w:r>
      <w:r>
        <w:t xml:space="preserve"> </w:t>
      </w:r>
      <w:r w:rsidR="006F321F">
        <w:t xml:space="preserve">only </w:t>
      </w:r>
      <w:r>
        <w:t xml:space="preserve">for </w:t>
      </w:r>
      <w:r w:rsidR="00123C0D">
        <w:t>positive experiences</w:t>
      </w:r>
      <w:r w:rsidR="002C253A">
        <w:t>.</w:t>
      </w:r>
      <w:r w:rsidR="00123C0D">
        <w:t xml:space="preserve"> </w:t>
      </w:r>
      <w:r w:rsidR="00CF271C">
        <w:t>W</w:t>
      </w:r>
      <w:r w:rsidR="00123C0D">
        <w:t xml:space="preserve">hen customers are satisfied with the banking </w:t>
      </w:r>
      <w:r w:rsidR="008A7EB3">
        <w:t xml:space="preserve">(0.570) or </w:t>
      </w:r>
      <w:r w:rsidR="00123C0D">
        <w:t>investment</w:t>
      </w:r>
      <w:r w:rsidR="008A7EB3">
        <w:t xml:space="preserve"> (0.612</w:t>
      </w:r>
      <w:r w:rsidR="00123C0D">
        <w:t>) service, they are more likely to stay</w:t>
      </w:r>
      <w:r w:rsidR="008A7EB3">
        <w:t xml:space="preserve"> with the </w:t>
      </w:r>
      <w:r w:rsidR="00AB45BB">
        <w:t>corresponding</w:t>
      </w:r>
      <w:r w:rsidR="00062758">
        <w:t xml:space="preserve"> firm</w:t>
      </w:r>
      <w:r w:rsidR="00123C0D">
        <w:t xml:space="preserve">. </w:t>
      </w:r>
      <w:r w:rsidR="00062758">
        <w:t>However, w</w:t>
      </w:r>
      <w:r w:rsidR="00123C0D">
        <w:t xml:space="preserve">hen they are </w:t>
      </w:r>
      <w:r w:rsidR="00CF271C">
        <w:t>dis</w:t>
      </w:r>
      <w:r w:rsidR="00123C0D">
        <w:t>satisfied, it does not always translate into switching behavior</w:t>
      </w:r>
      <w:r w:rsidR="006F321F">
        <w:t xml:space="preserve">. </w:t>
      </w:r>
      <w:r w:rsidR="002C253A">
        <w:t>Turning to</w:t>
      </w:r>
      <w:r w:rsidR="006F321F">
        <w:t xml:space="preserve"> the baseline cross category effect</w:t>
      </w:r>
      <w:r w:rsidR="00CF271C">
        <w:t>s</w:t>
      </w:r>
      <w:r w:rsidR="002C253A">
        <w:t xml:space="preserve"> (</w:t>
      </w:r>
      <w:r w:rsidR="00E030E8">
        <w:t xml:space="preserve">the “Banking” </w:t>
      </w:r>
      <w:r w:rsidR="004D2C9F">
        <w:t xml:space="preserve">(“Investment”) </w:t>
      </w:r>
      <w:r w:rsidR="00E030E8">
        <w:t xml:space="preserve">column refers to the effects of satisfaction / dissatisfaction with the investment </w:t>
      </w:r>
      <w:r w:rsidR="004D2C9F">
        <w:t xml:space="preserve">(banking) </w:t>
      </w:r>
      <w:r w:rsidR="00E030E8">
        <w:t>service provided by company A</w:t>
      </w:r>
      <w:r w:rsidR="004D2C9F">
        <w:t xml:space="preserve"> on the </w:t>
      </w:r>
      <w:r w:rsidR="008F18B3">
        <w:t xml:space="preserve">retention </w:t>
      </w:r>
      <w:r w:rsidR="004D2C9F">
        <w:t>of banking (investment) services from company B</w:t>
      </w:r>
      <w:r w:rsidR="002C253A">
        <w:t>), we see</w:t>
      </w:r>
      <w:r w:rsidR="006F321F">
        <w:t xml:space="preserve"> that if a customer is </w:t>
      </w:r>
      <w:r w:rsidR="00CF271C">
        <w:t>dis</w:t>
      </w:r>
      <w:r w:rsidR="006F321F">
        <w:t>satisfied</w:t>
      </w:r>
      <w:r w:rsidR="001951C9">
        <w:t xml:space="preserve"> (satisfied)</w:t>
      </w:r>
      <w:r w:rsidR="006F321F">
        <w:t xml:space="preserve"> with the investment service</w:t>
      </w:r>
      <w:r w:rsidR="00E030E8">
        <w:t xml:space="preserve"> (0.778 if dissatisfied and -0.644 if satisfied)</w:t>
      </w:r>
      <w:r w:rsidR="006F321F">
        <w:t xml:space="preserve">, she is </w:t>
      </w:r>
      <w:r w:rsidR="001951C9">
        <w:t>more (less)</w:t>
      </w:r>
      <w:r w:rsidR="006F321F">
        <w:t xml:space="preserve"> likely to stay with her current banking service provider</w:t>
      </w:r>
      <w:r w:rsidR="00E030E8">
        <w:t xml:space="preserve">. </w:t>
      </w:r>
      <w:r w:rsidR="004D2C9F">
        <w:t xml:space="preserve">Similarly, greater satisfaction with the banking services provided by the current provider lowers the </w:t>
      </w:r>
      <w:r w:rsidR="008F18B3">
        <w:t>rete</w:t>
      </w:r>
      <w:r w:rsidR="00AC673A">
        <w:t>n</w:t>
      </w:r>
      <w:r w:rsidR="008F18B3">
        <w:t xml:space="preserve">tion </w:t>
      </w:r>
      <w:r w:rsidR="004D2C9F">
        <w:t xml:space="preserve">of the other firm providing investment services. </w:t>
      </w:r>
      <w:r w:rsidR="004C5524">
        <w:t xml:space="preserve">These results appear to </w:t>
      </w:r>
      <w:r w:rsidR="004C5524" w:rsidRPr="001E2904">
        <w:rPr>
          <w:i/>
        </w:rPr>
        <w:t>provide support for the contrast theory rather than the learning theory</w:t>
      </w:r>
      <w:r w:rsidR="004C5524">
        <w:t xml:space="preserve"> that was previously discussed.</w:t>
      </w:r>
      <w:r w:rsidR="008A7EB3">
        <w:t xml:space="preserve"> </w:t>
      </w:r>
      <w:r w:rsidR="001951C9">
        <w:t>Finally, if a customer is not satisfied with the investment service</w:t>
      </w:r>
      <w:r w:rsidR="00605675">
        <w:t xml:space="preserve"> provided by a firm,</w:t>
      </w:r>
      <w:r w:rsidR="001951C9">
        <w:t xml:space="preserve"> she is less likely to stay with the banking service provided by th</w:t>
      </w:r>
      <w:r w:rsidR="00605675">
        <w:t>at</w:t>
      </w:r>
      <w:r w:rsidR="001951C9">
        <w:t xml:space="preserve"> same company. The</w:t>
      </w:r>
      <w:r w:rsidR="00D23049">
        <w:t xml:space="preserve"> net</w:t>
      </w:r>
      <w:r w:rsidR="001951C9">
        <w:t xml:space="preserve"> negative spillover effect</w:t>
      </w:r>
      <w:r w:rsidR="00D23049">
        <w:t xml:space="preserve"> can be calculated as the sum of the two spillover effects</w:t>
      </w:r>
      <w:r w:rsidR="002C253A">
        <w:t>:</w:t>
      </w:r>
      <w:r w:rsidR="00D23049">
        <w:t xml:space="preserve"> the baseline spillover (0.778) and the additional spillover effects when using the same company (-1.713). The net </w:t>
      </w:r>
      <w:r w:rsidR="00CD1155">
        <w:t>effect</w:t>
      </w:r>
      <w:r w:rsidR="00D23049">
        <w:t xml:space="preserve"> is -0.935 </w:t>
      </w:r>
      <w:r w:rsidR="00D23049" w:rsidRPr="00CD1155">
        <w:t>(=</w:t>
      </w:r>
      <w:r w:rsidR="006E7989" w:rsidRPr="00CD1155">
        <w:t>-1.713 + 0.778</w:t>
      </w:r>
      <w:r w:rsidR="00D23049" w:rsidRPr="00CD1155">
        <w:t>)</w:t>
      </w:r>
      <w:r w:rsidR="001E2904">
        <w:t xml:space="preserve">; and </w:t>
      </w:r>
      <w:r w:rsidR="00D23049">
        <w:t>has a</w:t>
      </w:r>
      <w:r w:rsidR="00CD1155">
        <w:t xml:space="preserve"> greater than</w:t>
      </w:r>
      <w:r w:rsidR="00D23049">
        <w:t xml:space="preserve"> 90% chance </w:t>
      </w:r>
      <w:r w:rsidR="00CD1155">
        <w:t>of being</w:t>
      </w:r>
      <w:r w:rsidR="00D23049">
        <w:t xml:space="preserve"> negative. </w:t>
      </w:r>
      <w:r w:rsidR="004C5524">
        <w:t xml:space="preserve">This is an important finding as it characterizes the spillover or halo effect of a bad experience in one category (i.e., investment services) on retention in a different category (i.e., banking). </w:t>
      </w:r>
    </w:p>
    <w:p w14:paraId="1BCF974F" w14:textId="16DDCF09" w:rsidR="00F22820" w:rsidRPr="00CD1155" w:rsidRDefault="00CE1CFE" w:rsidP="00980AA4">
      <w:pPr>
        <w:pStyle w:val="ListParagraph"/>
        <w:numPr>
          <w:ilvl w:val="0"/>
          <w:numId w:val="40"/>
        </w:numPr>
        <w:spacing w:after="0" w:line="480" w:lineRule="auto"/>
        <w:rPr>
          <w:b/>
        </w:rPr>
      </w:pPr>
      <w:r>
        <w:rPr>
          <w:b/>
        </w:rPr>
        <w:t>Main effects of behavioral variables and their i</w:t>
      </w:r>
      <w:r w:rsidRPr="00E16182">
        <w:rPr>
          <w:b/>
        </w:rPr>
        <w:t>nteraction</w:t>
      </w:r>
      <w:r>
        <w:rPr>
          <w:b/>
        </w:rPr>
        <w:t>s</w:t>
      </w:r>
      <w:r w:rsidRPr="00E16182">
        <w:rPr>
          <w:b/>
        </w:rPr>
        <w:t xml:space="preserve"> </w:t>
      </w:r>
      <w:r>
        <w:rPr>
          <w:b/>
        </w:rPr>
        <w:t>with</w:t>
      </w:r>
      <w:r w:rsidR="00CD1155">
        <w:rPr>
          <w:b/>
        </w:rPr>
        <w:t xml:space="preserve"> satisfaction</w:t>
      </w:r>
    </w:p>
    <w:p w14:paraId="29953906" w14:textId="4E48F9E3" w:rsidR="009F62F3" w:rsidRDefault="009F62F3" w:rsidP="009F62F3">
      <w:pPr>
        <w:ind w:firstLine="0"/>
        <w:rPr>
          <w:i/>
        </w:rPr>
      </w:pPr>
      <w:r>
        <w:rPr>
          <w:i/>
        </w:rPr>
        <w:t xml:space="preserve">Media and </w:t>
      </w:r>
      <w:r w:rsidRPr="00C63932">
        <w:rPr>
          <w:i/>
        </w:rPr>
        <w:t>Advertising Exposure</w:t>
      </w:r>
      <w:r>
        <w:rPr>
          <w:i/>
        </w:rPr>
        <w:t xml:space="preserve"> (</w:t>
      </w:r>
      <w:r w:rsidR="00A4109A">
        <w:rPr>
          <w:i/>
        </w:rPr>
        <w:t>MEDIA</w:t>
      </w:r>
      <w:r>
        <w:rPr>
          <w:i/>
        </w:rPr>
        <w:t>)</w:t>
      </w:r>
    </w:p>
    <w:p w14:paraId="5CB95BFE" w14:textId="6F3FF7D3" w:rsidR="009F62F3" w:rsidRDefault="009F62F3" w:rsidP="009F62F3">
      <w:r>
        <w:t xml:space="preserve">The main effects of the exposure variable are not statistically significant (-0.242 and 0.012 in the top row of the table). For the interactions, </w:t>
      </w:r>
      <w:r w:rsidR="002C253A">
        <w:t>we find</w:t>
      </w:r>
      <w:r>
        <w:t xml:space="preserve"> that</w:t>
      </w:r>
      <w:r w:rsidR="002C253A">
        <w:t xml:space="preserve"> f</w:t>
      </w:r>
      <w:r w:rsidR="00F76002">
        <w:t>o</w:t>
      </w:r>
      <w:r w:rsidR="002C253A">
        <w:t>r both banking and investment,</w:t>
      </w:r>
      <w:r>
        <w:t xml:space="preserve"> a satisfied customer with more </w:t>
      </w:r>
      <w:r w:rsidR="002C253A">
        <w:t xml:space="preserve">media </w:t>
      </w:r>
      <w:r>
        <w:t xml:space="preserve">exposure is less likely to stay with her current service provider, as compared to a customer </w:t>
      </w:r>
      <w:r w:rsidR="002C253A">
        <w:lastRenderedPageBreak/>
        <w:t>with</w:t>
      </w:r>
      <w:r>
        <w:t xml:space="preserve"> less exposure. In effect, </w:t>
      </w:r>
      <w:r w:rsidRPr="001E2904">
        <w:rPr>
          <w:i/>
        </w:rPr>
        <w:t xml:space="preserve">media exposure might be successful in highlighting the potential benefits of other providers even for those customers who are satisfied with their </w:t>
      </w:r>
      <w:r w:rsidR="00604908">
        <w:rPr>
          <w:i/>
        </w:rPr>
        <w:t xml:space="preserve">current </w:t>
      </w:r>
      <w:r w:rsidRPr="001E2904">
        <w:rPr>
          <w:i/>
        </w:rPr>
        <w:t>providers</w:t>
      </w:r>
      <w:r>
        <w:t>.</w:t>
      </w:r>
    </w:p>
    <w:p w14:paraId="4E0AFDAF" w14:textId="616829DB" w:rsidR="009F62F3" w:rsidRDefault="009F62F3" w:rsidP="009F62F3">
      <w:r>
        <w:t xml:space="preserve">Across categories, among those who are not satisfied with a different firm’s banking service, people with more exposure to media and advertising are more likely to stay with the investment service, compared to those with less exposure. </w:t>
      </w:r>
      <w:r w:rsidR="00604908">
        <w:t>T</w:t>
      </w:r>
      <w:r>
        <w:t xml:space="preserve">his parameter (0.964) </w:t>
      </w:r>
      <w:r w:rsidR="00604908">
        <w:t>is close to</w:t>
      </w:r>
      <w:r>
        <w:t xml:space="preserve"> the 90% cut-off</w:t>
      </w:r>
      <w:r w:rsidR="00604908">
        <w:t xml:space="preserve"> (</w:t>
      </w:r>
      <w:r>
        <w:t>89% chance of being positive</w:t>
      </w:r>
      <w:r w:rsidR="00604908">
        <w:t>)</w:t>
      </w:r>
      <w:r>
        <w:t>. Once again, media exposure seems to highlight the contrast effect for these customers since the have different providers for the two services.</w:t>
      </w:r>
    </w:p>
    <w:p w14:paraId="6AC6C8F9" w14:textId="35474C6C" w:rsidR="009F62F3" w:rsidRDefault="00604908" w:rsidP="001E2904">
      <w:r>
        <w:t>T</w:t>
      </w:r>
      <w:r w:rsidR="009F62F3">
        <w:t xml:space="preserve">he results </w:t>
      </w:r>
      <w:r>
        <w:t xml:space="preserve">of </w:t>
      </w:r>
      <w:r w:rsidR="009F62F3">
        <w:t xml:space="preserve">the cross-category spillover effects indicate that more exposure to advertising enhances positive spillover when satisfied with the other service provided by the </w:t>
      </w:r>
      <w:r w:rsidR="009F62F3" w:rsidRPr="00BE0826">
        <w:rPr>
          <w:i/>
        </w:rPr>
        <w:t>same</w:t>
      </w:r>
      <w:r w:rsidR="009F62F3">
        <w:t xml:space="preserve"> firm. In particular, among customers who are satisfied with the banking (investment) service provided by the same company, more media exposure makes them more likely to stay with the company (estimates of 1.171 and 1.707). Different from the results noted above, our findings here suggest that the halo effect across categories is being enhanced due to media and advertising exposure. This could come about if the advertising messages reinforce the many different services being provided by the financial institutions.</w:t>
      </w:r>
      <w:r w:rsidR="001E2904">
        <w:t xml:space="preserve"> </w:t>
      </w:r>
    </w:p>
    <w:p w14:paraId="75F85055" w14:textId="60A7607D" w:rsidR="006E590E" w:rsidRPr="00203B78" w:rsidRDefault="0073282F" w:rsidP="00203B78">
      <w:pPr>
        <w:ind w:firstLine="0"/>
      </w:pPr>
      <w:r>
        <w:rPr>
          <w:i/>
        </w:rPr>
        <w:t>Switching cost</w:t>
      </w:r>
      <w:r w:rsidR="004050F3">
        <w:rPr>
          <w:i/>
        </w:rPr>
        <w:t xml:space="preserve"> (</w:t>
      </w:r>
      <w:r w:rsidR="00613181">
        <w:rPr>
          <w:i/>
        </w:rPr>
        <w:t>CATG_GT1M</w:t>
      </w:r>
      <w:r w:rsidR="004050F3">
        <w:rPr>
          <w:i/>
        </w:rPr>
        <w:t>)</w:t>
      </w:r>
    </w:p>
    <w:p w14:paraId="0826082C" w14:textId="7AFB35F2" w:rsidR="00D41D32" w:rsidRDefault="00B87752">
      <w:r>
        <w:t xml:space="preserve">The main effect of this variable shows </w:t>
      </w:r>
      <w:r w:rsidR="00203B78">
        <w:t xml:space="preserve">a </w:t>
      </w:r>
      <w:r>
        <w:t>positive and statistically significant effect</w:t>
      </w:r>
      <w:r w:rsidR="00203B78">
        <w:t xml:space="preserve"> (0.551 and 0.672 for banking and investments respectively)</w:t>
      </w:r>
      <w:r>
        <w:t>, which demonstrates the existence of higher switching cost</w:t>
      </w:r>
      <w:r w:rsidR="00203B78">
        <w:t>s</w:t>
      </w:r>
      <w:r>
        <w:t xml:space="preserve"> among custom</w:t>
      </w:r>
      <w:r w:rsidR="001E2904">
        <w:t>ers with over $1M with the firm;</w:t>
      </w:r>
      <w:r w:rsidR="00A7281C">
        <w:t xml:space="preserve"> </w:t>
      </w:r>
      <w:r w:rsidR="001E2904">
        <w:t>r</w:t>
      </w:r>
      <w:r w:rsidR="00203B78">
        <w:t>espondents are more likely to stay with their current providers</w:t>
      </w:r>
      <w:r w:rsidR="00A7281C">
        <w:t xml:space="preserve"> if they feel more invested in them</w:t>
      </w:r>
      <w:r w:rsidR="00203B78">
        <w:t>.</w:t>
      </w:r>
      <w:r>
        <w:t xml:space="preserve"> </w:t>
      </w:r>
      <w:r w:rsidR="00E97CB9">
        <w:t xml:space="preserve">This is consistent with research that has looked at the role of switching costs in financial services (Li et al 2005). </w:t>
      </w:r>
      <w:r w:rsidR="008601FE">
        <w:t>O</w:t>
      </w:r>
      <w:r w:rsidR="00E97CB9">
        <w:t xml:space="preserve">ur results </w:t>
      </w:r>
      <w:r w:rsidR="008601FE">
        <w:t xml:space="preserve">also </w:t>
      </w:r>
      <w:r w:rsidR="00E97CB9">
        <w:t>show that</w:t>
      </w:r>
      <w:r w:rsidR="00416FCE">
        <w:t xml:space="preserve"> </w:t>
      </w:r>
      <w:r w:rsidR="00203B78">
        <w:t>the interactions</w:t>
      </w:r>
      <w:r w:rsidR="00416FCE">
        <w:t xml:space="preserve"> with the satisfaction variables do not have any statistically significant </w:t>
      </w:r>
      <w:r w:rsidR="00E97CB9">
        <w:t xml:space="preserve">effects on </w:t>
      </w:r>
      <w:r w:rsidR="006D36E4">
        <w:t xml:space="preserve">retention </w:t>
      </w:r>
      <w:r w:rsidR="00E97CB9">
        <w:t>behavior</w:t>
      </w:r>
      <w:r w:rsidR="00416FCE">
        <w:t xml:space="preserve">. </w:t>
      </w:r>
      <w:r w:rsidR="00AA5ECD">
        <w:t xml:space="preserve"> </w:t>
      </w:r>
    </w:p>
    <w:p w14:paraId="5FCEE085" w14:textId="0847EFD0" w:rsidR="00AA5ECD" w:rsidRDefault="00416FCE" w:rsidP="003B692B">
      <w:pPr>
        <w:ind w:firstLine="0"/>
        <w:rPr>
          <w:i/>
        </w:rPr>
      </w:pPr>
      <w:r>
        <w:rPr>
          <w:i/>
        </w:rPr>
        <w:t>Sequence of accounts</w:t>
      </w:r>
      <w:r w:rsidR="001768B7">
        <w:rPr>
          <w:i/>
        </w:rPr>
        <w:t xml:space="preserve"> </w:t>
      </w:r>
      <w:r w:rsidR="00B757C1">
        <w:rPr>
          <w:i/>
        </w:rPr>
        <w:t>(FIRST</w:t>
      </w:r>
      <w:r w:rsidR="00613181">
        <w:rPr>
          <w:i/>
        </w:rPr>
        <w:t>_</w:t>
      </w:r>
      <w:r w:rsidR="00B757C1">
        <w:rPr>
          <w:i/>
        </w:rPr>
        <w:t>CATG)</w:t>
      </w:r>
    </w:p>
    <w:p w14:paraId="32028F2F" w14:textId="19C63F21" w:rsidR="00416FCE" w:rsidRDefault="00AB45BB" w:rsidP="002C1493">
      <w:r>
        <w:t>We do not find</w:t>
      </w:r>
      <w:r w:rsidR="00B87752">
        <w:t xml:space="preserve"> statistically significant main effects </w:t>
      </w:r>
      <w:r w:rsidR="008601FE">
        <w:t xml:space="preserve">for </w:t>
      </w:r>
      <w:r w:rsidR="00B24F70">
        <w:t xml:space="preserve">first signing up with </w:t>
      </w:r>
      <w:r w:rsidR="00B87752">
        <w:t>either banking or investment service</w:t>
      </w:r>
      <w:r w:rsidR="00E16182">
        <w:t>s (</w:t>
      </w:r>
      <w:r w:rsidR="00E03BB2">
        <w:t xml:space="preserve">estimates of </w:t>
      </w:r>
      <w:r w:rsidR="00E16182">
        <w:t xml:space="preserve">-0.703 and -0.195 respectively) on service </w:t>
      </w:r>
      <w:r w:rsidR="006D36E4">
        <w:t>retention</w:t>
      </w:r>
      <w:r w:rsidR="00E16182">
        <w:t xml:space="preserve">. </w:t>
      </w:r>
      <w:r w:rsidR="00416FCE">
        <w:t>The result</w:t>
      </w:r>
      <w:r w:rsidR="00B87752">
        <w:t xml:space="preserve">s </w:t>
      </w:r>
      <w:r w:rsidR="00E03BB2">
        <w:t>for</w:t>
      </w:r>
      <w:r w:rsidR="00B87752">
        <w:t xml:space="preserve"> the interaction variables</w:t>
      </w:r>
      <w:r w:rsidR="00416FCE">
        <w:t xml:space="preserve"> </w:t>
      </w:r>
      <w:r w:rsidR="00E03BB2">
        <w:t xml:space="preserve">on the other hand, </w:t>
      </w:r>
      <w:r w:rsidR="00416FCE">
        <w:t>demonstrate that being the first among these two service</w:t>
      </w:r>
      <w:r w:rsidR="00E16182">
        <w:t>s</w:t>
      </w:r>
      <w:r w:rsidR="00416FCE">
        <w:t xml:space="preserve"> enhance</w:t>
      </w:r>
      <w:r w:rsidR="00B24F70">
        <w:t>s</w:t>
      </w:r>
      <w:r w:rsidR="00416FCE">
        <w:t xml:space="preserve"> the positive experience with </w:t>
      </w:r>
      <w:r w:rsidR="00B24F70">
        <w:t>a</w:t>
      </w:r>
      <w:r w:rsidR="00416FCE">
        <w:t xml:space="preserve"> firm</w:t>
      </w:r>
      <w:r w:rsidR="00B24F70">
        <w:t xml:space="preserve">; </w:t>
      </w:r>
      <w:r w:rsidR="00E03BB2">
        <w:t xml:space="preserve">if customers are </w:t>
      </w:r>
      <w:r w:rsidR="00416FCE">
        <w:t xml:space="preserve">satisfied with </w:t>
      </w:r>
      <w:r w:rsidR="00E16182">
        <w:t>their</w:t>
      </w:r>
      <w:r w:rsidR="00416FCE">
        <w:t xml:space="preserve"> banking</w:t>
      </w:r>
      <w:r w:rsidR="00B24F70">
        <w:t xml:space="preserve"> </w:t>
      </w:r>
      <w:r w:rsidR="00416FCE">
        <w:t>/</w:t>
      </w:r>
      <w:r w:rsidR="00B24F70">
        <w:t xml:space="preserve"> </w:t>
      </w:r>
      <w:r w:rsidR="00416FCE">
        <w:t>investment service</w:t>
      </w:r>
      <w:r w:rsidR="00E16182">
        <w:t>s</w:t>
      </w:r>
      <w:r w:rsidR="00416FCE">
        <w:t>,</w:t>
      </w:r>
      <w:r w:rsidR="00E03BB2">
        <w:t xml:space="preserve"> the </w:t>
      </w:r>
      <w:r w:rsidR="00E03BB2">
        <w:lastRenderedPageBreak/>
        <w:t xml:space="preserve">effect of this satisfaction is enhanced if that service was also the first one that customers signed up for with the firm. This “enhancement of satisfaction effect” (1.640 in Table 4) </w:t>
      </w:r>
      <w:r w:rsidR="004050F3">
        <w:t xml:space="preserve">complements the previous literature (e.g., Li et al 2005) by separating out the satisfaction at the own- versus cross-category level. </w:t>
      </w:r>
      <w:r>
        <w:t>W</w:t>
      </w:r>
      <w:r w:rsidR="004050F3">
        <w:t xml:space="preserve">hen it comes to </w:t>
      </w:r>
      <w:r w:rsidR="00030B0D">
        <w:t>retention</w:t>
      </w:r>
      <w:r w:rsidR="004050F3">
        <w:t xml:space="preserve">, the mechanism by which satisfaction has an affect is by strengthening </w:t>
      </w:r>
      <w:r w:rsidR="00AA5EA8">
        <w:t xml:space="preserve">retention </w:t>
      </w:r>
      <w:r w:rsidR="004050F3">
        <w:t>for the account that is opened first at the institution.</w:t>
      </w:r>
      <w:r w:rsidR="002C1493">
        <w:t xml:space="preserve"> </w:t>
      </w:r>
      <w:r w:rsidR="003509DE">
        <w:t xml:space="preserve">Yet we do not find </w:t>
      </w:r>
      <w:r w:rsidR="00E03BB2">
        <w:t>significant cross-category effects of these interactions</w:t>
      </w:r>
      <w:r w:rsidR="002C1493">
        <w:t xml:space="preserve"> indicating the “within” category nature of </w:t>
      </w:r>
      <w:r w:rsidR="00A173A3">
        <w:t>this interaction</w:t>
      </w:r>
      <w:r w:rsidR="00E03BB2">
        <w:t>.</w:t>
      </w:r>
    </w:p>
    <w:p w14:paraId="42F9F776" w14:textId="57A4D7F2" w:rsidR="00E704BE" w:rsidRPr="005D50B0" w:rsidRDefault="00CC5AB9" w:rsidP="005D50B0">
      <w:pPr>
        <w:ind w:firstLine="0"/>
        <w:rPr>
          <w:i/>
          <w:u w:val="single"/>
        </w:rPr>
      </w:pPr>
      <w:r>
        <w:rPr>
          <w:i/>
          <w:u w:val="single"/>
        </w:rPr>
        <w:t>Demographic variables</w:t>
      </w:r>
      <w:r w:rsidR="00500F24">
        <w:rPr>
          <w:i/>
          <w:u w:val="single"/>
        </w:rPr>
        <w:t xml:space="preserve"> </w:t>
      </w:r>
    </w:p>
    <w:p w14:paraId="0A973AF1" w14:textId="63D89AC6" w:rsidR="00E704BE" w:rsidRDefault="005D50B0" w:rsidP="005D50B0">
      <w:r>
        <w:t xml:space="preserve">Results for the effects of demographic variables on </w:t>
      </w:r>
      <w:r w:rsidR="00213C3A">
        <w:t xml:space="preserve">retention </w:t>
      </w:r>
      <w:r w:rsidR="00D14EC9">
        <w:t xml:space="preserve">are </w:t>
      </w:r>
      <w:r>
        <w:t>in Table 5</w:t>
      </w:r>
      <w:r w:rsidR="00E704BE">
        <w:t xml:space="preserve">. </w:t>
      </w:r>
      <w:r w:rsidR="00D14EC9">
        <w:t>O</w:t>
      </w:r>
      <w:r w:rsidR="00E704BE">
        <w:t xml:space="preserve">lder customers are more likely to stay with the current bank and investment companies. Customers with </w:t>
      </w:r>
      <w:r w:rsidR="0091222A">
        <w:t>no kids</w:t>
      </w:r>
      <w:r w:rsidR="00500F24">
        <w:t xml:space="preserve"> are more likely to stay with the investment firm; </w:t>
      </w:r>
      <w:r w:rsidR="00E704BE">
        <w:t xml:space="preserve">low income customers are more likely to stay with their current bank; and high income customers tend to stay with </w:t>
      </w:r>
      <w:r w:rsidR="0091222A">
        <w:t xml:space="preserve">both </w:t>
      </w:r>
      <w:r w:rsidR="00E704BE">
        <w:t>their current</w:t>
      </w:r>
      <w:r w:rsidR="0091222A">
        <w:t xml:space="preserve"> bank and</w:t>
      </w:r>
      <w:r w:rsidR="00E704BE">
        <w:t xml:space="preserve"> investment firm</w:t>
      </w:r>
      <w:r w:rsidR="0091222A">
        <w:t>s</w:t>
      </w:r>
      <w:r w:rsidR="00E704BE">
        <w:t xml:space="preserve">. </w:t>
      </w:r>
      <w:r w:rsidR="001E1F56">
        <w:t>T</w:t>
      </w:r>
      <w:r w:rsidR="00404259">
        <w:t xml:space="preserve">hese results highlight the importance of heterogeneity in </w:t>
      </w:r>
      <w:r w:rsidR="00481A14">
        <w:t>retention</w:t>
      </w:r>
      <w:r w:rsidR="00404259">
        <w:t xml:space="preserve"> across consumers.</w:t>
      </w:r>
      <w:r>
        <w:t xml:space="preserve"> </w:t>
      </w:r>
      <w:r w:rsidR="00D14EC9">
        <w:t xml:space="preserve">Finally, the </w:t>
      </w:r>
      <w:r w:rsidR="00613181">
        <w:t xml:space="preserve">MORE_ACC </w:t>
      </w:r>
      <w:r w:rsidR="00D14EC9">
        <w:t xml:space="preserve">variable shows that greater knowledge facilitates </w:t>
      </w:r>
      <w:r w:rsidR="00481A14">
        <w:t>retention</w:t>
      </w:r>
      <w:r w:rsidR="00D14EC9">
        <w:t>.</w:t>
      </w:r>
    </w:p>
    <w:p w14:paraId="66BCF78E" w14:textId="77777777" w:rsidR="00E704BE" w:rsidRPr="007241F5" w:rsidRDefault="00E704BE" w:rsidP="00E704BE">
      <w:pPr>
        <w:ind w:firstLine="0"/>
        <w:rPr>
          <w:i/>
          <w:u w:val="single"/>
        </w:rPr>
      </w:pPr>
      <w:r w:rsidRPr="007241F5">
        <w:rPr>
          <w:i/>
          <w:u w:val="single"/>
        </w:rPr>
        <w:t>Selection model</w:t>
      </w:r>
    </w:p>
    <w:p w14:paraId="3972EB0E" w14:textId="730063DF" w:rsidR="0055163D" w:rsidRDefault="00E704BE" w:rsidP="00D14EC9">
      <w:r>
        <w:t xml:space="preserve">The estimation results from the Binary </w:t>
      </w:r>
      <w:proofErr w:type="spellStart"/>
      <w:r>
        <w:t>Probit</w:t>
      </w:r>
      <w:proofErr w:type="spellEnd"/>
      <w:r>
        <w:t xml:space="preserve"> model are presented in Table </w:t>
      </w:r>
      <w:r w:rsidR="002D44B8">
        <w:t>6</w:t>
      </w:r>
      <w:r>
        <w:t xml:space="preserve">. The results show that older customers, customers with no kids and customers who go online frequently are more likely to use the same company for the two services. In addition, customers who think “technology is important” and “life is to have fun” are less likely to have the same firm. Customers who think “family is very important” are more likely to use the same firm. </w:t>
      </w:r>
      <w:r w:rsidR="008A2535">
        <w:t>The</w:t>
      </w:r>
      <w:r>
        <w:t xml:space="preserve"> covariance between the error term from the selection model and that from the main model for banking is 0.</w:t>
      </w:r>
      <w:r w:rsidR="00EA3786">
        <w:t>4</w:t>
      </w:r>
      <w:r w:rsidR="002D44B8">
        <w:t>86</w:t>
      </w:r>
      <w:r>
        <w:t xml:space="preserve">, with a </w:t>
      </w:r>
      <w:r w:rsidR="00EA3786">
        <w:t>96</w:t>
      </w:r>
      <w:r>
        <w:t>% chance of being positive. The covariance between the selection model error term and the investment model is -0.</w:t>
      </w:r>
      <w:r w:rsidR="00EA3786">
        <w:t>497</w:t>
      </w:r>
      <w:r>
        <w:t>, with a 9</w:t>
      </w:r>
      <w:r w:rsidR="00EA3786">
        <w:t>8</w:t>
      </w:r>
      <w:r>
        <w:t xml:space="preserve">% chance of being negative. </w:t>
      </w:r>
      <w:r w:rsidR="00B24F70">
        <w:t>T</w:t>
      </w:r>
      <w:r>
        <w:t xml:space="preserve">hese parameters </w:t>
      </w:r>
      <w:r w:rsidR="00B24F70">
        <w:t>provide some</w:t>
      </w:r>
      <w:r>
        <w:t xml:space="preserve"> evidence of selection in the data.</w:t>
      </w:r>
    </w:p>
    <w:p w14:paraId="326F5B21" w14:textId="6D8F5C6C" w:rsidR="00E704BE" w:rsidRPr="008A2535" w:rsidRDefault="005B2D40" w:rsidP="00D14EC9">
      <w:pPr>
        <w:ind w:firstLine="0"/>
        <w:rPr>
          <w:i/>
          <w:u w:val="single"/>
        </w:rPr>
      </w:pPr>
      <w:r w:rsidRPr="008A2535">
        <w:rPr>
          <w:i/>
          <w:u w:val="single"/>
        </w:rPr>
        <w:t>Model Comparisons</w:t>
      </w:r>
    </w:p>
    <w:p w14:paraId="3ECC8F0D" w14:textId="403DA666" w:rsidR="00A75C82" w:rsidRDefault="00D14EC9" w:rsidP="00D14EC9">
      <w:r>
        <w:t>W</w:t>
      </w:r>
      <w:r w:rsidR="00064B46">
        <w:t xml:space="preserve">e estimated </w:t>
      </w:r>
      <w:r>
        <w:t>several</w:t>
      </w:r>
      <w:r w:rsidR="00064B46">
        <w:t xml:space="preserve"> alternative models. </w:t>
      </w:r>
      <w:r w:rsidR="00086AE8">
        <w:t>(</w:t>
      </w:r>
      <w:r w:rsidR="00437045">
        <w:t xml:space="preserve">a) </w:t>
      </w:r>
      <w:r w:rsidR="00C30961">
        <w:t>A</w:t>
      </w:r>
      <w:r w:rsidR="00437045">
        <w:t xml:space="preserve"> model </w:t>
      </w:r>
      <w:r w:rsidR="00C30961">
        <w:t xml:space="preserve">that </w:t>
      </w:r>
      <w:r w:rsidR="00E814FD">
        <w:t>uses the average satisfaction level</w:t>
      </w:r>
      <w:r w:rsidR="00086AE8">
        <w:t xml:space="preserve">s across the two categories </w:t>
      </w:r>
      <w:r w:rsidR="00C30961">
        <w:t xml:space="preserve">(as a proxy for overall satisfaction) rather than category-specific satisfaction. </w:t>
      </w:r>
      <w:r w:rsidR="00CE7A0C">
        <w:t xml:space="preserve">(b) </w:t>
      </w:r>
      <w:r w:rsidR="00C30961">
        <w:t>A</w:t>
      </w:r>
      <w:r w:rsidR="00CE7A0C">
        <w:t xml:space="preserve"> model </w:t>
      </w:r>
      <w:r w:rsidR="00C30961">
        <w:t xml:space="preserve">that </w:t>
      </w:r>
      <w:r w:rsidR="00CE7A0C">
        <w:t>ignor</w:t>
      </w:r>
      <w:r w:rsidR="00C30961">
        <w:t>es</w:t>
      </w:r>
      <w:r w:rsidR="00CE7A0C">
        <w:t xml:space="preserve"> the incremental cross-category spillover effects for people using the same company </w:t>
      </w:r>
      <w:r w:rsidR="00CE7A0C">
        <w:lastRenderedPageBreak/>
        <w:t>for both services</w:t>
      </w:r>
      <w:r w:rsidR="00C30961">
        <w:t xml:space="preserve">. </w:t>
      </w:r>
      <w:r w:rsidR="00086AE8">
        <w:t>(</w:t>
      </w:r>
      <w:r w:rsidR="00CE7A0C">
        <w:t>c</w:t>
      </w:r>
      <w:r w:rsidR="00E814FD">
        <w:t xml:space="preserve">) </w:t>
      </w:r>
      <w:r w:rsidR="00C30961">
        <w:t>A</w:t>
      </w:r>
      <w:r w:rsidR="00E814FD">
        <w:t xml:space="preserve"> model</w:t>
      </w:r>
      <w:r w:rsidR="00CE7A0C">
        <w:t xml:space="preserve"> </w:t>
      </w:r>
      <w:r w:rsidR="00C30961">
        <w:t xml:space="preserve">that </w:t>
      </w:r>
      <w:r w:rsidR="00CE7A0C">
        <w:t>completely</w:t>
      </w:r>
      <w:r w:rsidR="00E814FD">
        <w:t xml:space="preserve"> ignor</w:t>
      </w:r>
      <w:r w:rsidR="00C30961">
        <w:t>es</w:t>
      </w:r>
      <w:r w:rsidR="00E814FD">
        <w:t xml:space="preserve"> the cross-category effect of customer satisfaction</w:t>
      </w:r>
      <w:r w:rsidR="00C30961">
        <w:t>.</w:t>
      </w:r>
      <w:r>
        <w:t xml:space="preserve"> </w:t>
      </w:r>
      <w:r w:rsidR="00086AE8">
        <w:t>(d</w:t>
      </w:r>
      <w:r w:rsidR="00437045">
        <w:t xml:space="preserve">) </w:t>
      </w:r>
      <w:r w:rsidR="00C30961">
        <w:t>A</w:t>
      </w:r>
      <w:r w:rsidR="00437045">
        <w:t xml:space="preserve"> model </w:t>
      </w:r>
      <w:r w:rsidR="00C30961">
        <w:t xml:space="preserve">that </w:t>
      </w:r>
      <w:r w:rsidR="00437045">
        <w:t>neglect</w:t>
      </w:r>
      <w:r w:rsidR="00C30961">
        <w:t>s</w:t>
      </w:r>
      <w:r w:rsidR="00437045">
        <w:t xml:space="preserve"> the selection issue.</w:t>
      </w:r>
      <w:r>
        <w:t xml:space="preserve"> </w:t>
      </w:r>
      <w:r w:rsidR="00A75C82">
        <w:t>(e) A model that neglects unobserved heterogeneity</w:t>
      </w:r>
      <w:r>
        <w:t>.</w:t>
      </w:r>
    </w:p>
    <w:p w14:paraId="10D9867C" w14:textId="6066BCE7" w:rsidR="00A80BDD" w:rsidRPr="00A80BDD" w:rsidRDefault="0075710E" w:rsidP="00D14EC9">
      <w:r>
        <w:t xml:space="preserve">The results </w:t>
      </w:r>
      <w:r w:rsidR="00B24F70">
        <w:t xml:space="preserve">(not reported) </w:t>
      </w:r>
      <w:r>
        <w:t>show that our model fits the data the best</w:t>
      </w:r>
      <w:r w:rsidR="00B24F70">
        <w:t xml:space="preserve">. </w:t>
      </w:r>
      <w:r>
        <w:t xml:space="preserve">Among the within-sample tests, the log-marginal density value of the base model is </w:t>
      </w:r>
      <w:r w:rsidR="00FE5AAF">
        <w:t>slightly better than</w:t>
      </w:r>
      <w:r>
        <w:t xml:space="preserve"> alternative model (b) with no incremental spillover and model (d) </w:t>
      </w:r>
      <w:r w:rsidR="00FE5AAF">
        <w:t xml:space="preserve">that </w:t>
      </w:r>
      <w:r>
        <w:t>ignor</w:t>
      </w:r>
      <w:r w:rsidR="00FE5AAF">
        <w:t>es</w:t>
      </w:r>
      <w:r>
        <w:t xml:space="preserve"> selection, but much better than model (c) with no cross-category effects. </w:t>
      </w:r>
      <w:r w:rsidR="00FE5AAF">
        <w:t>In</w:t>
      </w:r>
      <w:r>
        <w:t xml:space="preserve"> the out-of-sample tests, the base model </w:t>
      </w:r>
      <w:r w:rsidR="00FE5AAF">
        <w:t>performs better than models (</w:t>
      </w:r>
      <w:r w:rsidR="005617D0">
        <w:t>b</w:t>
      </w:r>
      <w:r w:rsidR="00FE5AAF">
        <w:t xml:space="preserve">) </w:t>
      </w:r>
      <w:r w:rsidR="005617D0">
        <w:t>and</w:t>
      </w:r>
      <w:r w:rsidR="00FE5AAF">
        <w:t xml:space="preserve"> (c) and is marginally better than (d)</w:t>
      </w:r>
      <w:r>
        <w:t xml:space="preserve">. </w:t>
      </w:r>
      <w:r w:rsidR="005617D0">
        <w:t xml:space="preserve">Thus both from the perspective of insight (comparison with model (a)) as well as fit (models </w:t>
      </w:r>
      <w:r w:rsidR="00E20BE7">
        <w:t xml:space="preserve">(b), (c) and (d)), our proposed specification </w:t>
      </w:r>
      <w:r w:rsidR="001A05F9">
        <w:t>reveals</w:t>
      </w:r>
      <w:r w:rsidR="00E20BE7">
        <w:t xml:space="preserve"> some advantages.</w:t>
      </w:r>
    </w:p>
    <w:p w14:paraId="7C5CCBED" w14:textId="1D9E4214" w:rsidR="00E314B1" w:rsidRPr="00C95CE7" w:rsidRDefault="000A5DDC" w:rsidP="00C95CE7">
      <w:pPr>
        <w:ind w:firstLine="0"/>
        <w:rPr>
          <w:i/>
          <w:u w:val="single"/>
        </w:rPr>
      </w:pPr>
      <w:r w:rsidRPr="00C95CE7">
        <w:rPr>
          <w:i/>
          <w:u w:val="single"/>
        </w:rPr>
        <w:t>Implicati</w:t>
      </w:r>
      <w:r w:rsidR="004010E6" w:rsidRPr="00C95CE7">
        <w:rPr>
          <w:i/>
          <w:u w:val="single"/>
        </w:rPr>
        <w:t>ons for Customer Lifetime Value</w:t>
      </w:r>
    </w:p>
    <w:p w14:paraId="3A9E9730" w14:textId="338D2118" w:rsidR="0086204F" w:rsidRDefault="0086204F" w:rsidP="00933364">
      <w:r>
        <w:t xml:space="preserve">The calculation of the simple version of CLV (Gupta and Lehmann </w:t>
      </w:r>
      <w:r>
        <w:rPr>
          <w:rFonts w:hint="eastAsia"/>
        </w:rPr>
        <w:t>2006</w:t>
      </w:r>
      <w:r>
        <w:t>) requires: (</w:t>
      </w:r>
      <w:proofErr w:type="spellStart"/>
      <w:r>
        <w:t>i</w:t>
      </w:r>
      <w:proofErr w:type="spellEnd"/>
      <w:r>
        <w:t>) the interest rate</w:t>
      </w:r>
      <w:r w:rsidR="00933364">
        <w:t xml:space="preserve"> (</w:t>
      </w:r>
      <m:oMath>
        <m:r>
          <w:rPr>
            <w:rFonts w:ascii="Cambria Math" w:hAnsi="Cambria Math"/>
          </w:rPr>
          <m:t>δ=10%</m:t>
        </m:r>
      </m:oMath>
      <w:r w:rsidR="00933364">
        <w:t>.)</w:t>
      </w:r>
      <w:r>
        <w:t>; (ii) the retention rate or the future probability of purchase</w:t>
      </w:r>
      <w:r w:rsidR="00933364">
        <w:t xml:space="preserve"> (this comes directly from the dependent variable of our main model)</w:t>
      </w:r>
      <w:r>
        <w:t>; (iii) the profitability of each future purchase or margin</w:t>
      </w:r>
      <w:r w:rsidR="00933364">
        <w:t xml:space="preserve"> (we use Li et al 2011 to compute profitability for banking per account as </w:t>
      </w:r>
      <m:oMath>
        <m:sSub>
          <m:sSubPr>
            <m:ctrlPr>
              <w:rPr>
                <w:rFonts w:ascii="Cambria Math" w:hAnsi="Cambria Math"/>
                <w:i/>
              </w:rPr>
            </m:ctrlPr>
          </m:sSubPr>
          <m:e>
            <m:r>
              <w:rPr>
                <w:rFonts w:ascii="Cambria Math" w:hAnsi="Cambria Math"/>
              </w:rPr>
              <m:t>m</m:t>
            </m:r>
          </m:e>
          <m:sub>
            <m:r>
              <w:rPr>
                <w:rFonts w:ascii="Cambria Math" w:hAnsi="Cambria Math"/>
              </w:rPr>
              <m:t>bank</m:t>
            </m:r>
          </m:sub>
        </m:sSub>
        <m:r>
          <w:rPr>
            <w:rFonts w:ascii="Cambria Math" w:hAnsi="Cambria Math"/>
          </w:rPr>
          <m:t>=</m:t>
        </m:r>
      </m:oMath>
      <w:r w:rsidR="00933364">
        <w:t xml:space="preserve">$119 and the profitability of investment as </w:t>
      </w:r>
      <m:oMath>
        <m:sSub>
          <m:sSubPr>
            <m:ctrlPr>
              <w:rPr>
                <w:rFonts w:ascii="Cambria Math" w:hAnsi="Cambria Math"/>
                <w:i/>
              </w:rPr>
            </m:ctrlPr>
          </m:sSubPr>
          <m:e>
            <m:r>
              <w:rPr>
                <w:rFonts w:ascii="Cambria Math" w:hAnsi="Cambria Math"/>
              </w:rPr>
              <m:t>m</m:t>
            </m:r>
          </m:e>
          <m:sub>
            <m:r>
              <w:rPr>
                <w:rFonts w:ascii="Cambria Math" w:hAnsi="Cambria Math"/>
              </w:rPr>
              <m:t>Investment</m:t>
            </m:r>
          </m:sub>
        </m:sSub>
        <m:r>
          <w:rPr>
            <w:rFonts w:ascii="Cambria Math" w:hAnsi="Cambria Math"/>
          </w:rPr>
          <m:t>=</m:t>
        </m:r>
      </m:oMath>
      <w:r w:rsidR="00933364">
        <w:t>$111)</w:t>
      </w:r>
      <w:r>
        <w:t>; and (iv) the cost of acquisition. Our calculations here ignore (a) acquisition costs</w:t>
      </w:r>
      <w:r w:rsidR="0097231B">
        <w:t xml:space="preserve">; (b) </w:t>
      </w:r>
      <w:r w:rsidR="00C86B75">
        <w:t xml:space="preserve">the possibility that the margins the company makes could vary with the satisfaction level of the customer; </w:t>
      </w:r>
      <w:r>
        <w:t>and (</w:t>
      </w:r>
      <w:r w:rsidR="00C86B75">
        <w:t>c</w:t>
      </w:r>
      <w:r>
        <w:t>) effects on recommendation and the “network” effect of improving satisfaction.</w:t>
      </w:r>
      <w:r w:rsidR="00933364">
        <w:t xml:space="preserve"> </w:t>
      </w:r>
      <w:r>
        <w:t xml:space="preserve">Using these </w:t>
      </w:r>
      <w:r w:rsidR="00380505">
        <w:t xml:space="preserve">values </w:t>
      </w:r>
      <w:proofErr w:type="gramStart"/>
      <w:r w:rsidR="00380505">
        <w:t xml:space="preserve">for </w:t>
      </w:r>
      <w:proofErr w:type="gramEnd"/>
      <m:oMath>
        <m:sSub>
          <m:sSubPr>
            <m:ctrlPr>
              <w:rPr>
                <w:rFonts w:ascii="Cambria Math" w:hAnsi="Cambria Math"/>
                <w:i/>
              </w:rPr>
            </m:ctrlPr>
          </m:sSubPr>
          <m:e>
            <m:r>
              <w:rPr>
                <w:rFonts w:ascii="Cambria Math" w:hAnsi="Cambria Math"/>
              </w:rPr>
              <m:t>m</m:t>
            </m:r>
          </m:e>
          <m:sub>
            <m:r>
              <w:rPr>
                <w:rFonts w:ascii="Cambria Math" w:hAnsi="Cambria Math"/>
              </w:rPr>
              <m:t>bank</m:t>
            </m:r>
          </m:sub>
        </m:sSub>
      </m:oMath>
      <w:r w:rsidR="00FE7F93">
        <w:t xml:space="preserve">, </w:t>
      </w:r>
      <m:oMath>
        <m:sSub>
          <m:sSubPr>
            <m:ctrlPr>
              <w:rPr>
                <w:rFonts w:ascii="Cambria Math" w:hAnsi="Cambria Math"/>
                <w:i/>
              </w:rPr>
            </m:ctrlPr>
          </m:sSubPr>
          <m:e>
            <m:r>
              <w:rPr>
                <w:rFonts w:ascii="Cambria Math" w:hAnsi="Cambria Math"/>
              </w:rPr>
              <m:t>m</m:t>
            </m:r>
          </m:e>
          <m:sub>
            <m:r>
              <w:rPr>
                <w:rFonts w:ascii="Cambria Math" w:hAnsi="Cambria Math"/>
              </w:rPr>
              <m:t>Investment</m:t>
            </m:r>
          </m:sub>
        </m:sSub>
      </m:oMath>
      <w:r w:rsidR="00FE7F93">
        <w:t xml:space="preserve"> and </w:t>
      </w:r>
      <m:oMath>
        <m:r>
          <w:rPr>
            <w:rFonts w:ascii="Cambria Math" w:hAnsi="Cambria Math"/>
          </w:rPr>
          <m:t>δ</m:t>
        </m:r>
      </m:oMath>
      <w:r w:rsidR="00FE7F93">
        <w:t>, together with</w:t>
      </w:r>
      <w:r>
        <w:t xml:space="preserve"> </w:t>
      </w:r>
      <w:r w:rsidR="00380505">
        <w:t>our</w:t>
      </w:r>
      <w:r>
        <w:t xml:space="preserve"> </w:t>
      </w:r>
      <w:r w:rsidR="00380505">
        <w:t>estimates</w:t>
      </w:r>
      <w:r>
        <w:t xml:space="preserve">, we obtain </w:t>
      </w:r>
      <w:r w:rsidR="00121B49">
        <w:t xml:space="preserve">the </w:t>
      </w:r>
      <w:r>
        <w:t xml:space="preserve">mean CLV </w:t>
      </w:r>
      <w:r w:rsidR="006D381A">
        <w:t>across all customers to be</w:t>
      </w:r>
      <w:r w:rsidR="00AE46F3">
        <w:t xml:space="preserve"> $</w:t>
      </w:r>
      <w:r w:rsidR="007B6D1E">
        <w:t>675.68</w:t>
      </w:r>
      <w:r w:rsidR="00AA401E">
        <w:t xml:space="preserve"> ($</w:t>
      </w:r>
      <w:r w:rsidR="00D51A46">
        <w:t>4</w:t>
      </w:r>
      <w:r w:rsidR="007B6D1E">
        <w:t>80</w:t>
      </w:r>
      <w:r w:rsidR="00D51A46">
        <w:t>.</w:t>
      </w:r>
      <w:r w:rsidR="007B6D1E">
        <w:t>22</w:t>
      </w:r>
      <w:r>
        <w:t xml:space="preserve"> for banking and $</w:t>
      </w:r>
      <w:r w:rsidR="007B6D1E">
        <w:t>195</w:t>
      </w:r>
      <w:r w:rsidR="00D34D5F">
        <w:t>.</w:t>
      </w:r>
      <w:r w:rsidR="007B6D1E">
        <w:t>46</w:t>
      </w:r>
      <w:r>
        <w:t xml:space="preserve"> for </w:t>
      </w:r>
      <w:r w:rsidR="00AA401E">
        <w:t>investment</w:t>
      </w:r>
      <w:r>
        <w:t>).</w:t>
      </w:r>
      <w:r w:rsidR="00AA401E">
        <w:t xml:space="preserve"> </w:t>
      </w:r>
    </w:p>
    <w:p w14:paraId="62A0BC0A" w14:textId="21BFB2F5" w:rsidR="002036B5" w:rsidRDefault="00933364" w:rsidP="0086204F">
      <w:r>
        <w:t>W</w:t>
      </w:r>
      <w:r w:rsidR="00A432A8">
        <w:t>e find that, among the within-category effects, (</w:t>
      </w:r>
      <w:proofErr w:type="spellStart"/>
      <w:r w:rsidR="006F6C8D">
        <w:t>i</w:t>
      </w:r>
      <w:proofErr w:type="spellEnd"/>
      <w:r w:rsidR="00A432A8">
        <w:t xml:space="preserve">) if satisfaction for banking (investment) is improved from negative to </w:t>
      </w:r>
      <w:r w:rsidR="00380AA0">
        <w:t>neutral</w:t>
      </w:r>
      <w:r w:rsidR="00A432A8">
        <w:t xml:space="preserve">, the CLV related </w:t>
      </w:r>
      <w:r w:rsidR="006F6C8D">
        <w:t>to</w:t>
      </w:r>
      <w:r w:rsidR="00A432A8">
        <w:t xml:space="preserve"> banking </w:t>
      </w:r>
      <w:r w:rsidR="00380AA0">
        <w:t xml:space="preserve">(investment) </w:t>
      </w:r>
      <w:r w:rsidR="00A432A8">
        <w:t>improve</w:t>
      </w:r>
      <w:r w:rsidR="00C97165">
        <w:t>s</w:t>
      </w:r>
      <w:r w:rsidR="00A432A8">
        <w:t xml:space="preserve"> by </w:t>
      </w:r>
      <w:r w:rsidR="00085484">
        <w:t>45</w:t>
      </w:r>
      <w:r w:rsidR="00A432A8">
        <w:t>% (</w:t>
      </w:r>
      <w:r w:rsidR="00085484">
        <w:t>58</w:t>
      </w:r>
      <w:r w:rsidR="00A432A8">
        <w:t>%</w:t>
      </w:r>
      <w:r w:rsidR="00380AA0">
        <w:t xml:space="preserve"> for investment</w:t>
      </w:r>
      <w:r w:rsidR="00A432A8">
        <w:t>); (</w:t>
      </w:r>
      <w:r w:rsidR="006F6C8D">
        <w:t>ii</w:t>
      </w:r>
      <w:r w:rsidR="00A432A8">
        <w:t xml:space="preserve">) </w:t>
      </w:r>
      <w:r w:rsidR="00380AA0">
        <w:t xml:space="preserve">if satisfaction for banking (investment) is improved from neutral to positive, the CLV related </w:t>
      </w:r>
      <w:r w:rsidR="00B50187">
        <w:t>to</w:t>
      </w:r>
      <w:r w:rsidR="00380AA0">
        <w:t xml:space="preserve"> banking (investment) improve</w:t>
      </w:r>
      <w:r w:rsidR="00C97165">
        <w:t>s</w:t>
      </w:r>
      <w:r w:rsidR="00380AA0">
        <w:t xml:space="preserve"> by </w:t>
      </w:r>
      <w:r w:rsidR="00085484">
        <w:t>34</w:t>
      </w:r>
      <w:r w:rsidR="00380AA0">
        <w:t>% (</w:t>
      </w:r>
      <w:r w:rsidR="00085484">
        <w:t>26</w:t>
      </w:r>
      <w:r w:rsidR="00380AA0">
        <w:t>% for investment).</w:t>
      </w:r>
      <w:r w:rsidR="004C739B">
        <w:t xml:space="preserve"> In other words, improving customer satisfaction from negative to neutral has a much higher impact on the customer’s CLV for that service than improving from neutral to positive.</w:t>
      </w:r>
      <w:r w:rsidR="00C346BC">
        <w:t xml:space="preserve"> This is true for both banking and </w:t>
      </w:r>
      <w:r w:rsidR="00183A23">
        <w:t>investment services. W</w:t>
      </w:r>
      <w:r w:rsidR="00C346BC">
        <w:t xml:space="preserve">e </w:t>
      </w:r>
      <w:r w:rsidR="00183A23">
        <w:t xml:space="preserve">also </w:t>
      </w:r>
      <w:r w:rsidR="00C346BC">
        <w:t xml:space="preserve">find that among the cross-category effects for customers who use different companies for the services, if a customer’s satisfaction level for </w:t>
      </w:r>
      <w:r w:rsidR="00C346BC" w:rsidRPr="002B7EF7">
        <w:rPr>
          <w:i/>
        </w:rPr>
        <w:t>investment</w:t>
      </w:r>
      <w:r w:rsidR="00C346BC">
        <w:t xml:space="preserve"> is improved from negative to neutral</w:t>
      </w:r>
      <w:r w:rsidR="009D4C89">
        <w:t xml:space="preserve"> (from neutral to </w:t>
      </w:r>
      <w:r w:rsidR="009D4C89">
        <w:lastRenderedPageBreak/>
        <w:t>positive)</w:t>
      </w:r>
      <w:r w:rsidR="00C346BC">
        <w:t>, she is less likely to stay with the curr</w:t>
      </w:r>
      <w:r w:rsidR="009D4C89">
        <w:t xml:space="preserve">ent (different) banking company. Her </w:t>
      </w:r>
      <w:r w:rsidR="00C346BC">
        <w:t>CLV with the banking company</w:t>
      </w:r>
      <w:r w:rsidR="009D4C89">
        <w:t xml:space="preserve"> is reduced</w:t>
      </w:r>
      <w:r w:rsidR="00C346BC">
        <w:t xml:space="preserve"> by </w:t>
      </w:r>
      <w:r w:rsidR="00201543">
        <w:t>4</w:t>
      </w:r>
      <w:r w:rsidR="009D4C89">
        <w:t>5% (1</w:t>
      </w:r>
      <w:r w:rsidR="00201543">
        <w:t>6</w:t>
      </w:r>
      <w:r w:rsidR="009D4C89">
        <w:t xml:space="preserve">%). If her satisfaction with </w:t>
      </w:r>
      <w:r w:rsidR="009D4C89" w:rsidRPr="002B7EF7">
        <w:rPr>
          <w:i/>
        </w:rPr>
        <w:t>banking</w:t>
      </w:r>
      <w:r w:rsidR="009D4C89">
        <w:t xml:space="preserve"> is improved from neutral to positive, she is less likely to stay with the current (different) investment firm. Her CLV with the investment company is reduced by 4</w:t>
      </w:r>
      <w:r w:rsidR="00201543">
        <w:t>2</w:t>
      </w:r>
      <w:r w:rsidR="009D4C89">
        <w:t xml:space="preserve">%. This step demonstrates the asymmetric effect across categories for customers using different companies. </w:t>
      </w:r>
      <w:r w:rsidR="002036B5">
        <w:t xml:space="preserve">These two steps illustrate the asymmetric </w:t>
      </w:r>
      <w:r w:rsidR="002B7EF7">
        <w:t>results</w:t>
      </w:r>
      <w:r w:rsidR="002036B5">
        <w:t xml:space="preserve"> of customer satisfaction effects, both between satisfaction vs. dissatisfaction; and across categories.</w:t>
      </w:r>
    </w:p>
    <w:p w14:paraId="74E99639" w14:textId="519EDAC1" w:rsidR="00DD0731" w:rsidRDefault="00183A23" w:rsidP="0086204F">
      <w:r>
        <w:t>To</w:t>
      </w:r>
      <w:r w:rsidR="00533D24">
        <w:t xml:space="preserve"> </w:t>
      </w:r>
      <w:r w:rsidR="008A3424">
        <w:t>provide a measure in dollars</w:t>
      </w:r>
      <w:r w:rsidR="00533D24">
        <w:t xml:space="preserve">, we </w:t>
      </w:r>
      <w:r w:rsidR="00DD0731">
        <w:t xml:space="preserve">calculated, among the customers using the same firm for both services, </w:t>
      </w:r>
      <w:r w:rsidR="00533D24">
        <w:t>the incremental dollar value</w:t>
      </w:r>
      <w:r w:rsidR="00DD0731">
        <w:t>s</w:t>
      </w:r>
      <w:r w:rsidR="00533D24">
        <w:t xml:space="preserve"> in the overall CLV as a result of one step improvement in</w:t>
      </w:r>
      <w:r w:rsidR="008A3424">
        <w:t xml:space="preserve"> the customer satisfaction</w:t>
      </w:r>
      <w:r w:rsidR="00533D24">
        <w:t xml:space="preserve">. </w:t>
      </w:r>
      <w:r w:rsidR="00AB45BB">
        <w:t>W</w:t>
      </w:r>
      <w:r w:rsidR="00121B49">
        <w:t>hen satisf</w:t>
      </w:r>
      <w:r w:rsidR="00851263">
        <w:t>ac</w:t>
      </w:r>
      <w:r w:rsidR="000A67D1">
        <w:t>tion</w:t>
      </w:r>
      <w:r w:rsidR="00AB45BB">
        <w:t xml:space="preserve"> for the banking (investment) </w:t>
      </w:r>
      <w:r w:rsidR="000A67D1">
        <w:t>service</w:t>
      </w:r>
      <w:r w:rsidR="00851263">
        <w:t xml:space="preserve"> </w:t>
      </w:r>
      <w:r w:rsidR="008A3424">
        <w:t>increases</w:t>
      </w:r>
      <w:r w:rsidR="00851263">
        <w:t xml:space="preserve"> </w:t>
      </w:r>
      <w:r w:rsidR="002036B5">
        <w:t xml:space="preserve">from neutral </w:t>
      </w:r>
      <w:r w:rsidR="00AB45BB">
        <w:t xml:space="preserve">(negative) </w:t>
      </w:r>
      <w:r w:rsidR="002036B5">
        <w:t>to positive</w:t>
      </w:r>
      <w:r w:rsidR="00AB45BB">
        <w:t xml:space="preserve"> (neutral)</w:t>
      </w:r>
      <w:r w:rsidR="000A67D1">
        <w:t xml:space="preserve">, customers using the same firm </w:t>
      </w:r>
      <w:r w:rsidR="00D84280">
        <w:t>show</w:t>
      </w:r>
      <w:r w:rsidR="00DD0731">
        <w:t xml:space="preserve"> </w:t>
      </w:r>
      <w:r w:rsidR="008A3424">
        <w:t>a</w:t>
      </w:r>
      <w:r w:rsidR="00DD0731">
        <w:t xml:space="preserve"> 9.7% </w:t>
      </w:r>
      <w:r w:rsidR="008A3424">
        <w:t xml:space="preserve"> </w:t>
      </w:r>
      <w:r w:rsidR="00AB45BB">
        <w:t xml:space="preserve">(14.5%) </w:t>
      </w:r>
      <w:r w:rsidR="008A3424">
        <w:t xml:space="preserve">increase </w:t>
      </w:r>
      <w:r w:rsidR="00B94F2A">
        <w:t>in</w:t>
      </w:r>
      <w:r w:rsidR="00DD0731">
        <w:t xml:space="preserve"> </w:t>
      </w:r>
      <w:r w:rsidR="00710B6D">
        <w:t>average CLV</w:t>
      </w:r>
      <w:r w:rsidR="000A67D1">
        <w:t xml:space="preserve">. </w:t>
      </w:r>
      <w:r w:rsidR="00AB45BB">
        <w:t>If satisfaction increases</w:t>
      </w:r>
      <w:r w:rsidR="00DD0731">
        <w:t xml:space="preserve"> from negative to neutral for banking, the average CLV </w:t>
      </w:r>
      <w:r w:rsidR="00AB45BB">
        <w:t xml:space="preserve">across categories </w:t>
      </w:r>
      <w:r w:rsidR="00DD0731">
        <w:t>increase</w:t>
      </w:r>
      <w:r w:rsidR="00B94F2A">
        <w:t>s</w:t>
      </w:r>
      <w:r w:rsidR="00DD0731">
        <w:t xml:space="preserve"> by 57%, which is higher than the change from negative to neutral in satisfaction of the ban</w:t>
      </w:r>
      <w:r w:rsidR="00AB45BB">
        <w:t xml:space="preserve">king service. Similarly, if </w:t>
      </w:r>
      <w:r w:rsidR="00DD0731">
        <w:t xml:space="preserve">satisfaction for investment </w:t>
      </w:r>
      <w:r w:rsidR="00AB45BB">
        <w:t xml:space="preserve">services </w:t>
      </w:r>
      <w:r w:rsidR="00DD0731">
        <w:t>improve</w:t>
      </w:r>
      <w:r w:rsidR="00AB45BB">
        <w:t>s</w:t>
      </w:r>
      <w:r w:rsidR="00DD0731">
        <w:t xml:space="preserve"> from negative to neutral, the increase in the average CLV is the highest, 93%. Overall, we find </w:t>
      </w:r>
      <w:r w:rsidR="00B94F2A">
        <w:t>an</w:t>
      </w:r>
      <w:r w:rsidR="00DD0731">
        <w:t xml:space="preserve"> improvement in </w:t>
      </w:r>
      <w:r w:rsidR="00B94F2A">
        <w:t xml:space="preserve">satisfaction for the </w:t>
      </w:r>
      <w:r w:rsidR="00DD0731">
        <w:t xml:space="preserve">investment </w:t>
      </w:r>
      <w:r w:rsidR="00B94F2A">
        <w:t xml:space="preserve">category </w:t>
      </w:r>
      <w:r w:rsidR="00DD0731">
        <w:t xml:space="preserve">has higher impact on the overall CLV than the improvement in banking service; and the improvement from negative to neutral has higher impact on the overall CLV than the improvement from neutral to positive. </w:t>
      </w:r>
    </w:p>
    <w:p w14:paraId="6E61EB9F" w14:textId="075AB49E" w:rsidR="000A5DDC" w:rsidRPr="000A5DDC" w:rsidRDefault="000A5DDC" w:rsidP="000A5DDC">
      <w:pPr>
        <w:ind w:firstLine="0"/>
        <w:jc w:val="center"/>
        <w:rPr>
          <w:sz w:val="28"/>
          <w:szCs w:val="28"/>
        </w:rPr>
      </w:pPr>
      <w:r w:rsidRPr="000A5DDC">
        <w:rPr>
          <w:sz w:val="28"/>
          <w:szCs w:val="28"/>
        </w:rPr>
        <w:t>Summary</w:t>
      </w:r>
    </w:p>
    <w:p w14:paraId="5D206D80" w14:textId="48015A0F" w:rsidR="00024D48" w:rsidRDefault="006C0DEB" w:rsidP="000A5DDC">
      <w:r>
        <w:t xml:space="preserve">We </w:t>
      </w:r>
      <w:r w:rsidR="00582FD1">
        <w:t xml:space="preserve">provide a descriptive analysis of </w:t>
      </w:r>
      <w:r w:rsidR="0020639D">
        <w:t xml:space="preserve">the </w:t>
      </w:r>
      <w:r w:rsidR="003D7F0A">
        <w:t xml:space="preserve">effects of (dis)satisfaction in one category on outcomes both in that category and also in other categories of financial services. </w:t>
      </w:r>
      <w:r w:rsidR="00B94F2A">
        <w:t xml:space="preserve">Additionally, we look at the interaction effects of satisfaction with other factors </w:t>
      </w:r>
      <w:r w:rsidR="00024D48">
        <w:t>(</w:t>
      </w:r>
      <w:r w:rsidR="00B94F2A">
        <w:t>identified by previous research as potential drivers of the adoption of financial services</w:t>
      </w:r>
      <w:r w:rsidR="00024D48">
        <w:t>)</w:t>
      </w:r>
      <w:r w:rsidR="00B94F2A">
        <w:t xml:space="preserve"> such as switching costs, acquisition sequence of services, etc. </w:t>
      </w:r>
    </w:p>
    <w:p w14:paraId="2A331B51" w14:textId="1F33EE9C" w:rsidR="00962FBA" w:rsidRDefault="00FB48FC" w:rsidP="00FB48FC">
      <w:r>
        <w:t xml:space="preserve">Consistent with the behavioral notion of the contrast across categories driving behavior, we find that </w:t>
      </w:r>
      <w:r w:rsidR="00C0585D">
        <w:t>when consumers have different providers</w:t>
      </w:r>
      <w:r>
        <w:t xml:space="preserve"> in the two categories</w:t>
      </w:r>
      <w:r w:rsidR="00C0585D">
        <w:t xml:space="preserve">, satisfaction with one service lowers the </w:t>
      </w:r>
      <w:r w:rsidR="0081407E">
        <w:t xml:space="preserve">retention </w:t>
      </w:r>
      <w:r w:rsidR="00C0585D">
        <w:t xml:space="preserve">probability in the other service for both categories. However dissatisfaction only works from </w:t>
      </w:r>
      <w:r w:rsidR="00C0585D">
        <w:lastRenderedPageBreak/>
        <w:t xml:space="preserve">investments to banking – a customer who is not satisfied with the investment service is more likely to </w:t>
      </w:r>
      <w:r w:rsidR="0081407E">
        <w:t xml:space="preserve">stay at </w:t>
      </w:r>
      <w:r w:rsidR="00C0585D">
        <w:t xml:space="preserve">the existing banking service. We therefore find asymmetries both across categories as well as across satisfaction and dissatisfaction in the cross-category effects. Importantly, we find that when the same firm is involved in both categories, dissatisfaction with the </w:t>
      </w:r>
      <w:r w:rsidR="00294BD9">
        <w:t xml:space="preserve">firm in the investment category </w:t>
      </w:r>
      <w:r w:rsidR="00CE06B4">
        <w:t>lower</w:t>
      </w:r>
      <w:r w:rsidR="00294BD9">
        <w:t>s</w:t>
      </w:r>
      <w:r w:rsidR="00CE06B4">
        <w:t xml:space="preserve"> </w:t>
      </w:r>
      <w:r w:rsidR="00294BD9">
        <w:t>banking’s</w:t>
      </w:r>
      <w:r w:rsidR="00CE06B4">
        <w:t xml:space="preserve"> </w:t>
      </w:r>
      <w:r w:rsidR="00A421E7">
        <w:t xml:space="preserve">retention </w:t>
      </w:r>
      <w:r w:rsidR="00CE06B4">
        <w:t>probability</w:t>
      </w:r>
      <w:r w:rsidR="00C0585D">
        <w:t>.</w:t>
      </w:r>
      <w:r>
        <w:t xml:space="preserve"> </w:t>
      </w:r>
      <w:r w:rsidR="008A3424">
        <w:t>S</w:t>
      </w:r>
      <w:r w:rsidR="00BC33CE">
        <w:t>witching costs</w:t>
      </w:r>
      <w:r>
        <w:t xml:space="preserve">, media exposure </w:t>
      </w:r>
      <w:r w:rsidR="003B0D15">
        <w:t xml:space="preserve">and order of acquisition of services have different roles to play in terms of direct effects on </w:t>
      </w:r>
      <w:r w:rsidR="00686ED2">
        <w:t xml:space="preserve">retention </w:t>
      </w:r>
      <w:r w:rsidR="003B0D15">
        <w:t xml:space="preserve">as well as interaction effects with satisfaction. </w:t>
      </w:r>
    </w:p>
    <w:p w14:paraId="380B0ED4" w14:textId="6B9516C6" w:rsidR="003B0D15" w:rsidRDefault="00DE4427" w:rsidP="0017405C">
      <w:pPr>
        <w:rPr>
          <w:sz w:val="28"/>
          <w:szCs w:val="28"/>
        </w:rPr>
      </w:pPr>
      <w:r>
        <w:t>We find that</w:t>
      </w:r>
      <w:r w:rsidR="00CE06B4">
        <w:t xml:space="preserve"> CLV can be enhanced with increased satisfaction by leveraging both the within as well as across category effects</w:t>
      </w:r>
      <w:r w:rsidR="00552988">
        <w:t xml:space="preserve">. The bottom line on the results of our study is that </w:t>
      </w:r>
      <w:r w:rsidR="003B0D15">
        <w:t xml:space="preserve">multi-product </w:t>
      </w:r>
      <w:r w:rsidR="00373C81">
        <w:t xml:space="preserve">service </w:t>
      </w:r>
      <w:r w:rsidR="003B0D15">
        <w:t>firms need</w:t>
      </w:r>
      <w:r w:rsidR="00552988">
        <w:t xml:space="preserve"> to integrate customer service and satisfaction departments across these services</w:t>
      </w:r>
      <w:r w:rsidR="004F40F2">
        <w:t xml:space="preserve"> that currently are in sepa</w:t>
      </w:r>
      <w:r w:rsidR="003B0D15">
        <w:t>rate silos</w:t>
      </w:r>
      <w:r w:rsidR="00552988">
        <w:t xml:space="preserve">. </w:t>
      </w:r>
      <w:r w:rsidR="00595561">
        <w:t>Doing so would alert the firm to potential customer defections due to dissatisfaction with any of the services being provided. Thus, it</w:t>
      </w:r>
      <w:r w:rsidR="00373C81">
        <w:t xml:space="preserve"> is </w:t>
      </w:r>
      <w:r w:rsidR="00373C81" w:rsidRPr="00771D38">
        <w:t xml:space="preserve">important for a company providing multiple services to manage customers at </w:t>
      </w:r>
      <w:r w:rsidR="00595561" w:rsidRPr="00771D38">
        <w:t xml:space="preserve">the </w:t>
      </w:r>
      <w:r w:rsidR="00373C81" w:rsidRPr="00771D38">
        <w:t xml:space="preserve">customer level across categories, rather than at </w:t>
      </w:r>
      <w:r w:rsidR="00595561" w:rsidRPr="00771D38">
        <w:t xml:space="preserve">the </w:t>
      </w:r>
      <w:r w:rsidR="007F08B4" w:rsidRPr="00771D38">
        <w:t>category level; if</w:t>
      </w:r>
      <w:r w:rsidR="00373C81" w:rsidRPr="00771D38">
        <w:t xml:space="preserve"> the customer is </w:t>
      </w:r>
      <w:r w:rsidR="00595561" w:rsidRPr="00771D38">
        <w:t>dis</w:t>
      </w:r>
      <w:r w:rsidR="00373C81" w:rsidRPr="00771D38">
        <w:t xml:space="preserve">satisfied with any category, it could lead to churn from the current provider. </w:t>
      </w:r>
      <w:r w:rsidR="00CF48A2">
        <w:t>A key limitation of our data and hence, our analysis, is that in the absence of panel data our conclusions need to be viewed as descriptive rather than causal in nature. Nevertheless, we believe that it serves as a useful starting point for service organizations managing customer satisfaction across product categories.</w:t>
      </w:r>
    </w:p>
    <w:p w14:paraId="45662795" w14:textId="3732190E" w:rsidR="001C259E" w:rsidRPr="000A5DDC" w:rsidRDefault="001C259E" w:rsidP="000A5DDC">
      <w:pPr>
        <w:ind w:firstLine="0"/>
        <w:jc w:val="center"/>
        <w:rPr>
          <w:sz w:val="28"/>
          <w:szCs w:val="28"/>
        </w:rPr>
      </w:pPr>
      <w:r w:rsidRPr="000A5DDC">
        <w:rPr>
          <w:sz w:val="28"/>
          <w:szCs w:val="28"/>
        </w:rPr>
        <w:t>References</w:t>
      </w:r>
    </w:p>
    <w:p w14:paraId="3E6D4CB0" w14:textId="316C83E6" w:rsidR="003133CA" w:rsidRPr="00FE7B1A" w:rsidRDefault="003133CA" w:rsidP="00920B98">
      <w:pPr>
        <w:pStyle w:val="Bibliography"/>
      </w:pPr>
      <w:bookmarkStart w:id="1" w:name="_ENREF_4"/>
      <w:r w:rsidRPr="00FE7B1A">
        <w:t xml:space="preserve">Anderson, Eugene W., </w:t>
      </w:r>
      <w:proofErr w:type="spellStart"/>
      <w:r w:rsidRPr="00FE7B1A">
        <w:t>Claes</w:t>
      </w:r>
      <w:proofErr w:type="spellEnd"/>
      <w:r w:rsidRPr="00FE7B1A">
        <w:t xml:space="preserve"> </w:t>
      </w:r>
      <w:proofErr w:type="spellStart"/>
      <w:r w:rsidRPr="00FE7B1A">
        <w:t>Fornell</w:t>
      </w:r>
      <w:proofErr w:type="spellEnd"/>
      <w:r w:rsidRPr="00FE7B1A">
        <w:t xml:space="preserve"> and Donald R. Lehmann (1994), “Customer Satisfaction, Market Share and Profitability: Findings from Sweden,” </w:t>
      </w:r>
      <w:r w:rsidRPr="00FE7B1A">
        <w:rPr>
          <w:i/>
        </w:rPr>
        <w:t>Journal of Marketing</w:t>
      </w:r>
      <w:r w:rsidRPr="00FE7B1A">
        <w:t xml:space="preserve">, 58 (July). </w:t>
      </w:r>
    </w:p>
    <w:p w14:paraId="430CB14C" w14:textId="3A2FC64A" w:rsidR="00D74B38" w:rsidRPr="00FE7B1A" w:rsidRDefault="00D74B38" w:rsidP="00920B98">
      <w:pPr>
        <w:pStyle w:val="Bibliography"/>
        <w:rPr>
          <w:rFonts w:cs="Times New Roman"/>
        </w:rPr>
      </w:pPr>
      <w:bookmarkStart w:id="2" w:name="_ENREF_6"/>
      <w:bookmarkEnd w:id="1"/>
      <w:r w:rsidRPr="00FE7B1A">
        <w:rPr>
          <w:rFonts w:cs="Times New Roman"/>
          <w:color w:val="000000"/>
        </w:rPr>
        <w:t xml:space="preserve">Beckwith, Neil E. and Donald R. Lehmann, “The Importance of Halo Effects in Multi-Attribute Attitude Models,” </w:t>
      </w:r>
      <w:r w:rsidRPr="00FE7B1A">
        <w:rPr>
          <w:rFonts w:cs="Times New Roman"/>
          <w:i/>
          <w:color w:val="000000"/>
        </w:rPr>
        <w:t>Journal of Marketing Research</w:t>
      </w:r>
      <w:r w:rsidRPr="00FE7B1A">
        <w:rPr>
          <w:rFonts w:cs="Times New Roman"/>
          <w:color w:val="000000"/>
        </w:rPr>
        <w:t>, 12 (August 1975), 265-275.</w:t>
      </w:r>
      <w:r w:rsidRPr="00FE7B1A">
        <w:rPr>
          <w:rFonts w:cs="Times New Roman"/>
        </w:rPr>
        <w:t xml:space="preserve"> </w:t>
      </w:r>
    </w:p>
    <w:p w14:paraId="188244EA" w14:textId="58FA7B16" w:rsidR="00691EAB" w:rsidRPr="00FE7B1A" w:rsidRDefault="001C259E" w:rsidP="00920B98">
      <w:pPr>
        <w:pStyle w:val="Bibliography"/>
      </w:pPr>
      <w:r w:rsidRPr="00FE7B1A">
        <w:t>Bolton, Ruth N. (1998), "A Dynamic Model of the Duration of the Customer's Relationship with a Continuous Service Provider: The Role of Satisfaction," Marketing Science, 17 (1), 45-65.</w:t>
      </w:r>
      <w:bookmarkEnd w:id="2"/>
      <w:r w:rsidR="00691EAB" w:rsidRPr="00FE7B1A">
        <w:t xml:space="preserve"> </w:t>
      </w:r>
    </w:p>
    <w:p w14:paraId="446141B3" w14:textId="4614C1EF" w:rsidR="00760642" w:rsidRPr="00FE7B1A" w:rsidRDefault="00760642" w:rsidP="00920B98">
      <w:pPr>
        <w:pStyle w:val="Bibliography"/>
        <w:rPr>
          <w:rStyle w:val="reference-text"/>
          <w:lang w:val="en"/>
        </w:rPr>
      </w:pPr>
      <w:bookmarkStart w:id="3" w:name="_ENREF_9"/>
      <w:proofErr w:type="spellStart"/>
      <w:r w:rsidRPr="00FE7B1A">
        <w:rPr>
          <w:rStyle w:val="reference-text"/>
          <w:lang w:val="en"/>
        </w:rPr>
        <w:t>Boulding</w:t>
      </w:r>
      <w:proofErr w:type="spellEnd"/>
      <w:r w:rsidRPr="00FE7B1A">
        <w:rPr>
          <w:rStyle w:val="reference-text"/>
          <w:lang w:val="en"/>
        </w:rPr>
        <w:t xml:space="preserve">, W., A. </w:t>
      </w:r>
      <w:proofErr w:type="spellStart"/>
      <w:r w:rsidRPr="00FE7B1A">
        <w:rPr>
          <w:rStyle w:val="reference-text"/>
          <w:lang w:val="en"/>
        </w:rPr>
        <w:t>Kalra</w:t>
      </w:r>
      <w:proofErr w:type="spellEnd"/>
      <w:r w:rsidRPr="00FE7B1A">
        <w:rPr>
          <w:rStyle w:val="reference-text"/>
          <w:lang w:val="en"/>
        </w:rPr>
        <w:t xml:space="preserve">, R. </w:t>
      </w:r>
      <w:proofErr w:type="spellStart"/>
      <w:r w:rsidRPr="00FE7B1A">
        <w:rPr>
          <w:rStyle w:val="reference-text"/>
          <w:lang w:val="en"/>
        </w:rPr>
        <w:t>Staelin</w:t>
      </w:r>
      <w:proofErr w:type="spellEnd"/>
      <w:r w:rsidRPr="00FE7B1A">
        <w:rPr>
          <w:rStyle w:val="reference-text"/>
          <w:lang w:val="en"/>
        </w:rPr>
        <w:t xml:space="preserve"> and V. A. </w:t>
      </w:r>
      <w:proofErr w:type="spellStart"/>
      <w:r w:rsidRPr="00FE7B1A">
        <w:rPr>
          <w:rStyle w:val="reference-text"/>
          <w:lang w:val="en"/>
        </w:rPr>
        <w:t>Zeithaml</w:t>
      </w:r>
      <w:proofErr w:type="spellEnd"/>
      <w:r w:rsidRPr="00FE7B1A">
        <w:rPr>
          <w:rStyle w:val="reference-text"/>
          <w:lang w:val="en"/>
        </w:rPr>
        <w:t xml:space="preserve">, “A Dynamic Process Model of Service Quality: From Expectations to Behavioral Intentions,” </w:t>
      </w:r>
      <w:r w:rsidRPr="00FE7B1A">
        <w:rPr>
          <w:rStyle w:val="reference-text"/>
          <w:i/>
          <w:lang w:val="en"/>
        </w:rPr>
        <w:t>Journal of Marketing Research</w:t>
      </w:r>
      <w:r w:rsidRPr="00FE7B1A">
        <w:rPr>
          <w:rStyle w:val="reference-text"/>
          <w:lang w:val="en"/>
        </w:rPr>
        <w:t>, Vol. 30, 7-27.</w:t>
      </w:r>
    </w:p>
    <w:p w14:paraId="157B3B33" w14:textId="77777777" w:rsidR="00D82374" w:rsidRPr="00FE7B1A" w:rsidRDefault="00D82374" w:rsidP="00920B98">
      <w:pPr>
        <w:pStyle w:val="Bibliography"/>
        <w:rPr>
          <w:rStyle w:val="reference-text"/>
          <w:lang w:val="en"/>
        </w:rPr>
      </w:pPr>
      <w:r w:rsidRPr="00FE7B1A">
        <w:rPr>
          <w:rStyle w:val="reference-text"/>
          <w:lang w:val="en"/>
        </w:rPr>
        <w:t xml:space="preserve">Bower, G. H., &amp; </w:t>
      </w:r>
      <w:proofErr w:type="spellStart"/>
      <w:r w:rsidRPr="00FE7B1A">
        <w:rPr>
          <w:rStyle w:val="reference-text"/>
          <w:lang w:val="en"/>
        </w:rPr>
        <w:t>Hilgard</w:t>
      </w:r>
      <w:proofErr w:type="spellEnd"/>
      <w:r w:rsidRPr="00FE7B1A">
        <w:rPr>
          <w:rStyle w:val="reference-text"/>
          <w:lang w:val="en"/>
        </w:rPr>
        <w:t xml:space="preserve">, E.R. (1980). </w:t>
      </w:r>
      <w:r w:rsidRPr="00FE7B1A">
        <w:rPr>
          <w:rStyle w:val="reference-text"/>
          <w:i/>
          <w:iCs/>
          <w:lang w:val="en"/>
        </w:rPr>
        <w:t>Theories of Learning</w:t>
      </w:r>
      <w:r w:rsidRPr="00FE7B1A">
        <w:rPr>
          <w:rStyle w:val="reference-text"/>
          <w:lang w:val="en"/>
        </w:rPr>
        <w:t xml:space="preserve"> (5th </w:t>
      </w:r>
      <w:proofErr w:type="gramStart"/>
      <w:r w:rsidRPr="00FE7B1A">
        <w:rPr>
          <w:rStyle w:val="reference-text"/>
          <w:lang w:val="en"/>
        </w:rPr>
        <w:t>ed</w:t>
      </w:r>
      <w:proofErr w:type="gramEnd"/>
      <w:r w:rsidRPr="00FE7B1A">
        <w:rPr>
          <w:rStyle w:val="reference-text"/>
          <w:lang w:val="en"/>
        </w:rPr>
        <w:t>.) Englewood Cliffs, NJ: Prentice-Hall</w:t>
      </w:r>
    </w:p>
    <w:p w14:paraId="2322CE34" w14:textId="7ABB798A" w:rsidR="001C259E" w:rsidRPr="00FE7B1A" w:rsidRDefault="001C259E" w:rsidP="00920B98">
      <w:pPr>
        <w:pStyle w:val="Bibliography"/>
      </w:pPr>
      <w:bookmarkStart w:id="4" w:name="_ENREF_11"/>
      <w:bookmarkEnd w:id="3"/>
      <w:r w:rsidRPr="00FE7B1A">
        <w:t>Chin-Parker, Seth and Brian H. Ross (2002), “The Effect of Category Learning on Sensitivity to within-Category Correlations</w:t>
      </w:r>
      <w:r w:rsidR="00CF760B" w:rsidRPr="00FE7B1A">
        <w:t>,</w:t>
      </w:r>
      <w:r w:rsidRPr="00FE7B1A">
        <w:t xml:space="preserve">” </w:t>
      </w:r>
      <w:r w:rsidRPr="00FE7B1A">
        <w:rPr>
          <w:i/>
        </w:rPr>
        <w:t xml:space="preserve">Memory and Cognition, </w:t>
      </w:r>
      <w:r w:rsidRPr="00FE7B1A">
        <w:t>30 (3), 353-362.</w:t>
      </w:r>
    </w:p>
    <w:p w14:paraId="66D4ED61" w14:textId="19362390" w:rsidR="00B156A2" w:rsidRPr="00FE7B1A" w:rsidRDefault="00B156A2" w:rsidP="00920B98">
      <w:pPr>
        <w:pStyle w:val="Bibliography"/>
        <w:rPr>
          <w:rStyle w:val="reference-text"/>
          <w:lang w:val="en"/>
        </w:rPr>
      </w:pPr>
      <w:bookmarkStart w:id="5" w:name="_ENREF_13"/>
      <w:bookmarkEnd w:id="4"/>
      <w:proofErr w:type="spellStart"/>
      <w:r w:rsidRPr="00FE7B1A">
        <w:rPr>
          <w:rStyle w:val="reference-text"/>
          <w:lang w:val="en"/>
        </w:rPr>
        <w:t>Crespi</w:t>
      </w:r>
      <w:proofErr w:type="spellEnd"/>
      <w:r w:rsidRPr="00FE7B1A">
        <w:rPr>
          <w:rStyle w:val="reference-text"/>
          <w:lang w:val="en"/>
        </w:rPr>
        <w:t xml:space="preserve">, Leo P. (1942), “Quantitative variation of incentive and performance in the white rat,” </w:t>
      </w:r>
      <w:r w:rsidRPr="00FE7B1A">
        <w:rPr>
          <w:rStyle w:val="reference-text"/>
          <w:i/>
          <w:iCs/>
          <w:lang w:val="en"/>
        </w:rPr>
        <w:t>American Journal of Psychology, 55,</w:t>
      </w:r>
      <w:r w:rsidRPr="00FE7B1A">
        <w:rPr>
          <w:rStyle w:val="reference-text"/>
          <w:lang w:val="en"/>
        </w:rPr>
        <w:t xml:space="preserve"> 467-517</w:t>
      </w:r>
    </w:p>
    <w:p w14:paraId="2A16DEC0" w14:textId="56892B7E" w:rsidR="00D82374" w:rsidRPr="00FE7B1A" w:rsidRDefault="00D82374" w:rsidP="00920B98">
      <w:pPr>
        <w:pStyle w:val="Bibliography"/>
        <w:rPr>
          <w:rStyle w:val="reference-text"/>
          <w:lang w:val="en"/>
        </w:rPr>
      </w:pPr>
      <w:bookmarkStart w:id="6" w:name="_ENREF_16"/>
      <w:bookmarkEnd w:id="5"/>
      <w:r w:rsidRPr="00FE7B1A">
        <w:rPr>
          <w:rStyle w:val="reference-text"/>
          <w:lang w:val="en"/>
        </w:rPr>
        <w:t xml:space="preserve">Flaherty, C.F. (1996), </w:t>
      </w:r>
      <w:r w:rsidRPr="00FE7B1A">
        <w:rPr>
          <w:rStyle w:val="reference-text"/>
          <w:i/>
          <w:iCs/>
          <w:lang w:val="en"/>
        </w:rPr>
        <w:t>Incentive Relativity</w:t>
      </w:r>
      <w:r w:rsidR="006B7AC6" w:rsidRPr="00FE7B1A">
        <w:rPr>
          <w:rStyle w:val="reference-text"/>
          <w:iCs/>
          <w:lang w:val="en"/>
        </w:rPr>
        <w:t>,</w:t>
      </w:r>
      <w:r w:rsidRPr="00FE7B1A">
        <w:rPr>
          <w:rStyle w:val="reference-text"/>
          <w:lang w:val="en"/>
        </w:rPr>
        <w:t xml:space="preserve"> New York, NY: Cambridge University Press</w:t>
      </w:r>
    </w:p>
    <w:p w14:paraId="7266E5D0" w14:textId="4A6C2A64" w:rsidR="00363E2D" w:rsidRPr="00FE7B1A" w:rsidRDefault="00363E2D" w:rsidP="00920B98">
      <w:pPr>
        <w:pStyle w:val="Bibliography"/>
      </w:pPr>
      <w:proofErr w:type="spellStart"/>
      <w:r w:rsidRPr="00FE7B1A">
        <w:t>Fornell</w:t>
      </w:r>
      <w:proofErr w:type="spellEnd"/>
      <w:r w:rsidRPr="00FE7B1A">
        <w:t xml:space="preserve">, </w:t>
      </w:r>
      <w:proofErr w:type="spellStart"/>
      <w:r w:rsidRPr="00FE7B1A">
        <w:t>Claes</w:t>
      </w:r>
      <w:proofErr w:type="spellEnd"/>
      <w:r w:rsidRPr="00FE7B1A">
        <w:t xml:space="preserve"> (1992), “A National Customer Satisfaction Barometer: The Swedish Experience,” </w:t>
      </w:r>
      <w:r w:rsidRPr="00FE7B1A">
        <w:rPr>
          <w:i/>
        </w:rPr>
        <w:t>Journal of Marketing</w:t>
      </w:r>
      <w:r w:rsidRPr="00FE7B1A">
        <w:t>, 56 (January), 1-18.</w:t>
      </w:r>
    </w:p>
    <w:p w14:paraId="076E4817" w14:textId="77777777" w:rsidR="000519F9" w:rsidRPr="00FE7B1A" w:rsidRDefault="000519F9" w:rsidP="00920B98">
      <w:pPr>
        <w:pStyle w:val="Bibliography"/>
      </w:pPr>
      <w:r w:rsidRPr="00FE7B1A">
        <w:lastRenderedPageBreak/>
        <w:t xml:space="preserve">Forrester Research (2010, 2011), North American </w:t>
      </w:r>
      <w:proofErr w:type="spellStart"/>
      <w:r w:rsidRPr="00FE7B1A">
        <w:t>Technographics</w:t>
      </w:r>
      <w:proofErr w:type="spellEnd"/>
      <w:r w:rsidRPr="00FE7B1A">
        <w:t xml:space="preserve"> Online Benchmark Survey. </w:t>
      </w:r>
    </w:p>
    <w:p w14:paraId="2C422795" w14:textId="66D17E13" w:rsidR="001C259E" w:rsidRPr="00FE7B1A" w:rsidRDefault="001C259E" w:rsidP="00920B98">
      <w:pPr>
        <w:pStyle w:val="Bibliography"/>
      </w:pPr>
      <w:bookmarkStart w:id="7" w:name="_ENREF_17"/>
      <w:bookmarkEnd w:id="6"/>
      <w:r w:rsidRPr="00FE7B1A">
        <w:t>Gupta, Sunil, and Donald R. Lehmann</w:t>
      </w:r>
      <w:r w:rsidRPr="00FE7B1A">
        <w:rPr>
          <w:rFonts w:hint="eastAsia"/>
        </w:rPr>
        <w:t xml:space="preserve"> (2006),</w:t>
      </w:r>
      <w:r w:rsidRPr="00FE7B1A">
        <w:t xml:space="preserve"> "Customer Li</w:t>
      </w:r>
      <w:r w:rsidR="00CF760B" w:rsidRPr="00FE7B1A">
        <w:t>fetime Value and Firm Valuation,</w:t>
      </w:r>
      <w:r w:rsidRPr="00FE7B1A">
        <w:t xml:space="preserve">" </w:t>
      </w:r>
      <w:r w:rsidRPr="00FE7B1A">
        <w:rPr>
          <w:i/>
          <w:iCs/>
        </w:rPr>
        <w:t>Journal of Relationship Marketing</w:t>
      </w:r>
      <w:r w:rsidRPr="00FE7B1A">
        <w:t xml:space="preserve"> 5</w:t>
      </w:r>
      <w:r w:rsidRPr="00FE7B1A">
        <w:rPr>
          <w:rFonts w:hint="eastAsia"/>
        </w:rPr>
        <w:t xml:space="preserve"> (</w:t>
      </w:r>
      <w:r w:rsidRPr="00FE7B1A">
        <w:t>2/3</w:t>
      </w:r>
      <w:r w:rsidRPr="00FE7B1A">
        <w:rPr>
          <w:rFonts w:hint="eastAsia"/>
        </w:rPr>
        <w:t>)</w:t>
      </w:r>
      <w:r w:rsidRPr="00FE7B1A">
        <w:t xml:space="preserve">. </w:t>
      </w:r>
    </w:p>
    <w:p w14:paraId="3C8A4B3A" w14:textId="1DA3A60D" w:rsidR="00245DF8" w:rsidRPr="00FE7B1A" w:rsidRDefault="00245DF8" w:rsidP="00920B98">
      <w:pPr>
        <w:pStyle w:val="Bibliography"/>
      </w:pPr>
      <w:r w:rsidRPr="00FE7B1A">
        <w:t>Heckman, James J.</w:t>
      </w:r>
      <w:r w:rsidR="007A6183" w:rsidRPr="00FE7B1A">
        <w:t xml:space="preserve"> (1979)</w:t>
      </w:r>
      <w:r w:rsidRPr="00FE7B1A">
        <w:t xml:space="preserve">, “Sample Selection Bias as a Specification Error,” </w:t>
      </w:r>
      <w:proofErr w:type="spellStart"/>
      <w:r w:rsidRPr="00FE7B1A">
        <w:rPr>
          <w:i/>
        </w:rPr>
        <w:t>Econometrica</w:t>
      </w:r>
      <w:proofErr w:type="spellEnd"/>
      <w:r w:rsidRPr="00FE7B1A">
        <w:t>, 47</w:t>
      </w:r>
      <w:r w:rsidR="00613181" w:rsidRPr="00FE7B1A">
        <w:t xml:space="preserve">, </w:t>
      </w:r>
      <w:r w:rsidRPr="00FE7B1A">
        <w:t>153-161.</w:t>
      </w:r>
    </w:p>
    <w:p w14:paraId="714BED1B" w14:textId="1FBD46E1" w:rsidR="004A0F69" w:rsidRPr="00FE7B1A" w:rsidRDefault="004B650A" w:rsidP="00920B98">
      <w:pPr>
        <w:spacing w:line="240" w:lineRule="auto"/>
        <w:ind w:left="720" w:hanging="720"/>
        <w:rPr>
          <w:rFonts w:cs="Times New Roman"/>
        </w:rPr>
      </w:pPr>
      <w:proofErr w:type="spellStart"/>
      <w:r w:rsidRPr="00FE7B1A">
        <w:rPr>
          <w:rFonts w:cs="Times New Roman"/>
          <w:color w:val="000000"/>
        </w:rPr>
        <w:t>Hovland</w:t>
      </w:r>
      <w:proofErr w:type="spellEnd"/>
      <w:r w:rsidRPr="00FE7B1A">
        <w:rPr>
          <w:rFonts w:cs="Times New Roman"/>
          <w:color w:val="000000"/>
        </w:rPr>
        <w:t xml:space="preserve">, </w:t>
      </w:r>
      <w:proofErr w:type="spellStart"/>
      <w:r w:rsidRPr="00FE7B1A">
        <w:rPr>
          <w:rFonts w:cs="Times New Roman"/>
          <w:color w:val="000000"/>
        </w:rPr>
        <w:t>Cabl</w:t>
      </w:r>
      <w:proofErr w:type="spellEnd"/>
      <w:r w:rsidRPr="00FE7B1A">
        <w:rPr>
          <w:rFonts w:cs="Times New Roman"/>
          <w:color w:val="000000"/>
        </w:rPr>
        <w:t xml:space="preserve"> I., W. </w:t>
      </w:r>
      <w:proofErr w:type="spellStart"/>
      <w:r w:rsidRPr="00FE7B1A">
        <w:rPr>
          <w:rFonts w:cs="Times New Roman"/>
          <w:color w:val="000000"/>
        </w:rPr>
        <w:t>Mandell</w:t>
      </w:r>
      <w:proofErr w:type="spellEnd"/>
      <w:r w:rsidRPr="00FE7B1A">
        <w:rPr>
          <w:rFonts w:cs="Times New Roman"/>
          <w:color w:val="000000"/>
        </w:rPr>
        <w:t xml:space="preserve">, E. H. Campbell, T. Brock, A. S. </w:t>
      </w:r>
      <w:proofErr w:type="spellStart"/>
      <w:r w:rsidRPr="00FE7B1A">
        <w:rPr>
          <w:rFonts w:cs="Times New Roman"/>
          <w:color w:val="000000"/>
        </w:rPr>
        <w:t>Luchins</w:t>
      </w:r>
      <w:proofErr w:type="spellEnd"/>
      <w:r w:rsidRPr="00FE7B1A">
        <w:rPr>
          <w:rFonts w:cs="Times New Roman"/>
          <w:color w:val="000000"/>
        </w:rPr>
        <w:t xml:space="preserve">, A. R. Cohen, W. J. McGuire, I. L. Janis, R. L. </w:t>
      </w:r>
      <w:proofErr w:type="spellStart"/>
      <w:r w:rsidRPr="00FE7B1A">
        <w:rPr>
          <w:rFonts w:cs="Times New Roman"/>
          <w:color w:val="000000"/>
        </w:rPr>
        <w:t>Feierabend</w:t>
      </w:r>
      <w:proofErr w:type="spellEnd"/>
      <w:r w:rsidRPr="00FE7B1A">
        <w:rPr>
          <w:rFonts w:cs="Times New Roman"/>
          <w:color w:val="000000"/>
        </w:rPr>
        <w:t xml:space="preserve">, and N. H. Anderson (1957), </w:t>
      </w:r>
      <w:r w:rsidRPr="00FE7B1A">
        <w:rPr>
          <w:rFonts w:cs="Times New Roman"/>
          <w:i/>
          <w:iCs/>
          <w:color w:val="000000"/>
        </w:rPr>
        <w:t>The Order of Presentation in Persuasion.</w:t>
      </w:r>
      <w:r w:rsidRPr="00FE7B1A">
        <w:rPr>
          <w:rFonts w:cs="Times New Roman"/>
          <w:color w:val="000000"/>
        </w:rPr>
        <w:t xml:space="preserve"> </w:t>
      </w:r>
      <w:r w:rsidR="00627A4B" w:rsidRPr="00FE7B1A">
        <w:rPr>
          <w:rFonts w:cs="Times New Roman"/>
          <w:color w:val="000000"/>
        </w:rPr>
        <w:t>New Haven: Yale Univ. Press</w:t>
      </w:r>
      <w:r w:rsidRPr="00FE7B1A">
        <w:rPr>
          <w:rFonts w:cs="Times New Roman"/>
          <w:color w:val="000000"/>
        </w:rPr>
        <w:t>.</w:t>
      </w:r>
    </w:p>
    <w:bookmarkEnd w:id="7"/>
    <w:p w14:paraId="2209036E" w14:textId="37832511" w:rsidR="000D1FB8" w:rsidRPr="00FE7B1A" w:rsidRDefault="00993216" w:rsidP="00920B98">
      <w:pPr>
        <w:autoSpaceDE w:val="0"/>
        <w:autoSpaceDN w:val="0"/>
        <w:adjustRightInd w:val="0"/>
        <w:spacing w:line="240" w:lineRule="auto"/>
        <w:ind w:left="720" w:hanging="720"/>
        <w:jc w:val="left"/>
        <w:rPr>
          <w:rFonts w:ascii="TimesNewRomanPSMT" w:hAnsi="TimesNewRomanPSMT" w:cs="TimesNewRomanPSMT"/>
        </w:rPr>
      </w:pPr>
      <w:proofErr w:type="spellStart"/>
      <w:r w:rsidRPr="00FE7B1A">
        <w:rPr>
          <w:rFonts w:ascii="TimesNewRomanPSMT" w:hAnsi="TimesNewRomanPSMT" w:cs="TimesNewRomanPSMT"/>
        </w:rPr>
        <w:t>Kenrick</w:t>
      </w:r>
      <w:proofErr w:type="spellEnd"/>
      <w:r w:rsidRPr="00FE7B1A">
        <w:rPr>
          <w:rFonts w:ascii="TimesNewRomanPSMT" w:hAnsi="TimesNewRomanPSMT" w:cs="TimesNewRomanPSMT"/>
        </w:rPr>
        <w:t xml:space="preserve">, D.T., </w:t>
      </w:r>
      <w:proofErr w:type="spellStart"/>
      <w:r w:rsidR="000D1FB8" w:rsidRPr="00FE7B1A">
        <w:rPr>
          <w:rFonts w:ascii="TimesNewRomanPSMT" w:hAnsi="TimesNewRomanPSMT" w:cs="TimesNewRomanPSMT"/>
        </w:rPr>
        <w:t>Gutierres</w:t>
      </w:r>
      <w:proofErr w:type="spellEnd"/>
      <w:r w:rsidR="000D1FB8" w:rsidRPr="00FE7B1A">
        <w:rPr>
          <w:rFonts w:ascii="TimesNewRomanPSMT" w:hAnsi="TimesNewRomanPSMT" w:cs="TimesNewRomanPSMT"/>
        </w:rPr>
        <w:t xml:space="preserve">, S.E. (1980), “Contrast effect and </w:t>
      </w:r>
      <w:proofErr w:type="spellStart"/>
      <w:r w:rsidR="000D1FB8" w:rsidRPr="00FE7B1A">
        <w:rPr>
          <w:rFonts w:ascii="TimesNewRomanPSMT" w:hAnsi="TimesNewRomanPSMT" w:cs="TimesNewRomanPSMT"/>
        </w:rPr>
        <w:t>judgements</w:t>
      </w:r>
      <w:proofErr w:type="spellEnd"/>
      <w:r w:rsidR="000D1FB8" w:rsidRPr="00FE7B1A">
        <w:rPr>
          <w:rFonts w:ascii="TimesNewRomanPSMT" w:hAnsi="TimesNewRomanPSMT" w:cs="TimesNewRomanPSMT"/>
        </w:rPr>
        <w:t xml:space="preserve"> of physical attractiveness,” </w:t>
      </w:r>
      <w:r w:rsidR="000D1FB8" w:rsidRPr="00FE7B1A">
        <w:rPr>
          <w:rFonts w:cs="Times New Roman"/>
          <w:i/>
          <w:iCs/>
        </w:rPr>
        <w:t xml:space="preserve">Journal of Personality and Social Psychology, 38, </w:t>
      </w:r>
      <w:r w:rsidR="000D1FB8" w:rsidRPr="00FE7B1A">
        <w:rPr>
          <w:rFonts w:ascii="TimesNewRomanPSMT" w:hAnsi="TimesNewRomanPSMT" w:cs="TimesNewRomanPSMT"/>
        </w:rPr>
        <w:t>131-140.</w:t>
      </w:r>
    </w:p>
    <w:p w14:paraId="0504E8CC" w14:textId="53716650" w:rsidR="00F1301A" w:rsidRPr="00FE7B1A" w:rsidRDefault="000D1FB8" w:rsidP="001125D2">
      <w:pPr>
        <w:autoSpaceDE w:val="0"/>
        <w:autoSpaceDN w:val="0"/>
        <w:adjustRightInd w:val="0"/>
        <w:spacing w:line="240" w:lineRule="auto"/>
        <w:ind w:left="720" w:hanging="720"/>
        <w:jc w:val="left"/>
        <w:rPr>
          <w:rFonts w:ascii="TimesNewRomanPSMT" w:hAnsi="TimesNewRomanPSMT" w:cs="TimesNewRomanPSMT"/>
        </w:rPr>
      </w:pPr>
      <w:proofErr w:type="spellStart"/>
      <w:r w:rsidRPr="00FE7B1A">
        <w:rPr>
          <w:rFonts w:ascii="TimesNewRomanPSMT" w:hAnsi="TimesNewRomanPSMT" w:cs="TimesNewRomanPSMT"/>
        </w:rPr>
        <w:t>K</w:t>
      </w:r>
      <w:r w:rsidR="00993216" w:rsidRPr="00FE7B1A">
        <w:rPr>
          <w:rFonts w:ascii="TimesNewRomanPSMT" w:hAnsi="TimesNewRomanPSMT" w:cs="TimesNewRomanPSMT"/>
        </w:rPr>
        <w:t>enrick</w:t>
      </w:r>
      <w:proofErr w:type="spellEnd"/>
      <w:r w:rsidR="00993216" w:rsidRPr="00FE7B1A">
        <w:rPr>
          <w:rFonts w:ascii="TimesNewRomanPSMT" w:hAnsi="TimesNewRomanPSMT" w:cs="TimesNewRomanPSMT"/>
        </w:rPr>
        <w:t xml:space="preserve">, D.T., </w:t>
      </w:r>
      <w:proofErr w:type="spellStart"/>
      <w:r w:rsidR="00993216" w:rsidRPr="00FE7B1A">
        <w:rPr>
          <w:rFonts w:ascii="TimesNewRomanPSMT" w:hAnsi="TimesNewRomanPSMT" w:cs="TimesNewRomanPSMT"/>
        </w:rPr>
        <w:t>Gutierres</w:t>
      </w:r>
      <w:proofErr w:type="spellEnd"/>
      <w:r w:rsidR="00993216" w:rsidRPr="00FE7B1A">
        <w:rPr>
          <w:rFonts w:ascii="TimesNewRomanPSMT" w:hAnsi="TimesNewRomanPSMT" w:cs="TimesNewRomanPSMT"/>
        </w:rPr>
        <w:t>, S.E., and</w:t>
      </w:r>
      <w:r w:rsidRPr="00FE7B1A">
        <w:rPr>
          <w:rFonts w:ascii="TimesNewRomanPSMT" w:hAnsi="TimesNewRomanPSMT" w:cs="TimesNewRomanPSMT"/>
        </w:rPr>
        <w:t xml:space="preserve"> Goldberg, L.L. (1989), “Influence of popular erotica on judgments of strangers and mates,” </w:t>
      </w:r>
      <w:r w:rsidRPr="00FE7B1A">
        <w:rPr>
          <w:rFonts w:cs="Times New Roman"/>
          <w:i/>
          <w:iCs/>
        </w:rPr>
        <w:t xml:space="preserve">Journal of Experimental Social Psychology, 25, </w:t>
      </w:r>
      <w:r w:rsidRPr="00FE7B1A">
        <w:rPr>
          <w:rFonts w:ascii="TimesNewRomanPSMT" w:hAnsi="TimesNewRomanPSMT" w:cs="TimesNewRomanPSMT"/>
        </w:rPr>
        <w:t>159-167.</w:t>
      </w:r>
    </w:p>
    <w:p w14:paraId="17312D2C" w14:textId="4C57EEEF" w:rsidR="00C51629" w:rsidRPr="00FE7B1A" w:rsidRDefault="00C51629" w:rsidP="00920B98">
      <w:pPr>
        <w:pStyle w:val="Bibliography"/>
      </w:pPr>
      <w:bookmarkStart w:id="8" w:name="_ENREF_26"/>
      <w:r w:rsidRPr="00FE7B1A">
        <w:t xml:space="preserve">Li, </w:t>
      </w:r>
      <w:proofErr w:type="spellStart"/>
      <w:r w:rsidRPr="00FE7B1A">
        <w:t>Shibo</w:t>
      </w:r>
      <w:proofErr w:type="spellEnd"/>
      <w:r w:rsidRPr="00FE7B1A">
        <w:t xml:space="preserve">, </w:t>
      </w:r>
      <w:proofErr w:type="spellStart"/>
      <w:r w:rsidRPr="00FE7B1A">
        <w:t>Baohong</w:t>
      </w:r>
      <w:proofErr w:type="spellEnd"/>
      <w:r w:rsidRPr="00FE7B1A">
        <w:t xml:space="preserve"> Sun, and Ronald Wilcox (2005), "Cross-Selling </w:t>
      </w:r>
      <w:r w:rsidR="005D29DB" w:rsidRPr="00FE7B1A">
        <w:t>Sequentially Ordered Products: An Application to Consumer Banking Services</w:t>
      </w:r>
      <w:r w:rsidRPr="00FE7B1A">
        <w:t xml:space="preserve">," </w:t>
      </w:r>
      <w:r w:rsidRPr="00FE7B1A">
        <w:rPr>
          <w:i/>
        </w:rPr>
        <w:t>Journal of Marketing Research</w:t>
      </w:r>
      <w:r w:rsidRPr="00FE7B1A">
        <w:t>, 4</w:t>
      </w:r>
      <w:r w:rsidR="005D29DB" w:rsidRPr="00FE7B1A">
        <w:t>2</w:t>
      </w:r>
      <w:r w:rsidRPr="00FE7B1A">
        <w:t>(</w:t>
      </w:r>
      <w:r w:rsidR="005D29DB" w:rsidRPr="00FE7B1A">
        <w:t>2), 23</w:t>
      </w:r>
      <w:r w:rsidRPr="00FE7B1A">
        <w:t>3-</w:t>
      </w:r>
      <w:r w:rsidR="005D29DB" w:rsidRPr="00FE7B1A">
        <w:t>239</w:t>
      </w:r>
      <w:r w:rsidRPr="00FE7B1A">
        <w:t>.</w:t>
      </w:r>
    </w:p>
    <w:p w14:paraId="40AA946E" w14:textId="213DB92B" w:rsidR="00356526" w:rsidRPr="00FE7B1A" w:rsidRDefault="00356526" w:rsidP="00920B98">
      <w:pPr>
        <w:pStyle w:val="Bibliography"/>
      </w:pPr>
      <w:bookmarkStart w:id="9" w:name="_ENREF_29"/>
      <w:bookmarkEnd w:id="8"/>
      <w:r w:rsidRPr="00FE7B1A">
        <w:t xml:space="preserve">Luo, </w:t>
      </w:r>
      <w:proofErr w:type="spellStart"/>
      <w:r w:rsidRPr="00FE7B1A">
        <w:t>Xueming</w:t>
      </w:r>
      <w:proofErr w:type="spellEnd"/>
      <w:r w:rsidRPr="00FE7B1A">
        <w:t xml:space="preserve"> (2009), “Quantifying the Long-Term Impact of Negative Word of Mouth on Cash Flows and Stock Prices,” Marketing Science, 28(1), 148-65.</w:t>
      </w:r>
    </w:p>
    <w:p w14:paraId="6B0D2A0F" w14:textId="01C8B783" w:rsidR="00356526" w:rsidRPr="00FE7B1A" w:rsidRDefault="00356526" w:rsidP="00920B98">
      <w:pPr>
        <w:pStyle w:val="Bibliography"/>
      </w:pPr>
      <w:r w:rsidRPr="00FE7B1A">
        <w:t xml:space="preserve">Luo, </w:t>
      </w:r>
      <w:proofErr w:type="spellStart"/>
      <w:r w:rsidRPr="00FE7B1A">
        <w:t>Xueming</w:t>
      </w:r>
      <w:proofErr w:type="spellEnd"/>
      <w:r w:rsidRPr="00FE7B1A">
        <w:t xml:space="preserve"> and Christian Homburg (2008), “Satisfaction, Complaint, and the Stock Value Gap,” </w:t>
      </w:r>
      <w:r w:rsidRPr="00FE7B1A">
        <w:rPr>
          <w:i/>
        </w:rPr>
        <w:t>Journal of Marketing</w:t>
      </w:r>
      <w:r w:rsidRPr="00FE7B1A">
        <w:t>, 72(4), 29-43.</w:t>
      </w:r>
    </w:p>
    <w:p w14:paraId="0904C6CF" w14:textId="7BA41060" w:rsidR="001C259E" w:rsidRPr="00FE7B1A" w:rsidRDefault="001C259E" w:rsidP="00920B98">
      <w:pPr>
        <w:pStyle w:val="Bibliography"/>
      </w:pPr>
      <w:proofErr w:type="spellStart"/>
      <w:r w:rsidRPr="00FE7B1A">
        <w:t>Markman</w:t>
      </w:r>
      <w:proofErr w:type="spellEnd"/>
      <w:r w:rsidRPr="00FE7B1A">
        <w:t>, Arthur B. and Brian H. Ross (2003), “Category Use and Category Learning</w:t>
      </w:r>
      <w:r w:rsidR="00CF760B" w:rsidRPr="00FE7B1A">
        <w:t>,</w:t>
      </w:r>
      <w:r w:rsidRPr="00FE7B1A">
        <w:t xml:space="preserve">” </w:t>
      </w:r>
      <w:r w:rsidRPr="00FE7B1A">
        <w:rPr>
          <w:i/>
        </w:rPr>
        <w:t>Psychological Bulletin</w:t>
      </w:r>
      <w:r w:rsidRPr="00FE7B1A">
        <w:t>, 129 (4), 592-613.</w:t>
      </w:r>
    </w:p>
    <w:p w14:paraId="1F0D778C" w14:textId="77777777" w:rsidR="001C259E" w:rsidRPr="00FE7B1A" w:rsidRDefault="001C259E" w:rsidP="00920B98">
      <w:pPr>
        <w:pStyle w:val="Bibliography"/>
      </w:pPr>
      <w:bookmarkStart w:id="10" w:name="_ENREF_37"/>
      <w:bookmarkEnd w:id="9"/>
      <w:r w:rsidRPr="00FE7B1A">
        <w:t xml:space="preserve">Rust, Roland T. and Tuck </w:t>
      </w:r>
      <w:proofErr w:type="spellStart"/>
      <w:r w:rsidRPr="00FE7B1A">
        <w:t>Siong</w:t>
      </w:r>
      <w:proofErr w:type="spellEnd"/>
      <w:r w:rsidRPr="00FE7B1A">
        <w:t xml:space="preserve"> Chung (2006), "Marketing Models of Service and Relationships," </w:t>
      </w:r>
      <w:r w:rsidRPr="00FE7B1A">
        <w:rPr>
          <w:i/>
        </w:rPr>
        <w:t>Marketing Science</w:t>
      </w:r>
      <w:r w:rsidRPr="00FE7B1A">
        <w:t>, 25 (6), 560-80.</w:t>
      </w:r>
      <w:bookmarkEnd w:id="10"/>
    </w:p>
    <w:p w14:paraId="213A3A33" w14:textId="6E3CF70B" w:rsidR="00530942" w:rsidRPr="00FE7B1A" w:rsidRDefault="00530942" w:rsidP="00920B98">
      <w:pPr>
        <w:autoSpaceDE w:val="0"/>
        <w:autoSpaceDN w:val="0"/>
        <w:adjustRightInd w:val="0"/>
        <w:spacing w:line="240" w:lineRule="auto"/>
        <w:ind w:left="720" w:hanging="720"/>
        <w:jc w:val="left"/>
        <w:rPr>
          <w:rFonts w:cs="Times New Roman"/>
          <w:color w:val="000000"/>
        </w:rPr>
      </w:pPr>
      <w:bookmarkStart w:id="11" w:name="_ENREF_41"/>
      <w:r w:rsidRPr="00FE7B1A">
        <w:rPr>
          <w:rFonts w:cs="Times New Roman"/>
          <w:color w:val="000000"/>
        </w:rPr>
        <w:t xml:space="preserve">Simpson, D. D. &amp; </w:t>
      </w:r>
      <w:proofErr w:type="spellStart"/>
      <w:r w:rsidRPr="00FE7B1A">
        <w:rPr>
          <w:rFonts w:cs="Times New Roman"/>
          <w:color w:val="000000"/>
        </w:rPr>
        <w:t>Ostrom</w:t>
      </w:r>
      <w:proofErr w:type="spellEnd"/>
      <w:r w:rsidRPr="00FE7B1A">
        <w:rPr>
          <w:rFonts w:cs="Times New Roman"/>
          <w:color w:val="000000"/>
        </w:rPr>
        <w:t xml:space="preserve">, T. M. (1976), “Contrast effects in impression,” </w:t>
      </w:r>
      <w:r w:rsidRPr="00FE7B1A">
        <w:rPr>
          <w:rFonts w:cs="Times New Roman"/>
          <w:i/>
          <w:color w:val="000000"/>
        </w:rPr>
        <w:t>Journal of Personality and Social Psychology</w:t>
      </w:r>
      <w:r w:rsidRPr="00FE7B1A">
        <w:rPr>
          <w:rFonts w:cs="Times New Roman"/>
          <w:color w:val="000000"/>
        </w:rPr>
        <w:t xml:space="preserve">, 34 625 -29. </w:t>
      </w:r>
    </w:p>
    <w:p w14:paraId="0C624DCB" w14:textId="51D78BCC" w:rsidR="00E91873" w:rsidRPr="00FE7B1A" w:rsidRDefault="00E91873" w:rsidP="00920B98">
      <w:pPr>
        <w:pStyle w:val="Bibliography"/>
      </w:pPr>
      <w:r w:rsidRPr="00FE7B1A">
        <w:t xml:space="preserve">Szymanski, David M. and David H. </w:t>
      </w:r>
      <w:proofErr w:type="spellStart"/>
      <w:r w:rsidRPr="00FE7B1A">
        <w:t>Henard</w:t>
      </w:r>
      <w:proofErr w:type="spellEnd"/>
      <w:r w:rsidRPr="00FE7B1A">
        <w:t xml:space="preserve"> (2001), “Customer Satisfaction: A Meta-Analysis of the Empirical Evidence,” </w:t>
      </w:r>
      <w:r w:rsidRPr="00FE7B1A">
        <w:rPr>
          <w:i/>
        </w:rPr>
        <w:t>Journal of the Academy of Marketing Science</w:t>
      </w:r>
      <w:r w:rsidRPr="00FE7B1A">
        <w:t>, 29 (1), 16-35.</w:t>
      </w:r>
    </w:p>
    <w:p w14:paraId="6D7AF08B" w14:textId="77777777" w:rsidR="001C259E" w:rsidRPr="00FE7B1A" w:rsidRDefault="001C259E" w:rsidP="00920B98">
      <w:pPr>
        <w:pStyle w:val="Bibliography"/>
      </w:pPr>
      <w:proofErr w:type="spellStart"/>
      <w:r w:rsidRPr="00FE7B1A">
        <w:t>Verhoef</w:t>
      </w:r>
      <w:proofErr w:type="spellEnd"/>
      <w:r w:rsidRPr="00FE7B1A">
        <w:t xml:space="preserve">, Peter C., Philip Hans </w:t>
      </w:r>
      <w:proofErr w:type="spellStart"/>
      <w:r w:rsidRPr="00FE7B1A">
        <w:t>Franses</w:t>
      </w:r>
      <w:proofErr w:type="spellEnd"/>
      <w:r w:rsidRPr="00FE7B1A">
        <w:t xml:space="preserve">, and </w:t>
      </w:r>
      <w:proofErr w:type="spellStart"/>
      <w:r w:rsidRPr="00FE7B1A">
        <w:t>Janny</w:t>
      </w:r>
      <w:proofErr w:type="spellEnd"/>
      <w:r w:rsidRPr="00FE7B1A">
        <w:t xml:space="preserve"> C. Hoekstra (2001), "The impact of satisfaction and payment equity on cross-buying: A dynamic model for a multi-service provider," </w:t>
      </w:r>
      <w:r w:rsidRPr="00FE7B1A">
        <w:rPr>
          <w:i/>
        </w:rPr>
        <w:t>Journal of Retailing</w:t>
      </w:r>
      <w:r w:rsidRPr="00FE7B1A">
        <w:t>, 77 (3), 359.</w:t>
      </w:r>
      <w:bookmarkEnd w:id="11"/>
    </w:p>
    <w:p w14:paraId="3B6987E3" w14:textId="14CE17AE" w:rsidR="008A3424" w:rsidRDefault="00096534" w:rsidP="00DE4427">
      <w:pPr>
        <w:pStyle w:val="Caption"/>
        <w:jc w:val="both"/>
      </w:pPr>
      <w:bookmarkStart w:id="12" w:name="_Ref296635973"/>
      <w:proofErr w:type="spellStart"/>
      <w:r w:rsidRPr="00FE7B1A">
        <w:t>Zeaman</w:t>
      </w:r>
      <w:proofErr w:type="spellEnd"/>
      <w:r w:rsidRPr="00FE7B1A">
        <w:t xml:space="preserve">, D. (1949), “Response Latency as a Function of Reinforcement,” </w:t>
      </w:r>
      <w:r w:rsidRPr="00FE7B1A">
        <w:rPr>
          <w:i/>
        </w:rPr>
        <w:t xml:space="preserve">Journal of Experimental Psychology, </w:t>
      </w:r>
      <w:r w:rsidRPr="00FE7B1A">
        <w:t>39(4), 466-483.</w:t>
      </w:r>
    </w:p>
    <w:p w14:paraId="59E1B473" w14:textId="77777777" w:rsidR="00793F55" w:rsidRDefault="00793F55" w:rsidP="00793F55"/>
    <w:p w14:paraId="41B92589" w14:textId="61315025" w:rsidR="0007555C" w:rsidRDefault="0007555C">
      <w:pPr>
        <w:spacing w:after="200" w:line="276" w:lineRule="auto"/>
        <w:ind w:firstLine="0"/>
        <w:jc w:val="left"/>
      </w:pPr>
      <w:r>
        <w:br w:type="page"/>
      </w:r>
    </w:p>
    <w:p w14:paraId="5A8EEAA7" w14:textId="41F91978" w:rsidR="008A3424" w:rsidRPr="00793F55" w:rsidRDefault="001C259E" w:rsidP="00DE4427">
      <w:pPr>
        <w:pStyle w:val="Caption"/>
      </w:pPr>
      <w:r w:rsidRPr="00793F55">
        <w:lastRenderedPageBreak/>
        <w:t xml:space="preserve">Table </w:t>
      </w:r>
      <w:fldSimple w:instr=" SEQ Table \* ARABIC ">
        <w:r w:rsidR="00DA6AA6">
          <w:rPr>
            <w:noProof/>
          </w:rPr>
          <w:t>1</w:t>
        </w:r>
      </w:fldSimple>
      <w:bookmarkEnd w:id="12"/>
      <w:r w:rsidRPr="00793F55">
        <w:t xml:space="preserve"> Number of observations for different leve</w:t>
      </w:r>
      <w:r w:rsidR="002F403F" w:rsidRPr="00793F55">
        <w:t>ls of the drivers of intentions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1221"/>
        <w:gridCol w:w="1130"/>
        <w:gridCol w:w="1107"/>
      </w:tblGrid>
      <w:tr w:rsidR="006F47E1" w:rsidRPr="006F47E1" w14:paraId="40BC91B7" w14:textId="77777777" w:rsidTr="00EC1D83">
        <w:trPr>
          <w:trHeight w:val="488"/>
          <w:jc w:val="center"/>
        </w:trPr>
        <w:tc>
          <w:tcPr>
            <w:tcW w:w="1407" w:type="dxa"/>
            <w:tcBorders>
              <w:top w:val="single" w:sz="12" w:space="0" w:color="auto"/>
              <w:left w:val="nil"/>
            </w:tcBorders>
            <w:vAlign w:val="center"/>
          </w:tcPr>
          <w:p w14:paraId="5CC4EECD" w14:textId="77777777" w:rsidR="006F47E1" w:rsidRPr="006F47E1" w:rsidRDefault="006F47E1" w:rsidP="006F47E1">
            <w:pPr>
              <w:spacing w:line="240" w:lineRule="auto"/>
              <w:ind w:firstLine="0"/>
              <w:jc w:val="center"/>
            </w:pPr>
          </w:p>
        </w:tc>
        <w:tc>
          <w:tcPr>
            <w:tcW w:w="1221" w:type="dxa"/>
            <w:tcBorders>
              <w:top w:val="single" w:sz="12" w:space="0" w:color="auto"/>
            </w:tcBorders>
            <w:vAlign w:val="center"/>
          </w:tcPr>
          <w:p w14:paraId="0A0A070B" w14:textId="77777777" w:rsidR="006F47E1" w:rsidRPr="006F47E1" w:rsidRDefault="006F47E1" w:rsidP="006F47E1">
            <w:pPr>
              <w:spacing w:line="240" w:lineRule="auto"/>
              <w:ind w:firstLine="0"/>
              <w:jc w:val="center"/>
            </w:pPr>
            <w:r w:rsidRPr="006F47E1">
              <w:t>Negatives</w:t>
            </w:r>
          </w:p>
        </w:tc>
        <w:tc>
          <w:tcPr>
            <w:tcW w:w="1130" w:type="dxa"/>
            <w:tcBorders>
              <w:top w:val="single" w:sz="12" w:space="0" w:color="auto"/>
            </w:tcBorders>
            <w:vAlign w:val="center"/>
          </w:tcPr>
          <w:p w14:paraId="3DBCD8EF" w14:textId="77777777" w:rsidR="006F47E1" w:rsidRPr="006F47E1" w:rsidRDefault="006F47E1" w:rsidP="006F47E1">
            <w:pPr>
              <w:spacing w:line="240" w:lineRule="auto"/>
              <w:ind w:firstLine="0"/>
              <w:jc w:val="center"/>
            </w:pPr>
            <w:r w:rsidRPr="006F47E1">
              <w:t>Neutrals</w:t>
            </w:r>
          </w:p>
        </w:tc>
        <w:tc>
          <w:tcPr>
            <w:tcW w:w="1107" w:type="dxa"/>
            <w:tcBorders>
              <w:top w:val="single" w:sz="12" w:space="0" w:color="auto"/>
              <w:right w:val="nil"/>
            </w:tcBorders>
            <w:vAlign w:val="center"/>
          </w:tcPr>
          <w:p w14:paraId="10DB1B8C" w14:textId="77777777" w:rsidR="006F47E1" w:rsidRPr="006F47E1" w:rsidRDefault="006F47E1" w:rsidP="006F47E1">
            <w:pPr>
              <w:spacing w:line="240" w:lineRule="auto"/>
              <w:ind w:firstLine="0"/>
              <w:jc w:val="center"/>
            </w:pPr>
            <w:r w:rsidRPr="006F47E1">
              <w:t>Positives</w:t>
            </w:r>
          </w:p>
        </w:tc>
      </w:tr>
      <w:tr w:rsidR="006F47E1" w:rsidRPr="006F47E1" w14:paraId="2B023C2D" w14:textId="77777777" w:rsidTr="00EC1D83">
        <w:trPr>
          <w:trHeight w:val="350"/>
          <w:jc w:val="center"/>
        </w:trPr>
        <w:tc>
          <w:tcPr>
            <w:tcW w:w="1407" w:type="dxa"/>
            <w:tcBorders>
              <w:top w:val="single" w:sz="4" w:space="0" w:color="auto"/>
              <w:left w:val="nil"/>
              <w:bottom w:val="nil"/>
            </w:tcBorders>
            <w:vAlign w:val="center"/>
          </w:tcPr>
          <w:p w14:paraId="1D2EFABD" w14:textId="77777777" w:rsidR="006F47E1" w:rsidRPr="006F47E1" w:rsidRDefault="006F47E1" w:rsidP="006F47E1">
            <w:pPr>
              <w:spacing w:line="240" w:lineRule="auto"/>
              <w:ind w:firstLine="0"/>
              <w:jc w:val="left"/>
            </w:pPr>
            <w:r w:rsidRPr="006F47E1">
              <w:t>Banking</w:t>
            </w:r>
          </w:p>
        </w:tc>
        <w:tc>
          <w:tcPr>
            <w:tcW w:w="1221" w:type="dxa"/>
            <w:tcBorders>
              <w:top w:val="single" w:sz="4" w:space="0" w:color="auto"/>
              <w:bottom w:val="nil"/>
            </w:tcBorders>
            <w:vAlign w:val="center"/>
          </w:tcPr>
          <w:p w14:paraId="2E55F5A9" w14:textId="77777777" w:rsidR="006F47E1" w:rsidRPr="006F47E1" w:rsidRDefault="006F47E1" w:rsidP="006F47E1">
            <w:pPr>
              <w:spacing w:line="240" w:lineRule="auto"/>
              <w:ind w:firstLine="0"/>
              <w:jc w:val="center"/>
            </w:pPr>
            <w:r w:rsidRPr="006F47E1">
              <w:t>100</w:t>
            </w:r>
          </w:p>
        </w:tc>
        <w:tc>
          <w:tcPr>
            <w:tcW w:w="1130" w:type="dxa"/>
            <w:tcBorders>
              <w:top w:val="single" w:sz="4" w:space="0" w:color="auto"/>
              <w:bottom w:val="nil"/>
            </w:tcBorders>
            <w:vAlign w:val="center"/>
          </w:tcPr>
          <w:p w14:paraId="32BE156F" w14:textId="77777777" w:rsidR="006F47E1" w:rsidRPr="006F47E1" w:rsidRDefault="006F47E1" w:rsidP="006F47E1">
            <w:pPr>
              <w:spacing w:line="240" w:lineRule="auto"/>
              <w:ind w:firstLine="0"/>
              <w:jc w:val="center"/>
            </w:pPr>
            <w:r w:rsidRPr="006F47E1">
              <w:t>149</w:t>
            </w:r>
          </w:p>
        </w:tc>
        <w:tc>
          <w:tcPr>
            <w:tcW w:w="1107" w:type="dxa"/>
            <w:tcBorders>
              <w:top w:val="single" w:sz="4" w:space="0" w:color="auto"/>
              <w:bottom w:val="nil"/>
              <w:right w:val="nil"/>
            </w:tcBorders>
            <w:vAlign w:val="center"/>
          </w:tcPr>
          <w:p w14:paraId="41491047" w14:textId="77777777" w:rsidR="006F47E1" w:rsidRPr="006F47E1" w:rsidRDefault="006F47E1" w:rsidP="006F47E1">
            <w:pPr>
              <w:spacing w:line="240" w:lineRule="auto"/>
              <w:ind w:firstLine="0"/>
              <w:jc w:val="center"/>
            </w:pPr>
            <w:r w:rsidRPr="006F47E1">
              <w:t>192</w:t>
            </w:r>
          </w:p>
        </w:tc>
      </w:tr>
      <w:tr w:rsidR="006F47E1" w:rsidRPr="006F47E1" w14:paraId="6089E6C7" w14:textId="77777777" w:rsidTr="00EC1D83">
        <w:trPr>
          <w:trHeight w:val="350"/>
          <w:jc w:val="center"/>
        </w:trPr>
        <w:tc>
          <w:tcPr>
            <w:tcW w:w="1407" w:type="dxa"/>
            <w:tcBorders>
              <w:top w:val="nil"/>
              <w:left w:val="nil"/>
              <w:bottom w:val="single" w:sz="12" w:space="0" w:color="auto"/>
            </w:tcBorders>
            <w:vAlign w:val="center"/>
          </w:tcPr>
          <w:p w14:paraId="0FCB4FA9" w14:textId="77777777" w:rsidR="006F47E1" w:rsidRPr="006F47E1" w:rsidRDefault="006F47E1" w:rsidP="006F47E1">
            <w:pPr>
              <w:spacing w:line="240" w:lineRule="auto"/>
              <w:ind w:firstLine="0"/>
              <w:jc w:val="left"/>
            </w:pPr>
            <w:r w:rsidRPr="006F47E1">
              <w:t>Investment</w:t>
            </w:r>
          </w:p>
        </w:tc>
        <w:tc>
          <w:tcPr>
            <w:tcW w:w="1221" w:type="dxa"/>
            <w:tcBorders>
              <w:top w:val="nil"/>
              <w:bottom w:val="single" w:sz="12" w:space="0" w:color="auto"/>
            </w:tcBorders>
            <w:vAlign w:val="center"/>
          </w:tcPr>
          <w:p w14:paraId="05BBBA8C" w14:textId="77777777" w:rsidR="006F47E1" w:rsidRPr="006F47E1" w:rsidRDefault="006F47E1" w:rsidP="006F47E1">
            <w:pPr>
              <w:spacing w:line="240" w:lineRule="auto"/>
              <w:ind w:firstLine="0"/>
              <w:jc w:val="center"/>
            </w:pPr>
            <w:r w:rsidRPr="006F47E1">
              <w:t>85</w:t>
            </w:r>
          </w:p>
        </w:tc>
        <w:tc>
          <w:tcPr>
            <w:tcW w:w="1130" w:type="dxa"/>
            <w:tcBorders>
              <w:top w:val="nil"/>
              <w:bottom w:val="single" w:sz="12" w:space="0" w:color="auto"/>
            </w:tcBorders>
            <w:vAlign w:val="center"/>
          </w:tcPr>
          <w:p w14:paraId="0DF05086" w14:textId="77777777" w:rsidR="006F47E1" w:rsidRPr="006F47E1" w:rsidRDefault="006F47E1" w:rsidP="006F47E1">
            <w:pPr>
              <w:spacing w:line="240" w:lineRule="auto"/>
              <w:ind w:firstLine="0"/>
              <w:jc w:val="center"/>
            </w:pPr>
            <w:r w:rsidRPr="006F47E1">
              <w:t>157</w:t>
            </w:r>
          </w:p>
        </w:tc>
        <w:tc>
          <w:tcPr>
            <w:tcW w:w="1107" w:type="dxa"/>
            <w:tcBorders>
              <w:top w:val="nil"/>
              <w:bottom w:val="single" w:sz="12" w:space="0" w:color="auto"/>
              <w:right w:val="nil"/>
            </w:tcBorders>
            <w:vAlign w:val="center"/>
          </w:tcPr>
          <w:p w14:paraId="574DD8FB" w14:textId="77777777" w:rsidR="006F47E1" w:rsidRPr="006F47E1" w:rsidRDefault="006F47E1" w:rsidP="006F47E1">
            <w:pPr>
              <w:spacing w:line="240" w:lineRule="auto"/>
              <w:ind w:firstLine="0"/>
              <w:jc w:val="center"/>
            </w:pPr>
            <w:r w:rsidRPr="006F47E1">
              <w:t>199</w:t>
            </w:r>
          </w:p>
        </w:tc>
      </w:tr>
    </w:tbl>
    <w:p w14:paraId="42D48C33" w14:textId="77777777" w:rsidR="00793F55" w:rsidRDefault="00793F55" w:rsidP="00DE4427">
      <w:pPr>
        <w:spacing w:after="200" w:line="276" w:lineRule="auto"/>
        <w:ind w:firstLine="0"/>
        <w:jc w:val="center"/>
        <w:rPr>
          <w:u w:val="single"/>
        </w:rPr>
      </w:pPr>
      <w:bookmarkStart w:id="13" w:name="_Ref296709405"/>
    </w:p>
    <w:p w14:paraId="7934A65A" w14:textId="160E69AF" w:rsidR="001C259E" w:rsidRPr="00793F55" w:rsidRDefault="00DE4427" w:rsidP="00DE4427">
      <w:pPr>
        <w:spacing w:after="200" w:line="276" w:lineRule="auto"/>
        <w:ind w:firstLine="0"/>
        <w:jc w:val="center"/>
      </w:pPr>
      <w:r w:rsidRPr="00793F55">
        <w:t>Ta</w:t>
      </w:r>
      <w:r w:rsidR="001C259E" w:rsidRPr="00793F55">
        <w:t xml:space="preserve">ble </w:t>
      </w:r>
      <w:fldSimple w:instr=" SEQ Table \* ARABIC ">
        <w:r w:rsidR="00DA6AA6">
          <w:rPr>
            <w:noProof/>
          </w:rPr>
          <w:t>2</w:t>
        </w:r>
      </w:fldSimple>
      <w:bookmarkEnd w:id="13"/>
      <w:r w:rsidR="001C259E" w:rsidRPr="00793F55">
        <w:t xml:space="preserve"> Summary statistics for demographic and self-reported variables</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6656"/>
        <w:gridCol w:w="810"/>
        <w:gridCol w:w="1166"/>
      </w:tblGrid>
      <w:tr w:rsidR="001C259E" w14:paraId="5A6C5CB5" w14:textId="77777777" w:rsidTr="00B33F50">
        <w:trPr>
          <w:trHeight w:val="308"/>
          <w:jc w:val="center"/>
        </w:trPr>
        <w:tc>
          <w:tcPr>
            <w:tcW w:w="6656" w:type="dxa"/>
            <w:tcBorders>
              <w:bottom w:val="single" w:sz="4" w:space="0" w:color="auto"/>
            </w:tcBorders>
          </w:tcPr>
          <w:p w14:paraId="73DECEDE" w14:textId="77777777" w:rsidR="001C259E" w:rsidRDefault="001C259E" w:rsidP="00C51D51">
            <w:pPr>
              <w:pStyle w:val="Table"/>
            </w:pPr>
          </w:p>
        </w:tc>
        <w:tc>
          <w:tcPr>
            <w:tcW w:w="810" w:type="dxa"/>
            <w:tcBorders>
              <w:bottom w:val="single" w:sz="4" w:space="0" w:color="auto"/>
            </w:tcBorders>
            <w:vAlign w:val="center"/>
          </w:tcPr>
          <w:p w14:paraId="45B3045F" w14:textId="77777777" w:rsidR="001C259E" w:rsidRDefault="001C259E" w:rsidP="00C51D51">
            <w:pPr>
              <w:pStyle w:val="Table"/>
              <w:jc w:val="center"/>
            </w:pPr>
            <w:r>
              <w:t>Mean</w:t>
            </w:r>
          </w:p>
        </w:tc>
        <w:tc>
          <w:tcPr>
            <w:tcW w:w="1166" w:type="dxa"/>
            <w:tcBorders>
              <w:bottom w:val="single" w:sz="4" w:space="0" w:color="auto"/>
            </w:tcBorders>
            <w:vAlign w:val="center"/>
          </w:tcPr>
          <w:p w14:paraId="7FBB95BC" w14:textId="7DC75A79" w:rsidR="001C259E" w:rsidRDefault="001C259E" w:rsidP="00BD329B">
            <w:pPr>
              <w:pStyle w:val="Table"/>
              <w:jc w:val="center"/>
            </w:pPr>
            <w:r>
              <w:t>Std. De</w:t>
            </w:r>
            <w:r w:rsidR="00BD329B">
              <w:t>v</w:t>
            </w:r>
          </w:p>
        </w:tc>
      </w:tr>
      <w:tr w:rsidR="001C259E" w14:paraId="3E117C83" w14:textId="77777777" w:rsidTr="00B33F50">
        <w:trPr>
          <w:trHeight w:val="308"/>
          <w:jc w:val="center"/>
        </w:trPr>
        <w:tc>
          <w:tcPr>
            <w:tcW w:w="6656" w:type="dxa"/>
            <w:tcBorders>
              <w:top w:val="single" w:sz="4" w:space="0" w:color="auto"/>
              <w:bottom w:val="nil"/>
            </w:tcBorders>
            <w:vAlign w:val="center"/>
          </w:tcPr>
          <w:p w14:paraId="0A2D7F12" w14:textId="77777777" w:rsidR="001C259E" w:rsidRPr="00DE4427" w:rsidRDefault="001C259E" w:rsidP="004B77D8">
            <w:pPr>
              <w:pStyle w:val="Table"/>
              <w:jc w:val="left"/>
              <w:rPr>
                <w:sz w:val="20"/>
                <w:szCs w:val="20"/>
              </w:rPr>
            </w:pPr>
            <w:r w:rsidRPr="00DE4427">
              <w:rPr>
                <w:sz w:val="20"/>
                <w:szCs w:val="20"/>
              </w:rPr>
              <w:t>Age</w:t>
            </w:r>
          </w:p>
        </w:tc>
        <w:tc>
          <w:tcPr>
            <w:tcW w:w="810" w:type="dxa"/>
            <w:tcBorders>
              <w:top w:val="single" w:sz="4" w:space="0" w:color="auto"/>
              <w:bottom w:val="nil"/>
            </w:tcBorders>
            <w:vAlign w:val="center"/>
          </w:tcPr>
          <w:p w14:paraId="0E709DEC" w14:textId="72B997BF" w:rsidR="001C259E" w:rsidRPr="00DE4427" w:rsidRDefault="00736094" w:rsidP="00736094">
            <w:pPr>
              <w:pStyle w:val="Table"/>
              <w:jc w:val="center"/>
              <w:rPr>
                <w:sz w:val="20"/>
                <w:szCs w:val="20"/>
              </w:rPr>
            </w:pPr>
            <w:r w:rsidRPr="00DE4427">
              <w:rPr>
                <w:sz w:val="20"/>
                <w:szCs w:val="20"/>
              </w:rPr>
              <w:t>52.79</w:t>
            </w:r>
          </w:p>
        </w:tc>
        <w:tc>
          <w:tcPr>
            <w:tcW w:w="1166" w:type="dxa"/>
            <w:tcBorders>
              <w:top w:val="single" w:sz="4" w:space="0" w:color="auto"/>
              <w:bottom w:val="nil"/>
            </w:tcBorders>
            <w:vAlign w:val="center"/>
          </w:tcPr>
          <w:p w14:paraId="11672C0C" w14:textId="53DD5740" w:rsidR="001C259E" w:rsidRPr="00DE4427" w:rsidRDefault="00736094" w:rsidP="00C51D51">
            <w:pPr>
              <w:pStyle w:val="Table"/>
              <w:jc w:val="center"/>
              <w:rPr>
                <w:sz w:val="20"/>
                <w:szCs w:val="20"/>
              </w:rPr>
            </w:pPr>
            <w:r w:rsidRPr="00DE4427">
              <w:rPr>
                <w:sz w:val="20"/>
                <w:szCs w:val="20"/>
              </w:rPr>
              <w:t>(14.19</w:t>
            </w:r>
            <w:r w:rsidR="001C259E" w:rsidRPr="00DE4427">
              <w:rPr>
                <w:sz w:val="20"/>
                <w:szCs w:val="20"/>
              </w:rPr>
              <w:t>)</w:t>
            </w:r>
          </w:p>
        </w:tc>
      </w:tr>
      <w:tr w:rsidR="001C259E" w14:paraId="06D514CF" w14:textId="77777777" w:rsidTr="00B33F50">
        <w:trPr>
          <w:trHeight w:val="308"/>
          <w:jc w:val="center"/>
        </w:trPr>
        <w:tc>
          <w:tcPr>
            <w:tcW w:w="6656" w:type="dxa"/>
            <w:tcBorders>
              <w:top w:val="nil"/>
            </w:tcBorders>
            <w:vAlign w:val="center"/>
          </w:tcPr>
          <w:p w14:paraId="3FE27140" w14:textId="158D25F7" w:rsidR="001C259E" w:rsidRPr="00DE4427" w:rsidRDefault="00736094" w:rsidP="004B77D8">
            <w:pPr>
              <w:pStyle w:val="Table"/>
              <w:ind w:right="-890"/>
              <w:jc w:val="left"/>
              <w:rPr>
                <w:sz w:val="20"/>
                <w:szCs w:val="20"/>
              </w:rPr>
            </w:pPr>
            <w:r w:rsidRPr="00DE4427">
              <w:rPr>
                <w:sz w:val="20"/>
                <w:szCs w:val="20"/>
              </w:rPr>
              <w:t>Not a parent (1=Yes, 0=No)</w:t>
            </w:r>
          </w:p>
        </w:tc>
        <w:tc>
          <w:tcPr>
            <w:tcW w:w="810" w:type="dxa"/>
            <w:tcBorders>
              <w:top w:val="nil"/>
            </w:tcBorders>
            <w:vAlign w:val="center"/>
          </w:tcPr>
          <w:p w14:paraId="6D1F7EE9" w14:textId="29C10297" w:rsidR="001C259E" w:rsidRPr="00DE4427" w:rsidRDefault="00736094" w:rsidP="00736094">
            <w:pPr>
              <w:pStyle w:val="Table"/>
              <w:jc w:val="center"/>
              <w:rPr>
                <w:sz w:val="20"/>
                <w:szCs w:val="20"/>
              </w:rPr>
            </w:pPr>
            <w:r w:rsidRPr="00DE4427">
              <w:rPr>
                <w:sz w:val="20"/>
                <w:szCs w:val="20"/>
              </w:rPr>
              <w:t>0</w:t>
            </w:r>
            <w:r w:rsidR="001C259E" w:rsidRPr="00DE4427">
              <w:rPr>
                <w:sz w:val="20"/>
                <w:szCs w:val="20"/>
              </w:rPr>
              <w:t>.</w:t>
            </w:r>
            <w:r w:rsidRPr="00DE4427">
              <w:rPr>
                <w:sz w:val="20"/>
                <w:szCs w:val="20"/>
              </w:rPr>
              <w:t>35</w:t>
            </w:r>
          </w:p>
        </w:tc>
        <w:tc>
          <w:tcPr>
            <w:tcW w:w="1166" w:type="dxa"/>
            <w:tcBorders>
              <w:top w:val="nil"/>
            </w:tcBorders>
            <w:vAlign w:val="center"/>
          </w:tcPr>
          <w:p w14:paraId="6C54A89A" w14:textId="35E51549" w:rsidR="001C259E" w:rsidRPr="00DE4427" w:rsidRDefault="00736094" w:rsidP="00736094">
            <w:pPr>
              <w:pStyle w:val="Table"/>
              <w:jc w:val="center"/>
              <w:rPr>
                <w:sz w:val="20"/>
                <w:szCs w:val="20"/>
              </w:rPr>
            </w:pPr>
            <w:r w:rsidRPr="00DE4427">
              <w:rPr>
                <w:sz w:val="20"/>
                <w:szCs w:val="20"/>
              </w:rPr>
              <w:t>(0</w:t>
            </w:r>
            <w:r w:rsidR="001C259E" w:rsidRPr="00DE4427">
              <w:rPr>
                <w:sz w:val="20"/>
                <w:szCs w:val="20"/>
              </w:rPr>
              <w:t>.4</w:t>
            </w:r>
            <w:r w:rsidRPr="00DE4427">
              <w:rPr>
                <w:sz w:val="20"/>
                <w:szCs w:val="20"/>
              </w:rPr>
              <w:t>8</w:t>
            </w:r>
            <w:r w:rsidR="001C259E" w:rsidRPr="00DE4427">
              <w:rPr>
                <w:sz w:val="20"/>
                <w:szCs w:val="20"/>
              </w:rPr>
              <w:t>)</w:t>
            </w:r>
          </w:p>
        </w:tc>
      </w:tr>
      <w:tr w:rsidR="001C259E" w14:paraId="141D71C4" w14:textId="77777777" w:rsidTr="00B33F50">
        <w:trPr>
          <w:trHeight w:val="308"/>
          <w:jc w:val="center"/>
        </w:trPr>
        <w:tc>
          <w:tcPr>
            <w:tcW w:w="6656" w:type="dxa"/>
            <w:vAlign w:val="center"/>
          </w:tcPr>
          <w:p w14:paraId="378BFC3A" w14:textId="267D0D7D" w:rsidR="001C259E" w:rsidRPr="00DE4427" w:rsidRDefault="00736094" w:rsidP="004B77D8">
            <w:pPr>
              <w:pStyle w:val="Table"/>
              <w:jc w:val="left"/>
              <w:rPr>
                <w:sz w:val="20"/>
                <w:szCs w:val="20"/>
              </w:rPr>
            </w:pPr>
            <w:r w:rsidRPr="00DE4427">
              <w:rPr>
                <w:sz w:val="20"/>
                <w:szCs w:val="20"/>
              </w:rPr>
              <w:t>Have a college degree or higher</w:t>
            </w:r>
            <w:r w:rsidR="001C259E" w:rsidRPr="00DE4427">
              <w:rPr>
                <w:sz w:val="20"/>
                <w:szCs w:val="20"/>
              </w:rPr>
              <w:t xml:space="preserve"> (1=Yes, 0=No)</w:t>
            </w:r>
          </w:p>
        </w:tc>
        <w:tc>
          <w:tcPr>
            <w:tcW w:w="810" w:type="dxa"/>
            <w:vAlign w:val="center"/>
          </w:tcPr>
          <w:p w14:paraId="10580B4C" w14:textId="298D8306" w:rsidR="001C259E" w:rsidRPr="00DE4427" w:rsidRDefault="00736094" w:rsidP="00C51D51">
            <w:pPr>
              <w:pStyle w:val="Table"/>
              <w:jc w:val="center"/>
              <w:rPr>
                <w:sz w:val="20"/>
                <w:szCs w:val="20"/>
              </w:rPr>
            </w:pPr>
            <w:r w:rsidRPr="00DE4427">
              <w:rPr>
                <w:sz w:val="20"/>
                <w:szCs w:val="20"/>
              </w:rPr>
              <w:t>0.63</w:t>
            </w:r>
          </w:p>
        </w:tc>
        <w:tc>
          <w:tcPr>
            <w:tcW w:w="1166" w:type="dxa"/>
            <w:vAlign w:val="center"/>
          </w:tcPr>
          <w:p w14:paraId="1CB62E5D" w14:textId="4E512428" w:rsidR="001C259E" w:rsidRPr="00DE4427" w:rsidRDefault="001C259E" w:rsidP="00736094">
            <w:pPr>
              <w:pStyle w:val="Table"/>
              <w:jc w:val="center"/>
              <w:rPr>
                <w:sz w:val="20"/>
                <w:szCs w:val="20"/>
              </w:rPr>
            </w:pPr>
            <w:r w:rsidRPr="00DE4427">
              <w:rPr>
                <w:sz w:val="20"/>
                <w:szCs w:val="20"/>
              </w:rPr>
              <w:t>(0.</w:t>
            </w:r>
            <w:r w:rsidR="00736094" w:rsidRPr="00DE4427">
              <w:rPr>
                <w:sz w:val="20"/>
                <w:szCs w:val="20"/>
              </w:rPr>
              <w:t>4</w:t>
            </w:r>
            <w:r w:rsidRPr="00DE4427">
              <w:rPr>
                <w:sz w:val="20"/>
                <w:szCs w:val="20"/>
              </w:rPr>
              <w:t>8)</w:t>
            </w:r>
          </w:p>
        </w:tc>
      </w:tr>
      <w:tr w:rsidR="001C259E" w14:paraId="64873D0F" w14:textId="77777777" w:rsidTr="00B33F50">
        <w:trPr>
          <w:trHeight w:val="308"/>
          <w:jc w:val="center"/>
        </w:trPr>
        <w:tc>
          <w:tcPr>
            <w:tcW w:w="6656" w:type="dxa"/>
            <w:vAlign w:val="center"/>
          </w:tcPr>
          <w:p w14:paraId="48A226B9" w14:textId="6B2C6840" w:rsidR="001C259E" w:rsidRPr="00DE4427" w:rsidRDefault="00736094" w:rsidP="004B77D8">
            <w:pPr>
              <w:pStyle w:val="Table"/>
              <w:jc w:val="left"/>
              <w:rPr>
                <w:sz w:val="20"/>
                <w:szCs w:val="20"/>
              </w:rPr>
            </w:pPr>
            <w:r w:rsidRPr="00DE4427">
              <w:rPr>
                <w:sz w:val="20"/>
                <w:szCs w:val="20"/>
              </w:rPr>
              <w:t>Married</w:t>
            </w:r>
            <w:r w:rsidR="001C259E" w:rsidRPr="00DE4427">
              <w:rPr>
                <w:sz w:val="20"/>
                <w:szCs w:val="20"/>
              </w:rPr>
              <w:t xml:space="preserve"> (1=Yes, 0=No)</w:t>
            </w:r>
          </w:p>
        </w:tc>
        <w:tc>
          <w:tcPr>
            <w:tcW w:w="810" w:type="dxa"/>
            <w:vAlign w:val="center"/>
          </w:tcPr>
          <w:p w14:paraId="0FB45BBB" w14:textId="1D30DB76" w:rsidR="001C259E" w:rsidRPr="00DE4427" w:rsidRDefault="00736094" w:rsidP="00736094">
            <w:pPr>
              <w:pStyle w:val="Table"/>
              <w:jc w:val="center"/>
              <w:rPr>
                <w:sz w:val="20"/>
                <w:szCs w:val="20"/>
              </w:rPr>
            </w:pPr>
            <w:r w:rsidRPr="00DE4427">
              <w:rPr>
                <w:sz w:val="20"/>
                <w:szCs w:val="20"/>
              </w:rPr>
              <w:t>0.64</w:t>
            </w:r>
          </w:p>
        </w:tc>
        <w:tc>
          <w:tcPr>
            <w:tcW w:w="1166" w:type="dxa"/>
            <w:vAlign w:val="center"/>
          </w:tcPr>
          <w:p w14:paraId="152FC437" w14:textId="596CF222" w:rsidR="001C259E" w:rsidRPr="00DE4427" w:rsidRDefault="001C259E" w:rsidP="00736094">
            <w:pPr>
              <w:pStyle w:val="Table"/>
              <w:jc w:val="center"/>
              <w:rPr>
                <w:sz w:val="20"/>
                <w:szCs w:val="20"/>
              </w:rPr>
            </w:pPr>
            <w:r w:rsidRPr="00DE4427">
              <w:rPr>
                <w:sz w:val="20"/>
                <w:szCs w:val="20"/>
              </w:rPr>
              <w:t>(0.4</w:t>
            </w:r>
            <w:r w:rsidR="00736094" w:rsidRPr="00DE4427">
              <w:rPr>
                <w:sz w:val="20"/>
                <w:szCs w:val="20"/>
              </w:rPr>
              <w:t>8</w:t>
            </w:r>
            <w:r w:rsidRPr="00DE4427">
              <w:rPr>
                <w:sz w:val="20"/>
                <w:szCs w:val="20"/>
              </w:rPr>
              <w:t>)</w:t>
            </w:r>
          </w:p>
        </w:tc>
      </w:tr>
      <w:tr w:rsidR="001C259E" w14:paraId="1BC4F787" w14:textId="77777777" w:rsidTr="00B33F50">
        <w:trPr>
          <w:trHeight w:val="308"/>
          <w:jc w:val="center"/>
        </w:trPr>
        <w:tc>
          <w:tcPr>
            <w:tcW w:w="6656" w:type="dxa"/>
            <w:vAlign w:val="center"/>
          </w:tcPr>
          <w:p w14:paraId="333E4270" w14:textId="4CE45061" w:rsidR="001C259E" w:rsidRPr="00DE4427" w:rsidRDefault="00736094" w:rsidP="004B77D8">
            <w:pPr>
              <w:pStyle w:val="Table"/>
              <w:jc w:val="left"/>
              <w:rPr>
                <w:sz w:val="20"/>
                <w:szCs w:val="20"/>
              </w:rPr>
            </w:pPr>
            <w:r w:rsidRPr="00DE4427">
              <w:rPr>
                <w:sz w:val="20"/>
                <w:szCs w:val="20"/>
              </w:rPr>
              <w:t>Low income (income level in the bottom 30%, 1=Yes, 0=No)</w:t>
            </w:r>
          </w:p>
        </w:tc>
        <w:tc>
          <w:tcPr>
            <w:tcW w:w="810" w:type="dxa"/>
            <w:vAlign w:val="center"/>
          </w:tcPr>
          <w:p w14:paraId="7687A24B" w14:textId="3704D98F" w:rsidR="001C259E" w:rsidRPr="00DE4427" w:rsidRDefault="00736094" w:rsidP="00736094">
            <w:pPr>
              <w:pStyle w:val="Table"/>
              <w:jc w:val="center"/>
              <w:rPr>
                <w:sz w:val="20"/>
                <w:szCs w:val="20"/>
              </w:rPr>
            </w:pPr>
            <w:r w:rsidRPr="00DE4427">
              <w:rPr>
                <w:sz w:val="20"/>
                <w:szCs w:val="20"/>
              </w:rPr>
              <w:t>0</w:t>
            </w:r>
            <w:r w:rsidR="001C259E" w:rsidRPr="00DE4427">
              <w:rPr>
                <w:sz w:val="20"/>
                <w:szCs w:val="20"/>
              </w:rPr>
              <w:t>.</w:t>
            </w:r>
            <w:r w:rsidRPr="00DE4427">
              <w:rPr>
                <w:sz w:val="20"/>
                <w:szCs w:val="20"/>
              </w:rPr>
              <w:t>27</w:t>
            </w:r>
          </w:p>
        </w:tc>
        <w:tc>
          <w:tcPr>
            <w:tcW w:w="1166" w:type="dxa"/>
            <w:vAlign w:val="center"/>
          </w:tcPr>
          <w:p w14:paraId="4C6A0EC2" w14:textId="39F3E7C2" w:rsidR="001C259E" w:rsidRPr="00DE4427" w:rsidRDefault="001C259E" w:rsidP="00736094">
            <w:pPr>
              <w:pStyle w:val="Table"/>
              <w:jc w:val="center"/>
              <w:rPr>
                <w:sz w:val="20"/>
                <w:szCs w:val="20"/>
              </w:rPr>
            </w:pPr>
            <w:r w:rsidRPr="00DE4427">
              <w:rPr>
                <w:sz w:val="20"/>
                <w:szCs w:val="20"/>
              </w:rPr>
              <w:t>(</w:t>
            </w:r>
            <w:r w:rsidR="00736094" w:rsidRPr="00DE4427">
              <w:rPr>
                <w:sz w:val="20"/>
                <w:szCs w:val="20"/>
              </w:rPr>
              <w:t>0</w:t>
            </w:r>
            <w:r w:rsidRPr="00DE4427">
              <w:rPr>
                <w:sz w:val="20"/>
                <w:szCs w:val="20"/>
              </w:rPr>
              <w:t>.</w:t>
            </w:r>
            <w:r w:rsidR="00736094" w:rsidRPr="00DE4427">
              <w:rPr>
                <w:sz w:val="20"/>
                <w:szCs w:val="20"/>
              </w:rPr>
              <w:t>45</w:t>
            </w:r>
            <w:r w:rsidRPr="00DE4427">
              <w:rPr>
                <w:sz w:val="20"/>
                <w:szCs w:val="20"/>
              </w:rPr>
              <w:t>)</w:t>
            </w:r>
          </w:p>
        </w:tc>
      </w:tr>
      <w:tr w:rsidR="004B77D8" w14:paraId="16F4259E" w14:textId="77777777" w:rsidTr="00B33F50">
        <w:trPr>
          <w:trHeight w:val="308"/>
          <w:jc w:val="center"/>
        </w:trPr>
        <w:tc>
          <w:tcPr>
            <w:tcW w:w="6656" w:type="dxa"/>
            <w:vAlign w:val="center"/>
          </w:tcPr>
          <w:p w14:paraId="372A96A2" w14:textId="77777777" w:rsidR="004B77D8" w:rsidRPr="00DE4427" w:rsidRDefault="004B77D8" w:rsidP="00EC1D83">
            <w:pPr>
              <w:pStyle w:val="Table"/>
              <w:jc w:val="left"/>
              <w:rPr>
                <w:sz w:val="20"/>
                <w:szCs w:val="20"/>
              </w:rPr>
            </w:pPr>
            <w:r w:rsidRPr="00DE4427">
              <w:rPr>
                <w:sz w:val="20"/>
                <w:szCs w:val="20"/>
              </w:rPr>
              <w:t>High income (income level in the top 30%, 1=Yes, 0=No)</w:t>
            </w:r>
          </w:p>
        </w:tc>
        <w:tc>
          <w:tcPr>
            <w:tcW w:w="810" w:type="dxa"/>
            <w:vAlign w:val="center"/>
          </w:tcPr>
          <w:p w14:paraId="77E18849" w14:textId="77777777" w:rsidR="004B77D8" w:rsidRPr="00DE4427" w:rsidRDefault="004B77D8" w:rsidP="00EC1D83">
            <w:pPr>
              <w:pStyle w:val="Table"/>
              <w:jc w:val="center"/>
              <w:rPr>
                <w:sz w:val="20"/>
                <w:szCs w:val="20"/>
              </w:rPr>
            </w:pPr>
            <w:r w:rsidRPr="00DE4427">
              <w:rPr>
                <w:sz w:val="20"/>
                <w:szCs w:val="20"/>
              </w:rPr>
              <w:t>0.28</w:t>
            </w:r>
          </w:p>
        </w:tc>
        <w:tc>
          <w:tcPr>
            <w:tcW w:w="1166" w:type="dxa"/>
            <w:vAlign w:val="center"/>
          </w:tcPr>
          <w:p w14:paraId="223644A5" w14:textId="77777777" w:rsidR="004B77D8" w:rsidRPr="00DE4427" w:rsidRDefault="004B77D8" w:rsidP="00EC1D83">
            <w:pPr>
              <w:pStyle w:val="Table"/>
              <w:jc w:val="center"/>
              <w:rPr>
                <w:sz w:val="20"/>
                <w:szCs w:val="20"/>
              </w:rPr>
            </w:pPr>
            <w:r w:rsidRPr="00DE4427">
              <w:rPr>
                <w:sz w:val="20"/>
                <w:szCs w:val="20"/>
              </w:rPr>
              <w:t>(0.45)</w:t>
            </w:r>
          </w:p>
        </w:tc>
      </w:tr>
      <w:tr w:rsidR="002011AE" w14:paraId="480DEA89" w14:textId="77777777" w:rsidTr="00B33F50">
        <w:trPr>
          <w:trHeight w:val="308"/>
          <w:jc w:val="center"/>
        </w:trPr>
        <w:tc>
          <w:tcPr>
            <w:tcW w:w="6656" w:type="dxa"/>
            <w:vAlign w:val="center"/>
          </w:tcPr>
          <w:p w14:paraId="75C2B2EE" w14:textId="0DBD1822" w:rsidR="002011AE" w:rsidRPr="00DE4427" w:rsidRDefault="000F787E" w:rsidP="00B33F50">
            <w:pPr>
              <w:pStyle w:val="Table"/>
              <w:jc w:val="left"/>
              <w:rPr>
                <w:rFonts w:eastAsia="SimSun" w:cs="Times New Roman"/>
                <w:sz w:val="20"/>
                <w:szCs w:val="20"/>
              </w:rPr>
            </w:pPr>
            <w:r w:rsidRPr="00DE4427">
              <w:rPr>
                <w:sz w:val="20"/>
                <w:szCs w:val="20"/>
              </w:rPr>
              <w:t>Total n</w:t>
            </w:r>
            <w:r w:rsidR="002011AE" w:rsidRPr="00DE4427">
              <w:rPr>
                <w:sz w:val="20"/>
                <w:szCs w:val="20"/>
              </w:rPr>
              <w:t>umber of accounts</w:t>
            </w:r>
            <w:r w:rsidR="00F35040" w:rsidRPr="00DE4427">
              <w:rPr>
                <w:sz w:val="20"/>
                <w:szCs w:val="20"/>
              </w:rPr>
              <w:t xml:space="preserve"> in the banking category</w:t>
            </w:r>
            <w:r w:rsidR="002727FF" w:rsidRPr="00DE4427">
              <w:rPr>
                <w:sz w:val="20"/>
                <w:szCs w:val="20"/>
              </w:rPr>
              <w:t xml:space="preserve"> </w:t>
            </w:r>
            <w:r w:rsidR="00DE3D03" w:rsidRPr="00DE4427">
              <w:rPr>
                <w:sz w:val="20"/>
                <w:szCs w:val="20"/>
              </w:rPr>
              <w:t>(KNOWLEDGE – banking)</w:t>
            </w:r>
          </w:p>
        </w:tc>
        <w:tc>
          <w:tcPr>
            <w:tcW w:w="810" w:type="dxa"/>
            <w:vAlign w:val="center"/>
          </w:tcPr>
          <w:p w14:paraId="4957588F" w14:textId="7FA02185" w:rsidR="002011AE" w:rsidRPr="00DE4427" w:rsidRDefault="005D6384" w:rsidP="00EC1D83">
            <w:pPr>
              <w:pStyle w:val="Table"/>
              <w:jc w:val="center"/>
              <w:rPr>
                <w:sz w:val="20"/>
                <w:szCs w:val="20"/>
              </w:rPr>
            </w:pPr>
            <w:r w:rsidRPr="00DE4427">
              <w:rPr>
                <w:sz w:val="20"/>
                <w:szCs w:val="20"/>
              </w:rPr>
              <w:t>1.54</w:t>
            </w:r>
          </w:p>
        </w:tc>
        <w:tc>
          <w:tcPr>
            <w:tcW w:w="1166" w:type="dxa"/>
            <w:vAlign w:val="center"/>
          </w:tcPr>
          <w:p w14:paraId="36ED48C8" w14:textId="68BF67FC" w:rsidR="002011AE" w:rsidRPr="00DE4427" w:rsidRDefault="002011AE">
            <w:pPr>
              <w:pStyle w:val="Table"/>
              <w:jc w:val="center"/>
              <w:rPr>
                <w:rFonts w:eastAsia="SimSun" w:cs="Times New Roman"/>
                <w:sz w:val="20"/>
                <w:szCs w:val="20"/>
              </w:rPr>
            </w:pPr>
            <w:r w:rsidRPr="00DE4427">
              <w:rPr>
                <w:sz w:val="20"/>
                <w:szCs w:val="20"/>
              </w:rPr>
              <w:t>(</w:t>
            </w:r>
            <w:r w:rsidR="005D6384" w:rsidRPr="00DE4427">
              <w:rPr>
                <w:sz w:val="20"/>
                <w:szCs w:val="20"/>
              </w:rPr>
              <w:t>0.9</w:t>
            </w:r>
            <w:r w:rsidRPr="00DE4427">
              <w:rPr>
                <w:sz w:val="20"/>
                <w:szCs w:val="20"/>
              </w:rPr>
              <w:t>5)</w:t>
            </w:r>
          </w:p>
        </w:tc>
      </w:tr>
      <w:tr w:rsidR="002011AE" w14:paraId="03A53DDD" w14:textId="77777777" w:rsidTr="00B33F50">
        <w:trPr>
          <w:trHeight w:val="308"/>
          <w:jc w:val="center"/>
        </w:trPr>
        <w:tc>
          <w:tcPr>
            <w:tcW w:w="6656" w:type="dxa"/>
            <w:vAlign w:val="center"/>
          </w:tcPr>
          <w:p w14:paraId="138477BD" w14:textId="733F8CE0" w:rsidR="002011AE" w:rsidRPr="00DE4427" w:rsidRDefault="000F787E" w:rsidP="00DE3D03">
            <w:pPr>
              <w:pStyle w:val="Table"/>
              <w:jc w:val="left"/>
              <w:rPr>
                <w:rFonts w:eastAsia="SimSun" w:cs="Times New Roman"/>
                <w:sz w:val="20"/>
                <w:szCs w:val="20"/>
              </w:rPr>
            </w:pPr>
            <w:r w:rsidRPr="00DE4427">
              <w:rPr>
                <w:sz w:val="20"/>
                <w:szCs w:val="20"/>
              </w:rPr>
              <w:t>Total n</w:t>
            </w:r>
            <w:r w:rsidR="002011AE" w:rsidRPr="00DE4427">
              <w:rPr>
                <w:sz w:val="20"/>
                <w:szCs w:val="20"/>
              </w:rPr>
              <w:t xml:space="preserve">umber of </w:t>
            </w:r>
            <w:r w:rsidR="00F35040" w:rsidRPr="00DE4427">
              <w:rPr>
                <w:sz w:val="20"/>
                <w:szCs w:val="20"/>
              </w:rPr>
              <w:t>a</w:t>
            </w:r>
            <w:r w:rsidR="002011AE" w:rsidRPr="00DE4427">
              <w:rPr>
                <w:sz w:val="20"/>
                <w:szCs w:val="20"/>
              </w:rPr>
              <w:t>ccounts</w:t>
            </w:r>
            <w:r w:rsidR="00F35040" w:rsidRPr="00DE4427">
              <w:rPr>
                <w:sz w:val="20"/>
                <w:szCs w:val="20"/>
              </w:rPr>
              <w:t xml:space="preserve"> in the investment category</w:t>
            </w:r>
            <w:r w:rsidR="00DE3D03" w:rsidRPr="00DE4427">
              <w:rPr>
                <w:sz w:val="20"/>
                <w:szCs w:val="20"/>
              </w:rPr>
              <w:t xml:space="preserve"> (KNOWLEDGE – investment)</w:t>
            </w:r>
          </w:p>
        </w:tc>
        <w:tc>
          <w:tcPr>
            <w:tcW w:w="810" w:type="dxa"/>
            <w:vAlign w:val="center"/>
          </w:tcPr>
          <w:p w14:paraId="5BF24854" w14:textId="68F58184" w:rsidR="002011AE" w:rsidRPr="00DE4427" w:rsidRDefault="005D6384" w:rsidP="00EC1D83">
            <w:pPr>
              <w:pStyle w:val="Table"/>
              <w:jc w:val="center"/>
              <w:rPr>
                <w:sz w:val="20"/>
                <w:szCs w:val="20"/>
              </w:rPr>
            </w:pPr>
            <w:r w:rsidRPr="00DE4427">
              <w:rPr>
                <w:sz w:val="20"/>
                <w:szCs w:val="20"/>
              </w:rPr>
              <w:t>1.08</w:t>
            </w:r>
          </w:p>
        </w:tc>
        <w:tc>
          <w:tcPr>
            <w:tcW w:w="1166" w:type="dxa"/>
            <w:vAlign w:val="center"/>
          </w:tcPr>
          <w:p w14:paraId="78CDA0F8" w14:textId="32B18543" w:rsidR="002011AE" w:rsidRPr="00DE4427" w:rsidRDefault="005D6384">
            <w:pPr>
              <w:pStyle w:val="Table"/>
              <w:jc w:val="center"/>
              <w:rPr>
                <w:rFonts w:eastAsia="SimSun" w:cs="Times New Roman"/>
                <w:sz w:val="20"/>
                <w:szCs w:val="20"/>
              </w:rPr>
            </w:pPr>
            <w:r w:rsidRPr="00DE4427">
              <w:rPr>
                <w:sz w:val="20"/>
                <w:szCs w:val="20"/>
              </w:rPr>
              <w:t>(0.90</w:t>
            </w:r>
            <w:r w:rsidR="002011AE" w:rsidRPr="00DE4427">
              <w:rPr>
                <w:sz w:val="20"/>
                <w:szCs w:val="20"/>
              </w:rPr>
              <w:t>)</w:t>
            </w:r>
          </w:p>
        </w:tc>
      </w:tr>
      <w:tr w:rsidR="00BF561C" w14:paraId="4C37DA92" w14:textId="77777777" w:rsidTr="00B33F50">
        <w:trPr>
          <w:trHeight w:val="308"/>
          <w:jc w:val="center"/>
        </w:trPr>
        <w:tc>
          <w:tcPr>
            <w:tcW w:w="6656" w:type="dxa"/>
            <w:vAlign w:val="center"/>
          </w:tcPr>
          <w:p w14:paraId="04D2F530" w14:textId="23379D25" w:rsidR="00BF561C" w:rsidRPr="00DE4427" w:rsidRDefault="00BF561C" w:rsidP="00BF561C">
            <w:pPr>
              <w:pStyle w:val="Table"/>
              <w:jc w:val="left"/>
              <w:rPr>
                <w:sz w:val="20"/>
                <w:szCs w:val="20"/>
              </w:rPr>
            </w:pPr>
            <w:r w:rsidRPr="00DE4427">
              <w:rPr>
                <w:sz w:val="20"/>
                <w:szCs w:val="20"/>
              </w:rPr>
              <w:t>More exposures to advertising in 2011 than in 2010 (1=Yes, if spend more hours each week reading newspapers/magazine/TV/radio online and offline, 0=otherwise) (ADVTG)</w:t>
            </w:r>
          </w:p>
        </w:tc>
        <w:tc>
          <w:tcPr>
            <w:tcW w:w="810" w:type="dxa"/>
            <w:vAlign w:val="center"/>
          </w:tcPr>
          <w:p w14:paraId="2C14E95D" w14:textId="2E443343" w:rsidR="00BF561C" w:rsidRPr="00DE4427" w:rsidRDefault="00BF561C" w:rsidP="00BF561C">
            <w:pPr>
              <w:pStyle w:val="Table"/>
              <w:jc w:val="center"/>
              <w:rPr>
                <w:sz w:val="20"/>
                <w:szCs w:val="20"/>
              </w:rPr>
            </w:pPr>
            <w:r w:rsidRPr="00DE4427">
              <w:rPr>
                <w:sz w:val="20"/>
                <w:szCs w:val="20"/>
              </w:rPr>
              <w:t>0.42</w:t>
            </w:r>
          </w:p>
        </w:tc>
        <w:tc>
          <w:tcPr>
            <w:tcW w:w="1166" w:type="dxa"/>
            <w:vAlign w:val="center"/>
          </w:tcPr>
          <w:p w14:paraId="39494DBB" w14:textId="5E70AA06" w:rsidR="00BF561C" w:rsidRPr="00DE4427" w:rsidRDefault="00BF561C" w:rsidP="00BF561C">
            <w:pPr>
              <w:pStyle w:val="Table"/>
              <w:jc w:val="center"/>
              <w:rPr>
                <w:sz w:val="20"/>
                <w:szCs w:val="20"/>
              </w:rPr>
            </w:pPr>
            <w:r w:rsidRPr="00DE4427">
              <w:rPr>
                <w:sz w:val="20"/>
                <w:szCs w:val="20"/>
              </w:rPr>
              <w:t>(0.49)</w:t>
            </w:r>
          </w:p>
        </w:tc>
      </w:tr>
      <w:tr w:rsidR="00BF561C" w14:paraId="58666389" w14:textId="77777777" w:rsidTr="00B33F50">
        <w:trPr>
          <w:trHeight w:val="308"/>
          <w:jc w:val="center"/>
        </w:trPr>
        <w:tc>
          <w:tcPr>
            <w:tcW w:w="6656" w:type="dxa"/>
            <w:vAlign w:val="center"/>
          </w:tcPr>
          <w:p w14:paraId="440B46C7" w14:textId="22983FA7" w:rsidR="00BF561C" w:rsidRPr="00DE4427" w:rsidRDefault="00BF561C" w:rsidP="00BF561C">
            <w:pPr>
              <w:pStyle w:val="Table"/>
              <w:jc w:val="left"/>
              <w:rPr>
                <w:sz w:val="20"/>
                <w:szCs w:val="20"/>
              </w:rPr>
            </w:pPr>
            <w:r w:rsidRPr="00DE4427">
              <w:rPr>
                <w:sz w:val="20"/>
                <w:szCs w:val="20"/>
              </w:rPr>
              <w:t>Having more than $1M with the banking company (1=Yes, 0=otherwise)  (SWITCHING COST – banking)</w:t>
            </w:r>
          </w:p>
        </w:tc>
        <w:tc>
          <w:tcPr>
            <w:tcW w:w="810" w:type="dxa"/>
            <w:vAlign w:val="center"/>
          </w:tcPr>
          <w:p w14:paraId="7FA72538" w14:textId="77777777" w:rsidR="00BF561C" w:rsidRPr="00DE4427" w:rsidRDefault="00BF561C" w:rsidP="00BF561C">
            <w:pPr>
              <w:pStyle w:val="Table"/>
              <w:jc w:val="center"/>
              <w:rPr>
                <w:sz w:val="20"/>
                <w:szCs w:val="20"/>
              </w:rPr>
            </w:pPr>
            <w:r w:rsidRPr="00DE4427">
              <w:rPr>
                <w:sz w:val="20"/>
                <w:szCs w:val="20"/>
              </w:rPr>
              <w:t>0.21</w:t>
            </w:r>
          </w:p>
        </w:tc>
        <w:tc>
          <w:tcPr>
            <w:tcW w:w="1166" w:type="dxa"/>
            <w:vAlign w:val="center"/>
          </w:tcPr>
          <w:p w14:paraId="4A4BC8E2" w14:textId="77777777" w:rsidR="00BF561C" w:rsidRPr="00DE4427" w:rsidRDefault="00BF561C" w:rsidP="00BF561C">
            <w:pPr>
              <w:pStyle w:val="Table"/>
              <w:jc w:val="center"/>
              <w:rPr>
                <w:sz w:val="20"/>
                <w:szCs w:val="20"/>
              </w:rPr>
            </w:pPr>
            <w:r w:rsidRPr="00DE4427">
              <w:rPr>
                <w:sz w:val="20"/>
                <w:szCs w:val="20"/>
              </w:rPr>
              <w:t>(0.41)</w:t>
            </w:r>
          </w:p>
        </w:tc>
      </w:tr>
      <w:tr w:rsidR="00BF561C" w14:paraId="494DDB09" w14:textId="77777777" w:rsidTr="00B33F50">
        <w:trPr>
          <w:trHeight w:val="308"/>
          <w:jc w:val="center"/>
        </w:trPr>
        <w:tc>
          <w:tcPr>
            <w:tcW w:w="6656" w:type="dxa"/>
            <w:vAlign w:val="center"/>
          </w:tcPr>
          <w:p w14:paraId="6B056C03" w14:textId="37685A06" w:rsidR="00BF561C" w:rsidRPr="00DE4427" w:rsidRDefault="00BF561C" w:rsidP="00BF561C">
            <w:pPr>
              <w:pStyle w:val="Table"/>
              <w:jc w:val="left"/>
              <w:rPr>
                <w:rFonts w:eastAsia="SimSun" w:cs="Times New Roman"/>
                <w:sz w:val="20"/>
                <w:szCs w:val="20"/>
              </w:rPr>
            </w:pPr>
            <w:r w:rsidRPr="00DE4427">
              <w:rPr>
                <w:sz w:val="20"/>
                <w:szCs w:val="20"/>
              </w:rPr>
              <w:t>Having more than $1M with the investment company (1=Yes, 0=otherwise)  (SWITCHING COST – investment)</w:t>
            </w:r>
          </w:p>
        </w:tc>
        <w:tc>
          <w:tcPr>
            <w:tcW w:w="810" w:type="dxa"/>
            <w:vAlign w:val="center"/>
          </w:tcPr>
          <w:p w14:paraId="4A0DA8D9" w14:textId="77777777" w:rsidR="00BF561C" w:rsidRPr="00DE4427" w:rsidRDefault="00BF561C" w:rsidP="00BF561C">
            <w:pPr>
              <w:pStyle w:val="Table"/>
              <w:jc w:val="center"/>
              <w:rPr>
                <w:sz w:val="20"/>
                <w:szCs w:val="20"/>
              </w:rPr>
            </w:pPr>
            <w:r w:rsidRPr="00DE4427">
              <w:rPr>
                <w:sz w:val="20"/>
                <w:szCs w:val="20"/>
              </w:rPr>
              <w:t>0.14</w:t>
            </w:r>
          </w:p>
        </w:tc>
        <w:tc>
          <w:tcPr>
            <w:tcW w:w="1166" w:type="dxa"/>
            <w:vAlign w:val="center"/>
          </w:tcPr>
          <w:p w14:paraId="09136D1E" w14:textId="77777777" w:rsidR="00BF561C" w:rsidRPr="00DE4427" w:rsidRDefault="00BF561C" w:rsidP="00BF561C">
            <w:pPr>
              <w:pStyle w:val="Table"/>
              <w:jc w:val="center"/>
              <w:rPr>
                <w:sz w:val="20"/>
                <w:szCs w:val="20"/>
              </w:rPr>
            </w:pPr>
            <w:r w:rsidRPr="00DE4427">
              <w:rPr>
                <w:sz w:val="20"/>
                <w:szCs w:val="20"/>
              </w:rPr>
              <w:t>(0.35)</w:t>
            </w:r>
          </w:p>
        </w:tc>
      </w:tr>
      <w:tr w:rsidR="00BF561C" w14:paraId="479482BC" w14:textId="77777777" w:rsidTr="00B33F50">
        <w:trPr>
          <w:trHeight w:val="308"/>
          <w:jc w:val="center"/>
        </w:trPr>
        <w:tc>
          <w:tcPr>
            <w:tcW w:w="6656" w:type="dxa"/>
            <w:vAlign w:val="center"/>
          </w:tcPr>
          <w:p w14:paraId="5D0E149E" w14:textId="1D22CF92" w:rsidR="00BF561C" w:rsidRPr="00DE4427" w:rsidRDefault="00BF561C" w:rsidP="00BF561C">
            <w:pPr>
              <w:pStyle w:val="Table"/>
              <w:jc w:val="left"/>
              <w:rPr>
                <w:sz w:val="20"/>
                <w:szCs w:val="20"/>
              </w:rPr>
            </w:pPr>
            <w:r w:rsidRPr="00DE4427">
              <w:rPr>
                <w:sz w:val="20"/>
                <w:szCs w:val="20"/>
              </w:rPr>
              <w:t xml:space="preserve">Having a bank account before the investment account (1=Yes, 0=otherwise)  (FIRST CATEGORY – banking) </w:t>
            </w:r>
          </w:p>
        </w:tc>
        <w:tc>
          <w:tcPr>
            <w:tcW w:w="810" w:type="dxa"/>
            <w:vAlign w:val="center"/>
          </w:tcPr>
          <w:p w14:paraId="0039E2C6" w14:textId="632E663E" w:rsidR="00BF561C" w:rsidRPr="00DE4427" w:rsidRDefault="00BF561C" w:rsidP="00BF561C">
            <w:pPr>
              <w:pStyle w:val="Table"/>
              <w:jc w:val="center"/>
              <w:rPr>
                <w:sz w:val="20"/>
                <w:szCs w:val="20"/>
              </w:rPr>
            </w:pPr>
            <w:r w:rsidRPr="00DE4427">
              <w:rPr>
                <w:sz w:val="20"/>
                <w:szCs w:val="20"/>
              </w:rPr>
              <w:t>0.08</w:t>
            </w:r>
          </w:p>
        </w:tc>
        <w:tc>
          <w:tcPr>
            <w:tcW w:w="1166" w:type="dxa"/>
            <w:vAlign w:val="center"/>
          </w:tcPr>
          <w:p w14:paraId="47BD633A" w14:textId="061544A6" w:rsidR="00BF561C" w:rsidRPr="00DE4427" w:rsidRDefault="00BF561C" w:rsidP="00BF561C">
            <w:pPr>
              <w:pStyle w:val="Table"/>
              <w:jc w:val="center"/>
              <w:rPr>
                <w:sz w:val="20"/>
                <w:szCs w:val="20"/>
              </w:rPr>
            </w:pPr>
            <w:r w:rsidRPr="00DE4427">
              <w:rPr>
                <w:sz w:val="20"/>
                <w:szCs w:val="20"/>
              </w:rPr>
              <w:t>(0.28)</w:t>
            </w:r>
          </w:p>
        </w:tc>
      </w:tr>
      <w:tr w:rsidR="00BF561C" w14:paraId="39469748" w14:textId="77777777" w:rsidTr="00B33F50">
        <w:trPr>
          <w:trHeight w:val="308"/>
          <w:jc w:val="center"/>
        </w:trPr>
        <w:tc>
          <w:tcPr>
            <w:tcW w:w="6656" w:type="dxa"/>
            <w:vAlign w:val="center"/>
          </w:tcPr>
          <w:p w14:paraId="529D1D7A" w14:textId="73489DBF" w:rsidR="00BF561C" w:rsidRPr="00DE4427" w:rsidRDefault="00BF561C" w:rsidP="00BF561C">
            <w:pPr>
              <w:pStyle w:val="Table"/>
              <w:jc w:val="left"/>
              <w:rPr>
                <w:sz w:val="20"/>
                <w:szCs w:val="20"/>
              </w:rPr>
            </w:pPr>
            <w:r w:rsidRPr="00DE4427">
              <w:rPr>
                <w:sz w:val="20"/>
                <w:szCs w:val="20"/>
              </w:rPr>
              <w:t>Having an investment account before the banking account (1=Yes, 0=otherwise)  (FIRST CATEGORY – investment)</w:t>
            </w:r>
          </w:p>
        </w:tc>
        <w:tc>
          <w:tcPr>
            <w:tcW w:w="810" w:type="dxa"/>
            <w:vAlign w:val="center"/>
          </w:tcPr>
          <w:p w14:paraId="7080A2FE" w14:textId="77777777" w:rsidR="00BF561C" w:rsidRPr="00DE4427" w:rsidRDefault="00BF561C" w:rsidP="00BF561C">
            <w:pPr>
              <w:pStyle w:val="Table"/>
              <w:jc w:val="center"/>
              <w:rPr>
                <w:sz w:val="20"/>
                <w:szCs w:val="20"/>
              </w:rPr>
            </w:pPr>
            <w:r w:rsidRPr="00DE4427">
              <w:rPr>
                <w:sz w:val="20"/>
                <w:szCs w:val="20"/>
              </w:rPr>
              <w:t>0.06</w:t>
            </w:r>
          </w:p>
        </w:tc>
        <w:tc>
          <w:tcPr>
            <w:tcW w:w="1166" w:type="dxa"/>
            <w:vAlign w:val="center"/>
          </w:tcPr>
          <w:p w14:paraId="11F9DAAB" w14:textId="77777777" w:rsidR="00BF561C" w:rsidRPr="00DE4427" w:rsidRDefault="00BF561C" w:rsidP="00BF561C">
            <w:pPr>
              <w:pStyle w:val="Table"/>
              <w:jc w:val="center"/>
              <w:rPr>
                <w:sz w:val="20"/>
                <w:szCs w:val="20"/>
              </w:rPr>
            </w:pPr>
            <w:r w:rsidRPr="00DE4427">
              <w:rPr>
                <w:sz w:val="20"/>
                <w:szCs w:val="20"/>
              </w:rPr>
              <w:t>(0.24)</w:t>
            </w:r>
          </w:p>
        </w:tc>
      </w:tr>
    </w:tbl>
    <w:p w14:paraId="15BBFED6" w14:textId="77777777" w:rsidR="00E07688" w:rsidRDefault="00E07688" w:rsidP="00BD329B">
      <w:pPr>
        <w:pStyle w:val="Caption"/>
        <w:rPr>
          <w:u w:val="single"/>
        </w:rPr>
      </w:pPr>
      <w:bookmarkStart w:id="14" w:name="_Ref296806534"/>
    </w:p>
    <w:p w14:paraId="682C2464" w14:textId="77777777" w:rsidR="00E07688" w:rsidRDefault="00E07688" w:rsidP="00BD329B">
      <w:pPr>
        <w:pStyle w:val="Caption"/>
        <w:rPr>
          <w:u w:val="single"/>
        </w:rPr>
      </w:pPr>
    </w:p>
    <w:p w14:paraId="4A1C08E0" w14:textId="2332F1B1" w:rsidR="004A34A8" w:rsidRPr="00793F55" w:rsidRDefault="001C259E" w:rsidP="00BD329B">
      <w:pPr>
        <w:pStyle w:val="Caption"/>
      </w:pPr>
      <w:r w:rsidRPr="00793F55">
        <w:t xml:space="preserve">Table </w:t>
      </w:r>
      <w:fldSimple w:instr=" SEQ Table \* ARABIC ">
        <w:r w:rsidR="00DA6AA6">
          <w:rPr>
            <w:noProof/>
          </w:rPr>
          <w:t>3</w:t>
        </w:r>
      </w:fldSimple>
      <w:bookmarkEnd w:id="14"/>
      <w:r w:rsidR="0008614D" w:rsidRPr="00793F55">
        <w:t xml:space="preserve"> Population mean </w:t>
      </w:r>
      <w:r w:rsidRPr="00793F55">
        <w:t>for firm</w:t>
      </w:r>
      <w:r w:rsidR="00234234" w:rsidRPr="00793F55">
        <w:t>-category</w:t>
      </w:r>
      <w:r w:rsidRPr="00793F55">
        <w:t xml:space="preserve"> specific intercepts </w:t>
      </w:r>
      <m:oMath>
        <m:sSub>
          <m:sSubPr>
            <m:ctrlPr>
              <w:rPr>
                <w:rFonts w:ascii="Cambria Math" w:hAnsi="Cambria Math"/>
                <w:i/>
              </w:rPr>
            </m:ctrlPr>
          </m:sSubPr>
          <m:e>
            <m:r>
              <w:rPr>
                <w:rFonts w:ascii="Cambria Math" w:hAnsi="Cambria Math"/>
              </w:rPr>
              <m:t>α</m:t>
            </m:r>
          </m:e>
          <m:sub>
            <m:r>
              <w:rPr>
                <w:rFonts w:ascii="Cambria Math" w:hAnsi="Cambria Math"/>
              </w:rPr>
              <m:t>fc</m:t>
            </m:r>
          </m:sub>
        </m:sSub>
      </m:oMath>
    </w:p>
    <w:tbl>
      <w:tblPr>
        <w:tblW w:w="7099" w:type="dxa"/>
        <w:jc w:val="center"/>
        <w:tblBorders>
          <w:top w:val="single" w:sz="12" w:space="0" w:color="auto"/>
          <w:bottom w:val="single" w:sz="12" w:space="0" w:color="auto"/>
        </w:tblBorders>
        <w:tblLayout w:type="fixed"/>
        <w:tblLook w:val="0000" w:firstRow="0" w:lastRow="0" w:firstColumn="0" w:lastColumn="0" w:noHBand="0" w:noVBand="0"/>
      </w:tblPr>
      <w:tblGrid>
        <w:gridCol w:w="1840"/>
        <w:gridCol w:w="3009"/>
        <w:gridCol w:w="2250"/>
      </w:tblGrid>
      <w:tr w:rsidR="004A34A8" w14:paraId="36C57029" w14:textId="77777777" w:rsidTr="009376DA">
        <w:trPr>
          <w:trHeight w:val="312"/>
          <w:jc w:val="center"/>
        </w:trPr>
        <w:tc>
          <w:tcPr>
            <w:tcW w:w="1840" w:type="dxa"/>
            <w:tcBorders>
              <w:right w:val="single" w:sz="4" w:space="0" w:color="auto"/>
            </w:tcBorders>
            <w:vAlign w:val="center"/>
          </w:tcPr>
          <w:p w14:paraId="7CB44E62" w14:textId="77777777" w:rsidR="004A34A8" w:rsidRDefault="004A34A8" w:rsidP="00BC21D6">
            <w:pPr>
              <w:pStyle w:val="Table"/>
              <w:jc w:val="center"/>
            </w:pPr>
          </w:p>
        </w:tc>
        <w:tc>
          <w:tcPr>
            <w:tcW w:w="3009" w:type="dxa"/>
            <w:tcBorders>
              <w:bottom w:val="single" w:sz="4" w:space="0" w:color="auto"/>
              <w:right w:val="single" w:sz="4" w:space="0" w:color="auto"/>
            </w:tcBorders>
            <w:vAlign w:val="center"/>
          </w:tcPr>
          <w:p w14:paraId="2C301038" w14:textId="77777777" w:rsidR="004A34A8" w:rsidRDefault="004A34A8" w:rsidP="00BC21D6">
            <w:pPr>
              <w:pStyle w:val="Table"/>
              <w:jc w:val="center"/>
            </w:pPr>
            <w:r>
              <w:t>Banking</w:t>
            </w:r>
          </w:p>
        </w:tc>
        <w:tc>
          <w:tcPr>
            <w:tcW w:w="2250" w:type="dxa"/>
            <w:tcBorders>
              <w:top w:val="single" w:sz="12" w:space="0" w:color="auto"/>
              <w:left w:val="single" w:sz="4" w:space="0" w:color="auto"/>
              <w:bottom w:val="single" w:sz="4" w:space="0" w:color="auto"/>
              <w:right w:val="nil"/>
            </w:tcBorders>
            <w:vAlign w:val="center"/>
          </w:tcPr>
          <w:p w14:paraId="4AEB0FAE" w14:textId="77777777" w:rsidR="004A34A8" w:rsidRDefault="004A34A8" w:rsidP="00BC21D6">
            <w:pPr>
              <w:pStyle w:val="Table"/>
              <w:jc w:val="center"/>
            </w:pPr>
            <w:r>
              <w:t>Investment</w:t>
            </w:r>
          </w:p>
        </w:tc>
      </w:tr>
      <w:tr w:rsidR="00123C0D" w14:paraId="1251D4A6" w14:textId="77777777" w:rsidTr="00973653">
        <w:trPr>
          <w:trHeight w:val="306"/>
          <w:jc w:val="center"/>
        </w:trPr>
        <w:tc>
          <w:tcPr>
            <w:tcW w:w="1840" w:type="dxa"/>
            <w:tcBorders>
              <w:top w:val="single" w:sz="4" w:space="0" w:color="auto"/>
              <w:right w:val="single" w:sz="4" w:space="0" w:color="auto"/>
            </w:tcBorders>
            <w:vAlign w:val="bottom"/>
          </w:tcPr>
          <w:p w14:paraId="4F6CA897" w14:textId="77777777" w:rsidR="00123C0D" w:rsidRPr="00234234" w:rsidRDefault="00123C0D" w:rsidP="00974717">
            <w:pPr>
              <w:pStyle w:val="Table"/>
              <w:jc w:val="left"/>
              <w:rPr>
                <w:rFonts w:cs="Times New Roman"/>
                <w:sz w:val="20"/>
                <w:szCs w:val="20"/>
              </w:rPr>
            </w:pPr>
            <w:r>
              <w:rPr>
                <w:rFonts w:cs="Times New Roman"/>
                <w:color w:val="000000"/>
              </w:rPr>
              <w:t>Bank of America</w:t>
            </w:r>
          </w:p>
        </w:tc>
        <w:tc>
          <w:tcPr>
            <w:tcW w:w="3009" w:type="dxa"/>
            <w:tcBorders>
              <w:top w:val="single" w:sz="4" w:space="0" w:color="auto"/>
              <w:left w:val="nil"/>
              <w:bottom w:val="nil"/>
              <w:right w:val="single" w:sz="4" w:space="0" w:color="auto"/>
            </w:tcBorders>
            <w:shd w:val="clear" w:color="auto" w:fill="auto"/>
            <w:vAlign w:val="center"/>
          </w:tcPr>
          <w:p w14:paraId="168C7E94" w14:textId="40CE9E1B" w:rsidR="00123C0D" w:rsidRPr="004A34A8" w:rsidRDefault="00123C0D" w:rsidP="00973653">
            <w:pPr>
              <w:pStyle w:val="Table"/>
              <w:jc w:val="center"/>
              <w:rPr>
                <w:rFonts w:cs="Times New Roman"/>
                <w:sz w:val="20"/>
                <w:szCs w:val="20"/>
              </w:rPr>
            </w:pPr>
            <w:r w:rsidRPr="000F39B5">
              <w:t>0.075</w:t>
            </w:r>
            <w:r w:rsidR="00D81B7D">
              <w:t xml:space="preserve"> (-0.55, 0.71)</w:t>
            </w:r>
          </w:p>
        </w:tc>
        <w:tc>
          <w:tcPr>
            <w:tcW w:w="2250" w:type="dxa"/>
            <w:tcBorders>
              <w:top w:val="single" w:sz="4" w:space="0" w:color="auto"/>
              <w:left w:val="single" w:sz="4" w:space="0" w:color="auto"/>
              <w:bottom w:val="nil"/>
              <w:right w:val="nil"/>
            </w:tcBorders>
            <w:shd w:val="clear" w:color="auto" w:fill="auto"/>
            <w:vAlign w:val="center"/>
          </w:tcPr>
          <w:p w14:paraId="26E09F73" w14:textId="3F01302B" w:rsidR="00123C0D" w:rsidRPr="004A34A8" w:rsidRDefault="00123C0D" w:rsidP="00973653">
            <w:pPr>
              <w:pStyle w:val="Table"/>
              <w:jc w:val="center"/>
              <w:rPr>
                <w:rFonts w:cs="Times New Roman"/>
                <w:sz w:val="20"/>
                <w:szCs w:val="20"/>
              </w:rPr>
            </w:pPr>
            <w:r w:rsidRPr="000F39B5">
              <w:t>-0.739</w:t>
            </w:r>
            <w:r w:rsidR="00D81B7D">
              <w:t xml:space="preserve"> (1-.23, -0.27)</w:t>
            </w:r>
          </w:p>
        </w:tc>
      </w:tr>
      <w:tr w:rsidR="00123C0D" w14:paraId="67FBBC94" w14:textId="77777777" w:rsidTr="00973653">
        <w:trPr>
          <w:trHeight w:val="306"/>
          <w:jc w:val="center"/>
        </w:trPr>
        <w:tc>
          <w:tcPr>
            <w:tcW w:w="1840" w:type="dxa"/>
            <w:tcBorders>
              <w:top w:val="single" w:sz="4" w:space="0" w:color="auto"/>
              <w:bottom w:val="nil"/>
              <w:right w:val="single" w:sz="4" w:space="0" w:color="auto"/>
            </w:tcBorders>
            <w:vAlign w:val="bottom"/>
          </w:tcPr>
          <w:p w14:paraId="4A6DAD3D" w14:textId="77777777" w:rsidR="00123C0D" w:rsidRPr="00234234" w:rsidRDefault="00123C0D" w:rsidP="00974717">
            <w:pPr>
              <w:pStyle w:val="Table"/>
              <w:jc w:val="left"/>
              <w:rPr>
                <w:rFonts w:cs="Times New Roman"/>
                <w:sz w:val="20"/>
                <w:szCs w:val="20"/>
              </w:rPr>
            </w:pPr>
            <w:r w:rsidRPr="00234234">
              <w:rPr>
                <w:rFonts w:cs="Times New Roman"/>
                <w:color w:val="000000"/>
              </w:rPr>
              <w:t>Chase</w:t>
            </w:r>
          </w:p>
        </w:tc>
        <w:tc>
          <w:tcPr>
            <w:tcW w:w="3009" w:type="dxa"/>
            <w:tcBorders>
              <w:top w:val="single" w:sz="4" w:space="0" w:color="auto"/>
              <w:left w:val="nil"/>
              <w:bottom w:val="nil"/>
              <w:right w:val="single" w:sz="4" w:space="0" w:color="auto"/>
            </w:tcBorders>
            <w:shd w:val="clear" w:color="auto" w:fill="auto"/>
            <w:vAlign w:val="center"/>
          </w:tcPr>
          <w:p w14:paraId="6C9BC77D" w14:textId="2BA1C128" w:rsidR="00123C0D" w:rsidRPr="004A34A8" w:rsidRDefault="00123C0D" w:rsidP="00973653">
            <w:pPr>
              <w:pStyle w:val="Table"/>
              <w:jc w:val="center"/>
              <w:rPr>
                <w:rFonts w:cs="Times New Roman"/>
                <w:sz w:val="20"/>
                <w:szCs w:val="20"/>
              </w:rPr>
            </w:pPr>
            <w:r w:rsidRPr="000F39B5">
              <w:t>-0.072</w:t>
            </w:r>
            <w:r w:rsidR="00D81B7D">
              <w:t xml:space="preserve"> (-0.69, 0.57)</w:t>
            </w:r>
          </w:p>
        </w:tc>
        <w:tc>
          <w:tcPr>
            <w:tcW w:w="2250" w:type="dxa"/>
            <w:tcBorders>
              <w:top w:val="single" w:sz="4" w:space="0" w:color="auto"/>
              <w:left w:val="single" w:sz="4" w:space="0" w:color="auto"/>
              <w:bottom w:val="nil"/>
              <w:right w:val="nil"/>
            </w:tcBorders>
            <w:shd w:val="clear" w:color="auto" w:fill="auto"/>
            <w:vAlign w:val="center"/>
          </w:tcPr>
          <w:p w14:paraId="2F40E772" w14:textId="777BE5B5" w:rsidR="00123C0D" w:rsidRPr="004A34A8" w:rsidRDefault="00123C0D" w:rsidP="00973653">
            <w:pPr>
              <w:pStyle w:val="Table"/>
              <w:jc w:val="center"/>
              <w:rPr>
                <w:rFonts w:cs="Times New Roman"/>
                <w:sz w:val="20"/>
                <w:szCs w:val="20"/>
              </w:rPr>
            </w:pPr>
            <w:r w:rsidRPr="000F39B5">
              <w:t>-1.235</w:t>
            </w:r>
            <w:r w:rsidR="00D81B7D">
              <w:t xml:space="preserve"> (-1.91, -0.56)</w:t>
            </w:r>
          </w:p>
        </w:tc>
      </w:tr>
      <w:tr w:rsidR="00123C0D" w14:paraId="66CD774E" w14:textId="77777777" w:rsidTr="00973653">
        <w:trPr>
          <w:trHeight w:val="306"/>
          <w:jc w:val="center"/>
        </w:trPr>
        <w:tc>
          <w:tcPr>
            <w:tcW w:w="1840" w:type="dxa"/>
            <w:tcBorders>
              <w:top w:val="single" w:sz="4" w:space="0" w:color="auto"/>
              <w:right w:val="single" w:sz="4" w:space="0" w:color="auto"/>
            </w:tcBorders>
            <w:vAlign w:val="bottom"/>
          </w:tcPr>
          <w:p w14:paraId="70CB404D" w14:textId="77777777" w:rsidR="00123C0D" w:rsidRPr="00234234" w:rsidRDefault="00123C0D" w:rsidP="00974717">
            <w:pPr>
              <w:pStyle w:val="Table"/>
              <w:jc w:val="left"/>
              <w:rPr>
                <w:rFonts w:cs="Times New Roman"/>
                <w:sz w:val="20"/>
                <w:szCs w:val="20"/>
              </w:rPr>
            </w:pPr>
            <w:r w:rsidRPr="00234234">
              <w:rPr>
                <w:rFonts w:cs="Times New Roman"/>
                <w:color w:val="000000"/>
              </w:rPr>
              <w:t>Citi</w:t>
            </w:r>
          </w:p>
        </w:tc>
        <w:tc>
          <w:tcPr>
            <w:tcW w:w="3009" w:type="dxa"/>
            <w:tcBorders>
              <w:top w:val="single" w:sz="4" w:space="0" w:color="auto"/>
              <w:left w:val="nil"/>
              <w:bottom w:val="nil"/>
              <w:right w:val="single" w:sz="4" w:space="0" w:color="auto"/>
            </w:tcBorders>
            <w:shd w:val="clear" w:color="auto" w:fill="auto"/>
            <w:vAlign w:val="center"/>
          </w:tcPr>
          <w:p w14:paraId="406ECB4D" w14:textId="67284A36" w:rsidR="00123C0D" w:rsidRPr="004A34A8" w:rsidRDefault="00123C0D" w:rsidP="00973653">
            <w:pPr>
              <w:pStyle w:val="Table"/>
              <w:jc w:val="center"/>
              <w:rPr>
                <w:rFonts w:cs="Times New Roman"/>
                <w:sz w:val="20"/>
                <w:szCs w:val="20"/>
              </w:rPr>
            </w:pPr>
            <w:r w:rsidRPr="000F39B5">
              <w:t>-1.231</w:t>
            </w:r>
            <w:r w:rsidR="00D81B7D">
              <w:t xml:space="preserve"> (-2.58, 0.08)</w:t>
            </w:r>
          </w:p>
        </w:tc>
        <w:tc>
          <w:tcPr>
            <w:tcW w:w="2250" w:type="dxa"/>
            <w:tcBorders>
              <w:top w:val="single" w:sz="4" w:space="0" w:color="auto"/>
              <w:left w:val="single" w:sz="4" w:space="0" w:color="auto"/>
              <w:bottom w:val="nil"/>
              <w:right w:val="nil"/>
            </w:tcBorders>
            <w:shd w:val="clear" w:color="auto" w:fill="auto"/>
            <w:vAlign w:val="center"/>
          </w:tcPr>
          <w:p w14:paraId="757A103A" w14:textId="0FB3E465" w:rsidR="00123C0D" w:rsidRPr="004A34A8" w:rsidRDefault="00123C0D" w:rsidP="00973653">
            <w:pPr>
              <w:pStyle w:val="Table"/>
              <w:jc w:val="center"/>
              <w:rPr>
                <w:rFonts w:cs="Times New Roman"/>
                <w:sz w:val="20"/>
                <w:szCs w:val="20"/>
              </w:rPr>
            </w:pPr>
            <w:r w:rsidRPr="000F39B5">
              <w:t>-0.787</w:t>
            </w:r>
            <w:r w:rsidR="00D81B7D">
              <w:t xml:space="preserve"> (-1.86, 0.28)</w:t>
            </w:r>
          </w:p>
        </w:tc>
      </w:tr>
      <w:tr w:rsidR="00123C0D" w14:paraId="645A9DFE" w14:textId="77777777" w:rsidTr="00973653">
        <w:trPr>
          <w:trHeight w:val="306"/>
          <w:jc w:val="center"/>
        </w:trPr>
        <w:tc>
          <w:tcPr>
            <w:tcW w:w="1840" w:type="dxa"/>
            <w:tcBorders>
              <w:top w:val="single" w:sz="4" w:space="0" w:color="auto"/>
              <w:bottom w:val="nil"/>
              <w:right w:val="single" w:sz="4" w:space="0" w:color="auto"/>
            </w:tcBorders>
            <w:vAlign w:val="bottom"/>
          </w:tcPr>
          <w:p w14:paraId="64CDCAC5" w14:textId="77777777" w:rsidR="00123C0D" w:rsidRPr="00234234" w:rsidRDefault="00123C0D" w:rsidP="00974717">
            <w:pPr>
              <w:pStyle w:val="Table"/>
              <w:jc w:val="left"/>
              <w:rPr>
                <w:rFonts w:cs="Times New Roman"/>
                <w:sz w:val="20"/>
                <w:szCs w:val="20"/>
              </w:rPr>
            </w:pPr>
            <w:r w:rsidRPr="00234234">
              <w:rPr>
                <w:rFonts w:cs="Times New Roman"/>
                <w:color w:val="000000"/>
              </w:rPr>
              <w:t>Charles Schwab</w:t>
            </w:r>
          </w:p>
        </w:tc>
        <w:tc>
          <w:tcPr>
            <w:tcW w:w="3009" w:type="dxa"/>
            <w:tcBorders>
              <w:top w:val="single" w:sz="4" w:space="0" w:color="auto"/>
              <w:left w:val="nil"/>
              <w:bottom w:val="nil"/>
              <w:right w:val="single" w:sz="4" w:space="0" w:color="auto"/>
            </w:tcBorders>
            <w:shd w:val="clear" w:color="auto" w:fill="auto"/>
            <w:vAlign w:val="center"/>
          </w:tcPr>
          <w:p w14:paraId="45E8D9C2" w14:textId="034DA3F4" w:rsidR="00123C0D" w:rsidRPr="004A34A8" w:rsidRDefault="00123C0D" w:rsidP="00973653">
            <w:pPr>
              <w:pStyle w:val="Table"/>
              <w:jc w:val="center"/>
              <w:rPr>
                <w:rFonts w:cs="Times New Roman"/>
                <w:color w:val="000000"/>
                <w:sz w:val="20"/>
                <w:szCs w:val="20"/>
              </w:rPr>
            </w:pPr>
            <w:r w:rsidRPr="000F39B5">
              <w:t>-1.871</w:t>
            </w:r>
            <w:r w:rsidR="00D81B7D">
              <w:t xml:space="preserve"> (-3.59, -0.29)</w:t>
            </w:r>
          </w:p>
        </w:tc>
        <w:tc>
          <w:tcPr>
            <w:tcW w:w="2250" w:type="dxa"/>
            <w:tcBorders>
              <w:top w:val="single" w:sz="4" w:space="0" w:color="auto"/>
              <w:left w:val="single" w:sz="4" w:space="0" w:color="auto"/>
              <w:bottom w:val="nil"/>
              <w:right w:val="nil"/>
            </w:tcBorders>
            <w:shd w:val="clear" w:color="auto" w:fill="auto"/>
            <w:vAlign w:val="center"/>
          </w:tcPr>
          <w:p w14:paraId="10F6BA6D" w14:textId="54977007" w:rsidR="00123C0D" w:rsidRPr="004A34A8" w:rsidRDefault="00123C0D" w:rsidP="00973653">
            <w:pPr>
              <w:pStyle w:val="Table"/>
              <w:jc w:val="center"/>
              <w:rPr>
                <w:rFonts w:cs="Times New Roman"/>
                <w:color w:val="000000"/>
                <w:sz w:val="20"/>
                <w:szCs w:val="20"/>
              </w:rPr>
            </w:pPr>
            <w:r w:rsidRPr="000F39B5">
              <w:t>-0.678</w:t>
            </w:r>
            <w:r w:rsidR="00D81B7D">
              <w:t xml:space="preserve"> (-1.21, -0.17)</w:t>
            </w:r>
          </w:p>
        </w:tc>
      </w:tr>
      <w:tr w:rsidR="00123C0D" w14:paraId="6AA0557D" w14:textId="77777777" w:rsidTr="00973653">
        <w:trPr>
          <w:trHeight w:val="306"/>
          <w:jc w:val="center"/>
        </w:trPr>
        <w:tc>
          <w:tcPr>
            <w:tcW w:w="1840" w:type="dxa"/>
            <w:tcBorders>
              <w:top w:val="single" w:sz="4" w:space="0" w:color="auto"/>
              <w:bottom w:val="nil"/>
              <w:right w:val="single" w:sz="4" w:space="0" w:color="auto"/>
            </w:tcBorders>
            <w:vAlign w:val="bottom"/>
          </w:tcPr>
          <w:p w14:paraId="109DAAF3" w14:textId="77777777" w:rsidR="00123C0D" w:rsidRPr="00234234" w:rsidRDefault="00123C0D" w:rsidP="00974717">
            <w:pPr>
              <w:pStyle w:val="Table"/>
              <w:jc w:val="left"/>
              <w:rPr>
                <w:rFonts w:cs="Times New Roman"/>
                <w:sz w:val="20"/>
                <w:szCs w:val="20"/>
              </w:rPr>
            </w:pPr>
            <w:r>
              <w:rPr>
                <w:rFonts w:cs="Times New Roman"/>
                <w:color w:val="000000"/>
              </w:rPr>
              <w:t>ING</w:t>
            </w:r>
          </w:p>
        </w:tc>
        <w:tc>
          <w:tcPr>
            <w:tcW w:w="3009" w:type="dxa"/>
            <w:tcBorders>
              <w:top w:val="single" w:sz="4" w:space="0" w:color="auto"/>
              <w:left w:val="nil"/>
              <w:bottom w:val="nil"/>
              <w:right w:val="single" w:sz="4" w:space="0" w:color="auto"/>
            </w:tcBorders>
            <w:shd w:val="clear" w:color="auto" w:fill="auto"/>
            <w:vAlign w:val="center"/>
          </w:tcPr>
          <w:p w14:paraId="0BB3E321" w14:textId="50B192B6" w:rsidR="00123C0D" w:rsidRPr="004A34A8" w:rsidRDefault="00123C0D" w:rsidP="00973653">
            <w:pPr>
              <w:pStyle w:val="Table"/>
              <w:jc w:val="center"/>
              <w:rPr>
                <w:rFonts w:cs="Times New Roman"/>
                <w:color w:val="000000"/>
                <w:sz w:val="20"/>
                <w:szCs w:val="20"/>
              </w:rPr>
            </w:pPr>
            <w:r w:rsidRPr="000F39B5">
              <w:t>-3.563</w:t>
            </w:r>
            <w:r w:rsidR="00D81B7D">
              <w:t xml:space="preserve"> (-4.93, -2.32)</w:t>
            </w:r>
          </w:p>
        </w:tc>
        <w:tc>
          <w:tcPr>
            <w:tcW w:w="2250" w:type="dxa"/>
            <w:tcBorders>
              <w:top w:val="single" w:sz="4" w:space="0" w:color="auto"/>
              <w:left w:val="single" w:sz="4" w:space="0" w:color="auto"/>
              <w:bottom w:val="nil"/>
              <w:right w:val="nil"/>
            </w:tcBorders>
            <w:shd w:val="clear" w:color="auto" w:fill="auto"/>
            <w:vAlign w:val="center"/>
          </w:tcPr>
          <w:p w14:paraId="0F1D1AF8" w14:textId="47563C9D" w:rsidR="00123C0D" w:rsidRPr="004A34A8" w:rsidRDefault="00123C0D" w:rsidP="00973653">
            <w:pPr>
              <w:pStyle w:val="Table"/>
              <w:jc w:val="center"/>
              <w:rPr>
                <w:rFonts w:cs="Times New Roman"/>
                <w:color w:val="000000"/>
                <w:sz w:val="20"/>
                <w:szCs w:val="20"/>
              </w:rPr>
            </w:pPr>
            <w:r w:rsidRPr="000F39B5">
              <w:t>-1.047</w:t>
            </w:r>
            <w:r w:rsidR="00D81B7D">
              <w:t xml:space="preserve"> (-1.69, -0.41)</w:t>
            </w:r>
          </w:p>
        </w:tc>
      </w:tr>
      <w:tr w:rsidR="00123C0D" w14:paraId="1C6CE947" w14:textId="77777777" w:rsidTr="00973653">
        <w:trPr>
          <w:trHeight w:val="306"/>
          <w:jc w:val="center"/>
        </w:trPr>
        <w:tc>
          <w:tcPr>
            <w:tcW w:w="1840" w:type="dxa"/>
            <w:tcBorders>
              <w:top w:val="single" w:sz="4" w:space="0" w:color="auto"/>
              <w:bottom w:val="nil"/>
              <w:right w:val="single" w:sz="4" w:space="0" w:color="auto"/>
            </w:tcBorders>
            <w:vAlign w:val="bottom"/>
          </w:tcPr>
          <w:p w14:paraId="4CFF7CC7" w14:textId="77777777" w:rsidR="00123C0D" w:rsidRPr="00234234" w:rsidRDefault="00123C0D" w:rsidP="00974717">
            <w:pPr>
              <w:pStyle w:val="Table"/>
              <w:jc w:val="left"/>
              <w:rPr>
                <w:rFonts w:cs="Times New Roman"/>
                <w:sz w:val="20"/>
                <w:szCs w:val="20"/>
              </w:rPr>
            </w:pPr>
            <w:r w:rsidRPr="00234234">
              <w:rPr>
                <w:rFonts w:cs="Times New Roman"/>
                <w:color w:val="000000"/>
              </w:rPr>
              <w:t>TD Bank</w:t>
            </w:r>
          </w:p>
        </w:tc>
        <w:tc>
          <w:tcPr>
            <w:tcW w:w="3009" w:type="dxa"/>
            <w:tcBorders>
              <w:top w:val="single" w:sz="4" w:space="0" w:color="auto"/>
              <w:left w:val="nil"/>
              <w:bottom w:val="nil"/>
              <w:right w:val="single" w:sz="4" w:space="0" w:color="auto"/>
            </w:tcBorders>
            <w:shd w:val="clear" w:color="auto" w:fill="auto"/>
            <w:vAlign w:val="center"/>
          </w:tcPr>
          <w:p w14:paraId="0062B9B6" w14:textId="52602D79" w:rsidR="00123C0D" w:rsidRPr="004A34A8" w:rsidRDefault="00123C0D" w:rsidP="00973653">
            <w:pPr>
              <w:pStyle w:val="Table"/>
              <w:jc w:val="center"/>
              <w:rPr>
                <w:rFonts w:cs="Times New Roman"/>
                <w:sz w:val="20"/>
                <w:szCs w:val="20"/>
              </w:rPr>
            </w:pPr>
            <w:r w:rsidRPr="000F39B5">
              <w:t>-0.463</w:t>
            </w:r>
            <w:r w:rsidR="00D81B7D">
              <w:t xml:space="preserve"> (-1.88, 0.98)</w:t>
            </w:r>
          </w:p>
        </w:tc>
        <w:tc>
          <w:tcPr>
            <w:tcW w:w="2250" w:type="dxa"/>
            <w:tcBorders>
              <w:top w:val="single" w:sz="4" w:space="0" w:color="auto"/>
              <w:left w:val="single" w:sz="4" w:space="0" w:color="auto"/>
              <w:bottom w:val="nil"/>
              <w:right w:val="nil"/>
            </w:tcBorders>
            <w:shd w:val="clear" w:color="auto" w:fill="auto"/>
            <w:vAlign w:val="center"/>
          </w:tcPr>
          <w:p w14:paraId="667B1F4E" w14:textId="4EBD5E03" w:rsidR="00123C0D" w:rsidRPr="004A34A8" w:rsidRDefault="00123C0D" w:rsidP="00973653">
            <w:pPr>
              <w:pStyle w:val="Table"/>
              <w:jc w:val="center"/>
              <w:rPr>
                <w:rFonts w:cs="Times New Roman"/>
                <w:sz w:val="20"/>
                <w:szCs w:val="20"/>
              </w:rPr>
            </w:pPr>
            <w:r w:rsidRPr="000F39B5">
              <w:t>-0.590</w:t>
            </w:r>
            <w:r w:rsidR="00D81B7D">
              <w:t xml:space="preserve"> (-1.11, -0.09)</w:t>
            </w:r>
          </w:p>
        </w:tc>
      </w:tr>
      <w:tr w:rsidR="00123C0D" w14:paraId="65B4CC62" w14:textId="77777777" w:rsidTr="00973653">
        <w:trPr>
          <w:trHeight w:val="306"/>
          <w:jc w:val="center"/>
        </w:trPr>
        <w:tc>
          <w:tcPr>
            <w:tcW w:w="1840" w:type="dxa"/>
            <w:tcBorders>
              <w:top w:val="single" w:sz="4" w:space="0" w:color="auto"/>
              <w:bottom w:val="single" w:sz="4" w:space="0" w:color="auto"/>
              <w:right w:val="single" w:sz="4" w:space="0" w:color="auto"/>
            </w:tcBorders>
            <w:vAlign w:val="bottom"/>
          </w:tcPr>
          <w:p w14:paraId="7CC95C4B" w14:textId="77777777" w:rsidR="00123C0D" w:rsidRPr="00234234" w:rsidRDefault="00123C0D" w:rsidP="00974717">
            <w:pPr>
              <w:pStyle w:val="Table"/>
              <w:jc w:val="left"/>
              <w:rPr>
                <w:rFonts w:cs="Times New Roman"/>
                <w:sz w:val="20"/>
                <w:szCs w:val="20"/>
              </w:rPr>
            </w:pPr>
            <w:r w:rsidRPr="00234234">
              <w:rPr>
                <w:rFonts w:cs="Times New Roman"/>
                <w:color w:val="000000"/>
              </w:rPr>
              <w:t>US Bank</w:t>
            </w:r>
          </w:p>
        </w:tc>
        <w:tc>
          <w:tcPr>
            <w:tcW w:w="3009" w:type="dxa"/>
            <w:tcBorders>
              <w:top w:val="single" w:sz="4" w:space="0" w:color="auto"/>
              <w:left w:val="nil"/>
              <w:bottom w:val="single" w:sz="4" w:space="0" w:color="auto"/>
              <w:right w:val="single" w:sz="4" w:space="0" w:color="auto"/>
            </w:tcBorders>
            <w:shd w:val="clear" w:color="auto" w:fill="auto"/>
            <w:vAlign w:val="center"/>
          </w:tcPr>
          <w:p w14:paraId="53E6B37D" w14:textId="51CC77E0" w:rsidR="00123C0D" w:rsidRPr="004A34A8" w:rsidRDefault="00123C0D" w:rsidP="00973653">
            <w:pPr>
              <w:pStyle w:val="Table"/>
              <w:jc w:val="center"/>
              <w:rPr>
                <w:rFonts w:cs="Times New Roman"/>
                <w:sz w:val="20"/>
                <w:szCs w:val="20"/>
              </w:rPr>
            </w:pPr>
            <w:r w:rsidRPr="000F39B5">
              <w:t>-0.357</w:t>
            </w:r>
            <w:r w:rsidR="00D81B7D">
              <w:t xml:space="preserve"> (-1.32, 0.61)</w:t>
            </w:r>
          </w:p>
        </w:tc>
        <w:tc>
          <w:tcPr>
            <w:tcW w:w="2250" w:type="dxa"/>
            <w:tcBorders>
              <w:top w:val="single" w:sz="4" w:space="0" w:color="auto"/>
              <w:left w:val="single" w:sz="4" w:space="0" w:color="auto"/>
              <w:bottom w:val="single" w:sz="4" w:space="0" w:color="auto"/>
              <w:right w:val="nil"/>
            </w:tcBorders>
            <w:shd w:val="clear" w:color="auto" w:fill="auto"/>
            <w:vAlign w:val="center"/>
          </w:tcPr>
          <w:p w14:paraId="5480A132" w14:textId="2C1F9D99" w:rsidR="00123C0D" w:rsidRPr="004A34A8" w:rsidRDefault="00123C0D" w:rsidP="00973653">
            <w:pPr>
              <w:pStyle w:val="Table"/>
              <w:jc w:val="center"/>
              <w:rPr>
                <w:rFonts w:cs="Times New Roman"/>
                <w:sz w:val="20"/>
                <w:szCs w:val="20"/>
              </w:rPr>
            </w:pPr>
            <w:r w:rsidRPr="000F39B5">
              <w:t>-1.565</w:t>
            </w:r>
            <w:r w:rsidR="00D81B7D">
              <w:t xml:space="preserve"> (-2.80, -0.46)</w:t>
            </w:r>
          </w:p>
        </w:tc>
      </w:tr>
      <w:tr w:rsidR="00123C0D" w14:paraId="331B574E" w14:textId="77777777" w:rsidTr="00973653">
        <w:trPr>
          <w:trHeight w:val="306"/>
          <w:jc w:val="center"/>
        </w:trPr>
        <w:tc>
          <w:tcPr>
            <w:tcW w:w="1840" w:type="dxa"/>
            <w:tcBorders>
              <w:top w:val="single" w:sz="4" w:space="0" w:color="auto"/>
              <w:bottom w:val="single" w:sz="12" w:space="0" w:color="auto"/>
              <w:right w:val="single" w:sz="4" w:space="0" w:color="auto"/>
            </w:tcBorders>
            <w:vAlign w:val="bottom"/>
          </w:tcPr>
          <w:p w14:paraId="53EFD4B0" w14:textId="77777777" w:rsidR="00123C0D" w:rsidRPr="00234234" w:rsidRDefault="00123C0D" w:rsidP="00974717">
            <w:pPr>
              <w:pStyle w:val="Table"/>
              <w:jc w:val="left"/>
              <w:rPr>
                <w:rFonts w:cs="Times New Roman"/>
                <w:sz w:val="20"/>
                <w:szCs w:val="20"/>
              </w:rPr>
            </w:pPr>
            <w:r w:rsidRPr="00234234">
              <w:rPr>
                <w:rFonts w:cs="Times New Roman"/>
                <w:color w:val="000000"/>
              </w:rPr>
              <w:t>USAA</w:t>
            </w:r>
          </w:p>
        </w:tc>
        <w:tc>
          <w:tcPr>
            <w:tcW w:w="3009" w:type="dxa"/>
            <w:tcBorders>
              <w:top w:val="single" w:sz="4" w:space="0" w:color="auto"/>
              <w:left w:val="nil"/>
              <w:bottom w:val="single" w:sz="12" w:space="0" w:color="auto"/>
              <w:right w:val="single" w:sz="4" w:space="0" w:color="auto"/>
            </w:tcBorders>
            <w:shd w:val="clear" w:color="auto" w:fill="auto"/>
            <w:vAlign w:val="center"/>
          </w:tcPr>
          <w:p w14:paraId="32BF5395" w14:textId="53EDCC86" w:rsidR="00123C0D" w:rsidRPr="004A34A8" w:rsidRDefault="00123C0D" w:rsidP="00973653">
            <w:pPr>
              <w:pStyle w:val="Table"/>
              <w:jc w:val="center"/>
              <w:rPr>
                <w:rFonts w:cs="Times New Roman"/>
                <w:sz w:val="20"/>
                <w:szCs w:val="20"/>
              </w:rPr>
            </w:pPr>
            <w:r w:rsidRPr="000F39B5">
              <w:t>-1.162</w:t>
            </w:r>
            <w:r w:rsidR="00D81B7D">
              <w:t xml:space="preserve"> (-2.14, -0.21)</w:t>
            </w:r>
          </w:p>
        </w:tc>
        <w:tc>
          <w:tcPr>
            <w:tcW w:w="2250" w:type="dxa"/>
            <w:tcBorders>
              <w:top w:val="single" w:sz="4" w:space="0" w:color="auto"/>
              <w:left w:val="single" w:sz="4" w:space="0" w:color="auto"/>
              <w:bottom w:val="single" w:sz="12" w:space="0" w:color="auto"/>
              <w:right w:val="nil"/>
            </w:tcBorders>
            <w:shd w:val="clear" w:color="auto" w:fill="auto"/>
            <w:vAlign w:val="center"/>
          </w:tcPr>
          <w:p w14:paraId="70F64754" w14:textId="64CC17A1" w:rsidR="00123C0D" w:rsidRPr="004A34A8" w:rsidRDefault="00123C0D" w:rsidP="00973653">
            <w:pPr>
              <w:pStyle w:val="Table"/>
              <w:jc w:val="center"/>
              <w:rPr>
                <w:rFonts w:cs="Times New Roman"/>
                <w:sz w:val="20"/>
                <w:szCs w:val="20"/>
              </w:rPr>
            </w:pPr>
            <w:r w:rsidRPr="000F39B5">
              <w:t>-0.838</w:t>
            </w:r>
            <w:r w:rsidR="00D81B7D">
              <w:t xml:space="preserve"> (-1.50, -0.19)</w:t>
            </w:r>
          </w:p>
        </w:tc>
      </w:tr>
    </w:tbl>
    <w:p w14:paraId="4F917A2E" w14:textId="77777777" w:rsidR="001125D2" w:rsidRDefault="001125D2" w:rsidP="00BE0826">
      <w:pPr>
        <w:pStyle w:val="reference"/>
        <w:spacing w:line="276" w:lineRule="auto"/>
        <w:ind w:firstLine="0"/>
        <w:rPr>
          <w:u w:val="single"/>
        </w:rPr>
      </w:pPr>
      <w:bookmarkStart w:id="15" w:name="_Ref286697405"/>
    </w:p>
    <w:p w14:paraId="76E1DB72" w14:textId="77777777" w:rsidR="00793F55" w:rsidRDefault="00793F55" w:rsidP="00BE0826">
      <w:pPr>
        <w:pStyle w:val="reference"/>
        <w:spacing w:line="276" w:lineRule="auto"/>
        <w:ind w:firstLine="0"/>
        <w:rPr>
          <w:u w:val="single"/>
        </w:rPr>
      </w:pPr>
    </w:p>
    <w:p w14:paraId="51ACAD15" w14:textId="77777777" w:rsidR="00793F55" w:rsidRDefault="00793F55" w:rsidP="00BE0826">
      <w:pPr>
        <w:pStyle w:val="reference"/>
        <w:spacing w:line="276" w:lineRule="auto"/>
        <w:ind w:firstLine="0"/>
        <w:rPr>
          <w:u w:val="single"/>
        </w:rPr>
      </w:pPr>
    </w:p>
    <w:p w14:paraId="6878E474" w14:textId="77777777" w:rsidR="00793F55" w:rsidRDefault="00793F55" w:rsidP="00BE0826">
      <w:pPr>
        <w:pStyle w:val="reference"/>
        <w:spacing w:line="276" w:lineRule="auto"/>
        <w:ind w:firstLine="0"/>
        <w:rPr>
          <w:u w:val="single"/>
        </w:rPr>
      </w:pPr>
    </w:p>
    <w:p w14:paraId="7C86B64B" w14:textId="4FE0C78E" w:rsidR="00E20BE7" w:rsidRPr="00793F55" w:rsidRDefault="00DE4427" w:rsidP="00DE4427">
      <w:pPr>
        <w:spacing w:after="200" w:line="276" w:lineRule="auto"/>
        <w:ind w:firstLine="0"/>
        <w:jc w:val="center"/>
      </w:pPr>
      <w:r w:rsidRPr="00793F55">
        <w:lastRenderedPageBreak/>
        <w:t>Ta</w:t>
      </w:r>
      <w:r w:rsidR="001C259E" w:rsidRPr="00793F55">
        <w:t xml:space="preserve">ble </w:t>
      </w:r>
      <w:fldSimple w:instr=" SEQ Table \* ARABIC ">
        <w:r w:rsidR="00DA6AA6">
          <w:rPr>
            <w:noProof/>
          </w:rPr>
          <w:t>4</w:t>
        </w:r>
      </w:fldSimple>
      <w:bookmarkEnd w:id="15"/>
      <w:r w:rsidR="001C259E" w:rsidRPr="00793F55">
        <w:t xml:space="preserve"> Estimation results for the </w:t>
      </w:r>
      <w:r w:rsidR="00490509" w:rsidRPr="00793F55">
        <w:t>main model</w:t>
      </w:r>
      <w:r w:rsidR="003C1384" w:rsidRPr="00793F55">
        <w:t xml:space="preserve"> (Probability of staying with the current firm)</w:t>
      </w:r>
    </w:p>
    <w:p w14:paraId="5E12B092" w14:textId="08EBD04F" w:rsidR="00E704BE" w:rsidRPr="00793F55" w:rsidRDefault="00E704BE" w:rsidP="001F3AD3">
      <w:pPr>
        <w:pStyle w:val="reference"/>
        <w:spacing w:line="276" w:lineRule="auto"/>
        <w:ind w:firstLine="0"/>
        <w:jc w:val="center"/>
      </w:pPr>
      <w:r w:rsidRPr="00793F55">
        <w:t>Estimation results for the parameters of satisfaction and interaction variables</w:t>
      </w:r>
    </w:p>
    <w:tbl>
      <w:tblPr>
        <w:tblW w:w="11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0"/>
        <w:gridCol w:w="989"/>
        <w:gridCol w:w="1259"/>
        <w:gridCol w:w="990"/>
        <w:gridCol w:w="1260"/>
        <w:gridCol w:w="1170"/>
        <w:gridCol w:w="1260"/>
        <w:gridCol w:w="917"/>
        <w:gridCol w:w="1230"/>
      </w:tblGrid>
      <w:tr w:rsidR="006D5D3E" w:rsidRPr="0004448B" w14:paraId="565A2ECF" w14:textId="77777777" w:rsidTr="006D5D3E">
        <w:trPr>
          <w:trHeight w:val="305"/>
          <w:jc w:val="center"/>
        </w:trPr>
        <w:tc>
          <w:tcPr>
            <w:tcW w:w="2060" w:type="dxa"/>
            <w:vMerge w:val="restart"/>
            <w:tcBorders>
              <w:top w:val="single" w:sz="12" w:space="0" w:color="auto"/>
              <w:left w:val="nil"/>
              <w:right w:val="single" w:sz="4" w:space="0" w:color="auto"/>
            </w:tcBorders>
            <w:shd w:val="clear" w:color="auto" w:fill="auto"/>
            <w:vAlign w:val="center"/>
          </w:tcPr>
          <w:p w14:paraId="3E3AB1DA" w14:textId="77777777" w:rsidR="006D5D3E" w:rsidRPr="0004448B" w:rsidRDefault="006D5D3E" w:rsidP="006D5D3E">
            <w:pPr>
              <w:spacing w:line="240" w:lineRule="auto"/>
              <w:ind w:firstLine="0"/>
              <w:jc w:val="center"/>
              <w:rPr>
                <w:rFonts w:eastAsia="Times New Roman" w:cs="Times New Roman"/>
                <w:color w:val="000000"/>
              </w:rPr>
            </w:pPr>
            <w:r>
              <w:rPr>
                <w:rFonts w:eastAsia="Times New Roman" w:cs="Times New Roman"/>
                <w:color w:val="000000"/>
              </w:rPr>
              <w:t>Satisfaction variables</w:t>
            </w:r>
          </w:p>
        </w:tc>
        <w:tc>
          <w:tcPr>
            <w:tcW w:w="2248" w:type="dxa"/>
            <w:gridSpan w:val="2"/>
            <w:vMerge w:val="restart"/>
            <w:tcBorders>
              <w:top w:val="single" w:sz="12" w:space="0" w:color="auto"/>
              <w:left w:val="single" w:sz="4" w:space="0" w:color="auto"/>
              <w:right w:val="double" w:sz="4" w:space="0" w:color="auto"/>
            </w:tcBorders>
            <w:shd w:val="clear" w:color="auto" w:fill="auto"/>
            <w:noWrap/>
            <w:vAlign w:val="center"/>
          </w:tcPr>
          <w:p w14:paraId="6CC5CE10" w14:textId="77777777" w:rsidR="006D5D3E" w:rsidRPr="0004448B" w:rsidRDefault="006D5D3E" w:rsidP="006D5D3E">
            <w:pPr>
              <w:spacing w:line="240" w:lineRule="auto"/>
              <w:ind w:firstLine="0"/>
              <w:jc w:val="center"/>
              <w:rPr>
                <w:rFonts w:cs="Times New Roman"/>
                <w:color w:val="000000"/>
              </w:rPr>
            </w:pPr>
            <w:r>
              <w:rPr>
                <w:rFonts w:cs="Times New Roman"/>
                <w:color w:val="000000"/>
              </w:rPr>
              <w:t>Impact on this service</w:t>
            </w:r>
          </w:p>
        </w:tc>
        <w:tc>
          <w:tcPr>
            <w:tcW w:w="6827" w:type="dxa"/>
            <w:gridSpan w:val="6"/>
            <w:tcBorders>
              <w:top w:val="single" w:sz="12" w:space="0" w:color="auto"/>
              <w:left w:val="double" w:sz="4" w:space="0" w:color="auto"/>
              <w:bottom w:val="single" w:sz="2" w:space="0" w:color="auto"/>
              <w:right w:val="nil"/>
            </w:tcBorders>
            <w:vAlign w:val="center"/>
          </w:tcPr>
          <w:p w14:paraId="7B7F1BCB" w14:textId="77777777" w:rsidR="006D5D3E" w:rsidRDefault="006D5D3E" w:rsidP="006D5D3E">
            <w:pPr>
              <w:spacing w:line="240" w:lineRule="auto"/>
              <w:ind w:firstLine="0"/>
              <w:jc w:val="center"/>
              <w:rPr>
                <w:rFonts w:eastAsia="SimSun" w:cs="Times New Roman"/>
                <w:color w:val="000000"/>
              </w:rPr>
            </w:pPr>
            <w:r>
              <w:rPr>
                <w:rFonts w:cs="Times New Roman"/>
                <w:color w:val="000000"/>
              </w:rPr>
              <w:t xml:space="preserve"> Interactions between Satisfaction and Behavior Variables</w:t>
            </w:r>
          </w:p>
        </w:tc>
      </w:tr>
      <w:tr w:rsidR="006D5D3E" w:rsidRPr="0004448B" w14:paraId="2A4820ED" w14:textId="77777777" w:rsidTr="006D5D3E">
        <w:trPr>
          <w:trHeight w:val="305"/>
          <w:jc w:val="center"/>
        </w:trPr>
        <w:tc>
          <w:tcPr>
            <w:tcW w:w="2060" w:type="dxa"/>
            <w:vMerge/>
            <w:tcBorders>
              <w:left w:val="nil"/>
              <w:right w:val="single" w:sz="4" w:space="0" w:color="auto"/>
            </w:tcBorders>
            <w:shd w:val="clear" w:color="auto" w:fill="auto"/>
            <w:vAlign w:val="center"/>
          </w:tcPr>
          <w:p w14:paraId="5CC2A2F9" w14:textId="77777777" w:rsidR="006D5D3E" w:rsidRPr="0004448B" w:rsidRDefault="006D5D3E" w:rsidP="006D5D3E">
            <w:pPr>
              <w:spacing w:line="240" w:lineRule="auto"/>
              <w:ind w:firstLine="0"/>
              <w:jc w:val="center"/>
              <w:rPr>
                <w:rFonts w:eastAsia="Times New Roman" w:cs="Times New Roman"/>
                <w:color w:val="000000"/>
              </w:rPr>
            </w:pPr>
          </w:p>
        </w:tc>
        <w:tc>
          <w:tcPr>
            <w:tcW w:w="2248" w:type="dxa"/>
            <w:gridSpan w:val="2"/>
            <w:vMerge/>
            <w:tcBorders>
              <w:left w:val="single" w:sz="4" w:space="0" w:color="auto"/>
              <w:bottom w:val="single" w:sz="2" w:space="0" w:color="auto"/>
              <w:right w:val="double" w:sz="4" w:space="0" w:color="auto"/>
            </w:tcBorders>
            <w:shd w:val="clear" w:color="auto" w:fill="auto"/>
            <w:noWrap/>
            <w:vAlign w:val="bottom"/>
          </w:tcPr>
          <w:p w14:paraId="31F31A40" w14:textId="77777777" w:rsidR="006D5D3E" w:rsidRDefault="006D5D3E" w:rsidP="006D5D3E">
            <w:pPr>
              <w:spacing w:line="240" w:lineRule="auto"/>
              <w:ind w:firstLine="0"/>
              <w:jc w:val="center"/>
              <w:rPr>
                <w:rFonts w:cs="Times New Roman"/>
                <w:color w:val="000000"/>
              </w:rPr>
            </w:pPr>
          </w:p>
        </w:tc>
        <w:tc>
          <w:tcPr>
            <w:tcW w:w="2250" w:type="dxa"/>
            <w:gridSpan w:val="2"/>
            <w:tcBorders>
              <w:top w:val="single" w:sz="2" w:space="0" w:color="auto"/>
              <w:left w:val="double" w:sz="4" w:space="0" w:color="auto"/>
              <w:right w:val="single" w:sz="2" w:space="0" w:color="auto"/>
            </w:tcBorders>
            <w:vAlign w:val="center"/>
          </w:tcPr>
          <w:p w14:paraId="5642E363" w14:textId="77777777" w:rsidR="006D5D3E" w:rsidRDefault="006D5D3E" w:rsidP="006D5D3E">
            <w:pPr>
              <w:spacing w:line="240" w:lineRule="auto"/>
              <w:ind w:firstLine="0"/>
              <w:jc w:val="center"/>
              <w:rPr>
                <w:rFonts w:cs="Times New Roman"/>
                <w:color w:val="000000"/>
              </w:rPr>
            </w:pPr>
            <w:r>
              <w:rPr>
                <w:rFonts w:cs="Times New Roman"/>
                <w:color w:val="000000"/>
              </w:rPr>
              <w:t>More exposure to advertising in 2011 than in 2010</w:t>
            </w:r>
          </w:p>
        </w:tc>
        <w:tc>
          <w:tcPr>
            <w:tcW w:w="1170" w:type="dxa"/>
            <w:tcBorders>
              <w:top w:val="single" w:sz="2" w:space="0" w:color="auto"/>
              <w:left w:val="single" w:sz="2" w:space="0" w:color="auto"/>
              <w:right w:val="nil"/>
            </w:tcBorders>
            <w:vAlign w:val="center"/>
          </w:tcPr>
          <w:p w14:paraId="5F1A3A82" w14:textId="77777777" w:rsidR="006D5D3E" w:rsidRDefault="006D5D3E" w:rsidP="006D5D3E">
            <w:pPr>
              <w:spacing w:line="240" w:lineRule="auto"/>
              <w:ind w:firstLine="0"/>
              <w:jc w:val="center"/>
              <w:rPr>
                <w:rFonts w:cs="Times New Roman"/>
                <w:color w:val="000000"/>
              </w:rPr>
            </w:pPr>
            <w:r>
              <w:rPr>
                <w:rFonts w:cs="Times New Roman"/>
                <w:color w:val="000000"/>
              </w:rPr>
              <w:t xml:space="preserve">More than $1M in Banking  </w:t>
            </w:r>
          </w:p>
        </w:tc>
        <w:tc>
          <w:tcPr>
            <w:tcW w:w="1260" w:type="dxa"/>
            <w:tcBorders>
              <w:top w:val="single" w:sz="2" w:space="0" w:color="auto"/>
              <w:left w:val="nil"/>
              <w:right w:val="single" w:sz="2" w:space="0" w:color="auto"/>
            </w:tcBorders>
            <w:vAlign w:val="center"/>
          </w:tcPr>
          <w:p w14:paraId="0C437C80" w14:textId="77777777" w:rsidR="006D5D3E" w:rsidRDefault="006D5D3E" w:rsidP="006D5D3E">
            <w:pPr>
              <w:spacing w:line="240" w:lineRule="auto"/>
              <w:ind w:firstLine="0"/>
              <w:jc w:val="center"/>
              <w:rPr>
                <w:rFonts w:cs="Times New Roman"/>
                <w:color w:val="000000"/>
              </w:rPr>
            </w:pPr>
            <w:r>
              <w:rPr>
                <w:rFonts w:cs="Times New Roman"/>
                <w:color w:val="000000"/>
              </w:rPr>
              <w:t>More than $1M in Investment</w:t>
            </w:r>
          </w:p>
        </w:tc>
        <w:tc>
          <w:tcPr>
            <w:tcW w:w="917" w:type="dxa"/>
            <w:tcBorders>
              <w:top w:val="single" w:sz="2" w:space="0" w:color="auto"/>
              <w:left w:val="single" w:sz="2" w:space="0" w:color="auto"/>
              <w:right w:val="nil"/>
            </w:tcBorders>
            <w:vAlign w:val="center"/>
          </w:tcPr>
          <w:p w14:paraId="140BE3DD" w14:textId="77777777" w:rsidR="006D5D3E" w:rsidRDefault="006D5D3E" w:rsidP="006D5D3E">
            <w:pPr>
              <w:spacing w:line="240" w:lineRule="auto"/>
              <w:ind w:firstLine="0"/>
              <w:jc w:val="center"/>
              <w:rPr>
                <w:rFonts w:cs="Times New Roman"/>
                <w:color w:val="000000"/>
              </w:rPr>
            </w:pPr>
            <w:r>
              <w:rPr>
                <w:rFonts w:cs="Times New Roman"/>
                <w:color w:val="000000"/>
              </w:rPr>
              <w:t>Bank account first</w:t>
            </w:r>
          </w:p>
        </w:tc>
        <w:tc>
          <w:tcPr>
            <w:tcW w:w="1230" w:type="dxa"/>
            <w:tcBorders>
              <w:top w:val="single" w:sz="2" w:space="0" w:color="auto"/>
              <w:left w:val="nil"/>
              <w:right w:val="nil"/>
            </w:tcBorders>
            <w:vAlign w:val="center"/>
          </w:tcPr>
          <w:p w14:paraId="273152F4" w14:textId="77777777" w:rsidR="006D5D3E" w:rsidRDefault="006D5D3E" w:rsidP="006D5D3E">
            <w:pPr>
              <w:spacing w:line="240" w:lineRule="auto"/>
              <w:ind w:firstLine="0"/>
              <w:jc w:val="center"/>
              <w:rPr>
                <w:rFonts w:cs="Times New Roman"/>
                <w:color w:val="000000"/>
              </w:rPr>
            </w:pPr>
            <w:r>
              <w:rPr>
                <w:rFonts w:cs="Times New Roman"/>
                <w:color w:val="000000"/>
              </w:rPr>
              <w:t>Investment account first</w:t>
            </w:r>
          </w:p>
        </w:tc>
      </w:tr>
      <w:tr w:rsidR="006D5D3E" w:rsidRPr="0004448B" w14:paraId="06DF73C6" w14:textId="77777777" w:rsidTr="006D5D3E">
        <w:trPr>
          <w:trHeight w:val="305"/>
          <w:jc w:val="center"/>
        </w:trPr>
        <w:tc>
          <w:tcPr>
            <w:tcW w:w="2060" w:type="dxa"/>
            <w:vMerge/>
            <w:tcBorders>
              <w:left w:val="nil"/>
              <w:right w:val="single" w:sz="4" w:space="0" w:color="auto"/>
            </w:tcBorders>
            <w:shd w:val="clear" w:color="auto" w:fill="auto"/>
            <w:vAlign w:val="center"/>
          </w:tcPr>
          <w:p w14:paraId="2C23E61C" w14:textId="77777777" w:rsidR="006D5D3E" w:rsidRPr="0004448B" w:rsidRDefault="006D5D3E" w:rsidP="006D5D3E">
            <w:pPr>
              <w:spacing w:line="240" w:lineRule="auto"/>
              <w:ind w:firstLine="0"/>
              <w:jc w:val="center"/>
              <w:rPr>
                <w:rFonts w:eastAsia="Times New Roman" w:cs="Times New Roman"/>
                <w:color w:val="000000"/>
              </w:rPr>
            </w:pPr>
          </w:p>
        </w:tc>
        <w:tc>
          <w:tcPr>
            <w:tcW w:w="989" w:type="dxa"/>
            <w:tcBorders>
              <w:top w:val="single" w:sz="2" w:space="0" w:color="auto"/>
              <w:left w:val="single" w:sz="4" w:space="0" w:color="auto"/>
              <w:bottom w:val="single" w:sz="2" w:space="0" w:color="auto"/>
              <w:right w:val="nil"/>
            </w:tcBorders>
            <w:shd w:val="clear" w:color="auto" w:fill="auto"/>
            <w:noWrap/>
            <w:vAlign w:val="bottom"/>
          </w:tcPr>
          <w:p w14:paraId="783F9AFB" w14:textId="77777777" w:rsidR="006D5D3E" w:rsidRDefault="006D5D3E" w:rsidP="006D5D3E">
            <w:pPr>
              <w:spacing w:line="240" w:lineRule="auto"/>
              <w:ind w:firstLine="0"/>
              <w:jc w:val="center"/>
              <w:rPr>
                <w:rFonts w:cs="Times New Roman"/>
                <w:color w:val="000000"/>
              </w:rPr>
            </w:pPr>
          </w:p>
        </w:tc>
        <w:tc>
          <w:tcPr>
            <w:tcW w:w="1259" w:type="dxa"/>
            <w:tcBorders>
              <w:top w:val="single" w:sz="2" w:space="0" w:color="auto"/>
              <w:left w:val="nil"/>
              <w:bottom w:val="single" w:sz="2" w:space="0" w:color="auto"/>
              <w:right w:val="double" w:sz="4" w:space="0" w:color="auto"/>
            </w:tcBorders>
            <w:shd w:val="clear" w:color="auto" w:fill="auto"/>
            <w:noWrap/>
            <w:vAlign w:val="bottom"/>
          </w:tcPr>
          <w:p w14:paraId="3B299515" w14:textId="77777777" w:rsidR="006D5D3E" w:rsidRDefault="006D5D3E" w:rsidP="006D5D3E">
            <w:pPr>
              <w:spacing w:line="240" w:lineRule="auto"/>
              <w:ind w:firstLine="0"/>
              <w:jc w:val="center"/>
              <w:rPr>
                <w:rFonts w:cs="Times New Roman"/>
                <w:color w:val="000000"/>
              </w:rPr>
            </w:pPr>
          </w:p>
        </w:tc>
        <w:tc>
          <w:tcPr>
            <w:tcW w:w="2250" w:type="dxa"/>
            <w:gridSpan w:val="2"/>
            <w:tcBorders>
              <w:top w:val="single" w:sz="2" w:space="0" w:color="auto"/>
              <w:left w:val="double" w:sz="4" w:space="0" w:color="auto"/>
              <w:right w:val="single" w:sz="2" w:space="0" w:color="auto"/>
            </w:tcBorders>
            <w:vAlign w:val="bottom"/>
          </w:tcPr>
          <w:p w14:paraId="454910E2" w14:textId="77777777" w:rsidR="006D5D3E" w:rsidRDefault="006D5D3E" w:rsidP="006D5D3E">
            <w:pPr>
              <w:spacing w:line="240" w:lineRule="auto"/>
              <w:ind w:firstLine="0"/>
              <w:jc w:val="center"/>
              <w:rPr>
                <w:rFonts w:cs="Times New Roman"/>
                <w:color w:val="000000"/>
              </w:rPr>
            </w:pPr>
            <w:r>
              <w:rPr>
                <w:rFonts w:cs="Times New Roman"/>
                <w:color w:val="000000"/>
              </w:rPr>
              <w:t>ADVTG</w:t>
            </w:r>
          </w:p>
        </w:tc>
        <w:tc>
          <w:tcPr>
            <w:tcW w:w="2430" w:type="dxa"/>
            <w:gridSpan w:val="2"/>
            <w:tcBorders>
              <w:top w:val="single" w:sz="2" w:space="0" w:color="auto"/>
              <w:left w:val="single" w:sz="2" w:space="0" w:color="auto"/>
              <w:right w:val="single" w:sz="2" w:space="0" w:color="auto"/>
            </w:tcBorders>
            <w:vAlign w:val="bottom"/>
          </w:tcPr>
          <w:p w14:paraId="1F19882B" w14:textId="77777777" w:rsidR="006D5D3E" w:rsidRDefault="006D5D3E" w:rsidP="006D5D3E">
            <w:pPr>
              <w:spacing w:line="240" w:lineRule="auto"/>
              <w:ind w:firstLine="0"/>
              <w:jc w:val="center"/>
              <w:rPr>
                <w:rFonts w:cs="Times New Roman"/>
                <w:color w:val="000000"/>
              </w:rPr>
            </w:pPr>
            <w:r>
              <w:rPr>
                <w:rFonts w:cs="Times New Roman"/>
                <w:color w:val="000000"/>
              </w:rPr>
              <w:t>SWITCHING COST</w:t>
            </w:r>
          </w:p>
        </w:tc>
        <w:tc>
          <w:tcPr>
            <w:tcW w:w="2147" w:type="dxa"/>
            <w:gridSpan w:val="2"/>
            <w:tcBorders>
              <w:top w:val="single" w:sz="2" w:space="0" w:color="auto"/>
              <w:left w:val="single" w:sz="2" w:space="0" w:color="auto"/>
              <w:right w:val="nil"/>
            </w:tcBorders>
            <w:vAlign w:val="bottom"/>
          </w:tcPr>
          <w:p w14:paraId="318999D6" w14:textId="77777777" w:rsidR="006D5D3E" w:rsidRDefault="006D5D3E" w:rsidP="006D5D3E">
            <w:pPr>
              <w:spacing w:line="240" w:lineRule="auto"/>
              <w:ind w:firstLine="0"/>
              <w:jc w:val="center"/>
              <w:rPr>
                <w:rFonts w:cs="Times New Roman"/>
                <w:color w:val="000000"/>
              </w:rPr>
            </w:pPr>
            <w:r>
              <w:rPr>
                <w:rFonts w:cs="Times New Roman"/>
                <w:color w:val="000000"/>
              </w:rPr>
              <w:t>FIRST CATEGORY</w:t>
            </w:r>
          </w:p>
        </w:tc>
      </w:tr>
      <w:tr w:rsidR="006D5D3E" w:rsidRPr="0004448B" w14:paraId="7C9CC30D" w14:textId="77777777" w:rsidTr="006D5D3E">
        <w:trPr>
          <w:trHeight w:val="305"/>
          <w:jc w:val="center"/>
        </w:trPr>
        <w:tc>
          <w:tcPr>
            <w:tcW w:w="2060" w:type="dxa"/>
            <w:vMerge/>
            <w:tcBorders>
              <w:left w:val="nil"/>
              <w:right w:val="single" w:sz="4" w:space="0" w:color="auto"/>
            </w:tcBorders>
            <w:shd w:val="clear" w:color="auto" w:fill="auto"/>
            <w:vAlign w:val="center"/>
          </w:tcPr>
          <w:p w14:paraId="45691BEA" w14:textId="77777777" w:rsidR="006D5D3E" w:rsidRPr="0004448B" w:rsidRDefault="006D5D3E" w:rsidP="006D5D3E">
            <w:pPr>
              <w:spacing w:line="240" w:lineRule="auto"/>
              <w:ind w:firstLine="0"/>
              <w:jc w:val="center"/>
              <w:rPr>
                <w:rFonts w:eastAsia="Times New Roman" w:cs="Times New Roman"/>
                <w:color w:val="000000"/>
              </w:rPr>
            </w:pPr>
          </w:p>
        </w:tc>
        <w:tc>
          <w:tcPr>
            <w:tcW w:w="989" w:type="dxa"/>
            <w:tcBorders>
              <w:top w:val="single" w:sz="2" w:space="0" w:color="auto"/>
              <w:left w:val="single" w:sz="4" w:space="0" w:color="auto"/>
              <w:bottom w:val="single" w:sz="2" w:space="0" w:color="auto"/>
              <w:right w:val="nil"/>
            </w:tcBorders>
            <w:shd w:val="clear" w:color="auto" w:fill="auto"/>
            <w:noWrap/>
            <w:vAlign w:val="bottom"/>
          </w:tcPr>
          <w:p w14:paraId="6C60C78E" w14:textId="77777777" w:rsidR="006D5D3E" w:rsidRDefault="006D5D3E" w:rsidP="006D5D3E">
            <w:pPr>
              <w:spacing w:line="240" w:lineRule="auto"/>
              <w:ind w:firstLine="0"/>
              <w:jc w:val="center"/>
              <w:rPr>
                <w:rFonts w:cs="Times New Roman"/>
                <w:color w:val="000000"/>
              </w:rPr>
            </w:pPr>
            <w:r>
              <w:rPr>
                <w:rFonts w:cs="Times New Roman"/>
                <w:color w:val="000000"/>
              </w:rPr>
              <w:t>B</w:t>
            </w:r>
            <w:r>
              <w:rPr>
                <w:rFonts w:cs="Times New Roman" w:hint="eastAsia"/>
                <w:color w:val="000000"/>
              </w:rPr>
              <w:t>ank</w:t>
            </w:r>
          </w:p>
        </w:tc>
        <w:tc>
          <w:tcPr>
            <w:tcW w:w="1259" w:type="dxa"/>
            <w:tcBorders>
              <w:top w:val="single" w:sz="2" w:space="0" w:color="auto"/>
              <w:left w:val="nil"/>
              <w:bottom w:val="single" w:sz="2" w:space="0" w:color="auto"/>
              <w:right w:val="double" w:sz="4" w:space="0" w:color="auto"/>
            </w:tcBorders>
            <w:shd w:val="clear" w:color="auto" w:fill="auto"/>
            <w:noWrap/>
            <w:vAlign w:val="bottom"/>
          </w:tcPr>
          <w:p w14:paraId="57D493D6" w14:textId="77777777" w:rsidR="006D5D3E" w:rsidRDefault="006D5D3E" w:rsidP="006D5D3E">
            <w:pPr>
              <w:spacing w:line="240" w:lineRule="auto"/>
              <w:ind w:firstLine="0"/>
              <w:jc w:val="center"/>
              <w:rPr>
                <w:rFonts w:cs="Times New Roman"/>
                <w:color w:val="000000"/>
              </w:rPr>
            </w:pPr>
            <w:r>
              <w:rPr>
                <w:rFonts w:cs="Times New Roman"/>
                <w:color w:val="000000"/>
              </w:rPr>
              <w:t>I</w:t>
            </w:r>
            <w:r>
              <w:rPr>
                <w:rFonts w:cs="Times New Roman" w:hint="eastAsia"/>
                <w:color w:val="000000"/>
              </w:rPr>
              <w:t xml:space="preserve">nvestment </w:t>
            </w:r>
          </w:p>
        </w:tc>
        <w:tc>
          <w:tcPr>
            <w:tcW w:w="990" w:type="dxa"/>
            <w:tcBorders>
              <w:top w:val="single" w:sz="2" w:space="0" w:color="auto"/>
              <w:left w:val="double" w:sz="4" w:space="0" w:color="auto"/>
              <w:right w:val="nil"/>
            </w:tcBorders>
            <w:vAlign w:val="bottom"/>
          </w:tcPr>
          <w:p w14:paraId="11385F52" w14:textId="77777777" w:rsidR="006D5D3E" w:rsidRDefault="006D5D3E" w:rsidP="006D5D3E">
            <w:pPr>
              <w:spacing w:line="240" w:lineRule="auto"/>
              <w:ind w:firstLine="0"/>
              <w:jc w:val="center"/>
              <w:rPr>
                <w:rFonts w:cs="Times New Roman"/>
                <w:color w:val="000000"/>
              </w:rPr>
            </w:pPr>
            <w:r>
              <w:rPr>
                <w:rFonts w:cs="Times New Roman"/>
                <w:color w:val="000000"/>
              </w:rPr>
              <w:t>B</w:t>
            </w:r>
            <w:r>
              <w:rPr>
                <w:rFonts w:cs="Times New Roman" w:hint="eastAsia"/>
                <w:color w:val="000000"/>
              </w:rPr>
              <w:t>ank</w:t>
            </w:r>
          </w:p>
        </w:tc>
        <w:tc>
          <w:tcPr>
            <w:tcW w:w="1260" w:type="dxa"/>
            <w:tcBorders>
              <w:top w:val="single" w:sz="2" w:space="0" w:color="auto"/>
              <w:left w:val="nil"/>
              <w:right w:val="single" w:sz="2" w:space="0" w:color="auto"/>
            </w:tcBorders>
            <w:vAlign w:val="bottom"/>
          </w:tcPr>
          <w:p w14:paraId="3AAD99D1" w14:textId="77777777" w:rsidR="006D5D3E" w:rsidRDefault="006D5D3E" w:rsidP="006D5D3E">
            <w:pPr>
              <w:spacing w:line="240" w:lineRule="auto"/>
              <w:ind w:firstLine="0"/>
              <w:jc w:val="center"/>
              <w:rPr>
                <w:rFonts w:cs="Times New Roman"/>
                <w:color w:val="000000"/>
              </w:rPr>
            </w:pPr>
            <w:r>
              <w:rPr>
                <w:rFonts w:cs="Times New Roman"/>
                <w:color w:val="000000"/>
              </w:rPr>
              <w:t>I</w:t>
            </w:r>
            <w:r>
              <w:rPr>
                <w:rFonts w:cs="Times New Roman" w:hint="eastAsia"/>
                <w:color w:val="000000"/>
              </w:rPr>
              <w:t xml:space="preserve">nvestment </w:t>
            </w:r>
          </w:p>
        </w:tc>
        <w:tc>
          <w:tcPr>
            <w:tcW w:w="1170" w:type="dxa"/>
            <w:tcBorders>
              <w:top w:val="single" w:sz="2" w:space="0" w:color="auto"/>
              <w:left w:val="single" w:sz="2" w:space="0" w:color="auto"/>
              <w:right w:val="nil"/>
            </w:tcBorders>
            <w:vAlign w:val="bottom"/>
          </w:tcPr>
          <w:p w14:paraId="30F2B647" w14:textId="77777777" w:rsidR="006D5D3E" w:rsidRDefault="006D5D3E" w:rsidP="006D5D3E">
            <w:pPr>
              <w:spacing w:line="240" w:lineRule="auto"/>
              <w:ind w:firstLine="0"/>
              <w:jc w:val="center"/>
              <w:rPr>
                <w:rFonts w:cs="Times New Roman"/>
                <w:color w:val="000000"/>
              </w:rPr>
            </w:pPr>
            <w:r>
              <w:rPr>
                <w:rFonts w:cs="Times New Roman"/>
                <w:color w:val="000000"/>
              </w:rPr>
              <w:t>B</w:t>
            </w:r>
            <w:r>
              <w:rPr>
                <w:rFonts w:cs="Times New Roman" w:hint="eastAsia"/>
                <w:color w:val="000000"/>
              </w:rPr>
              <w:t>ank</w:t>
            </w:r>
          </w:p>
        </w:tc>
        <w:tc>
          <w:tcPr>
            <w:tcW w:w="1260" w:type="dxa"/>
            <w:tcBorders>
              <w:top w:val="single" w:sz="2" w:space="0" w:color="auto"/>
              <w:left w:val="nil"/>
              <w:right w:val="single" w:sz="2" w:space="0" w:color="auto"/>
            </w:tcBorders>
            <w:vAlign w:val="bottom"/>
          </w:tcPr>
          <w:p w14:paraId="6A4782FA" w14:textId="77777777" w:rsidR="006D5D3E" w:rsidRDefault="006D5D3E" w:rsidP="006D5D3E">
            <w:pPr>
              <w:spacing w:line="240" w:lineRule="auto"/>
              <w:ind w:firstLine="0"/>
              <w:jc w:val="center"/>
              <w:rPr>
                <w:rFonts w:cs="Times New Roman"/>
                <w:color w:val="000000"/>
              </w:rPr>
            </w:pPr>
            <w:r>
              <w:rPr>
                <w:rFonts w:cs="Times New Roman"/>
                <w:color w:val="000000"/>
              </w:rPr>
              <w:t>I</w:t>
            </w:r>
            <w:r>
              <w:rPr>
                <w:rFonts w:cs="Times New Roman" w:hint="eastAsia"/>
                <w:color w:val="000000"/>
              </w:rPr>
              <w:t xml:space="preserve">nvestment </w:t>
            </w:r>
          </w:p>
        </w:tc>
        <w:tc>
          <w:tcPr>
            <w:tcW w:w="917" w:type="dxa"/>
            <w:tcBorders>
              <w:top w:val="single" w:sz="2" w:space="0" w:color="auto"/>
              <w:left w:val="single" w:sz="2" w:space="0" w:color="auto"/>
              <w:right w:val="nil"/>
            </w:tcBorders>
            <w:vAlign w:val="bottom"/>
          </w:tcPr>
          <w:p w14:paraId="5478B212" w14:textId="77777777" w:rsidR="006D5D3E" w:rsidRDefault="006D5D3E" w:rsidP="006D5D3E">
            <w:pPr>
              <w:spacing w:line="240" w:lineRule="auto"/>
              <w:ind w:firstLine="0"/>
              <w:jc w:val="center"/>
              <w:rPr>
                <w:rFonts w:cs="Times New Roman"/>
                <w:color w:val="000000"/>
              </w:rPr>
            </w:pPr>
            <w:r>
              <w:rPr>
                <w:rFonts w:cs="Times New Roman"/>
                <w:color w:val="000000"/>
              </w:rPr>
              <w:t>B</w:t>
            </w:r>
            <w:r>
              <w:rPr>
                <w:rFonts w:cs="Times New Roman" w:hint="eastAsia"/>
                <w:color w:val="000000"/>
              </w:rPr>
              <w:t>ank</w:t>
            </w:r>
          </w:p>
        </w:tc>
        <w:tc>
          <w:tcPr>
            <w:tcW w:w="1230" w:type="dxa"/>
            <w:tcBorders>
              <w:top w:val="single" w:sz="2" w:space="0" w:color="auto"/>
              <w:left w:val="nil"/>
              <w:right w:val="nil"/>
            </w:tcBorders>
            <w:vAlign w:val="bottom"/>
          </w:tcPr>
          <w:p w14:paraId="3554430B" w14:textId="77777777" w:rsidR="006D5D3E" w:rsidRDefault="006D5D3E" w:rsidP="006D5D3E">
            <w:pPr>
              <w:spacing w:line="240" w:lineRule="auto"/>
              <w:ind w:firstLine="0"/>
              <w:jc w:val="center"/>
              <w:rPr>
                <w:rFonts w:cs="Times New Roman"/>
                <w:color w:val="000000"/>
              </w:rPr>
            </w:pPr>
            <w:r>
              <w:rPr>
                <w:rFonts w:cs="Times New Roman"/>
                <w:color w:val="000000"/>
              </w:rPr>
              <w:t>I</w:t>
            </w:r>
            <w:r>
              <w:rPr>
                <w:rFonts w:cs="Times New Roman" w:hint="eastAsia"/>
                <w:color w:val="000000"/>
              </w:rPr>
              <w:t xml:space="preserve">nvestment </w:t>
            </w:r>
          </w:p>
        </w:tc>
      </w:tr>
      <w:tr w:rsidR="006D5D3E" w:rsidRPr="0004448B" w14:paraId="7ACA3FF6" w14:textId="77777777" w:rsidTr="006D5D3E">
        <w:trPr>
          <w:trHeight w:val="395"/>
          <w:jc w:val="center"/>
        </w:trPr>
        <w:tc>
          <w:tcPr>
            <w:tcW w:w="4308" w:type="dxa"/>
            <w:gridSpan w:val="3"/>
            <w:vMerge w:val="restart"/>
            <w:tcBorders>
              <w:left w:val="nil"/>
              <w:right w:val="double" w:sz="4" w:space="0" w:color="auto"/>
            </w:tcBorders>
            <w:shd w:val="clear" w:color="auto" w:fill="auto"/>
            <w:noWrap/>
            <w:vAlign w:val="center"/>
          </w:tcPr>
          <w:p w14:paraId="24F3C38F" w14:textId="77777777" w:rsidR="006D5D3E" w:rsidRPr="009E1EFE" w:rsidRDefault="006D5D3E" w:rsidP="006D5D3E">
            <w:pPr>
              <w:spacing w:line="240" w:lineRule="auto"/>
              <w:ind w:firstLine="0"/>
              <w:jc w:val="left"/>
              <w:rPr>
                <w:rFonts w:eastAsia="Times New Roman" w:cs="Times New Roman"/>
                <w:color w:val="000000"/>
              </w:rPr>
            </w:pPr>
            <w:r>
              <w:rPr>
                <w:rFonts w:eastAsia="Times New Roman" w:cs="Times New Roman"/>
                <w:color w:val="000000"/>
              </w:rPr>
              <w:t>Main effects of three of the behavior variables</w:t>
            </w:r>
          </w:p>
        </w:tc>
        <w:tc>
          <w:tcPr>
            <w:tcW w:w="990" w:type="dxa"/>
            <w:tcBorders>
              <w:left w:val="double" w:sz="4" w:space="0" w:color="auto"/>
              <w:bottom w:val="nil"/>
              <w:right w:val="nil"/>
            </w:tcBorders>
            <w:shd w:val="clear" w:color="auto" w:fill="auto"/>
            <w:vAlign w:val="center"/>
          </w:tcPr>
          <w:p w14:paraId="36A205EA" w14:textId="77777777" w:rsidR="006D5D3E" w:rsidRPr="009E1EFE" w:rsidRDefault="006D5D3E" w:rsidP="006D5D3E">
            <w:pPr>
              <w:spacing w:line="240" w:lineRule="auto"/>
              <w:ind w:firstLine="0"/>
              <w:jc w:val="center"/>
              <w:rPr>
                <w:rFonts w:eastAsia="Times New Roman" w:cs="Times New Roman"/>
                <w:color w:val="000000"/>
              </w:rPr>
            </w:pPr>
            <w:r w:rsidRPr="008A03AF">
              <w:t>-0.242</w:t>
            </w:r>
          </w:p>
        </w:tc>
        <w:tc>
          <w:tcPr>
            <w:tcW w:w="1260" w:type="dxa"/>
            <w:tcBorders>
              <w:left w:val="nil"/>
              <w:bottom w:val="nil"/>
              <w:right w:val="single" w:sz="2" w:space="0" w:color="auto"/>
            </w:tcBorders>
            <w:shd w:val="clear" w:color="auto" w:fill="auto"/>
            <w:vAlign w:val="center"/>
          </w:tcPr>
          <w:p w14:paraId="00C9A7FF" w14:textId="77777777" w:rsidR="006D5D3E" w:rsidRPr="009E1EFE" w:rsidRDefault="006D5D3E" w:rsidP="006D5D3E">
            <w:pPr>
              <w:spacing w:line="240" w:lineRule="auto"/>
              <w:ind w:firstLine="0"/>
              <w:jc w:val="center"/>
              <w:rPr>
                <w:rFonts w:eastAsia="Times New Roman" w:cs="Times New Roman"/>
                <w:color w:val="000000"/>
              </w:rPr>
            </w:pPr>
            <w:r w:rsidRPr="008A03AF">
              <w:t>0.012</w:t>
            </w:r>
          </w:p>
        </w:tc>
        <w:tc>
          <w:tcPr>
            <w:tcW w:w="1170" w:type="dxa"/>
            <w:tcBorders>
              <w:left w:val="single" w:sz="2" w:space="0" w:color="auto"/>
              <w:bottom w:val="nil"/>
              <w:right w:val="nil"/>
            </w:tcBorders>
            <w:shd w:val="clear" w:color="auto" w:fill="auto"/>
            <w:vAlign w:val="center"/>
          </w:tcPr>
          <w:p w14:paraId="533E87C6" w14:textId="77777777" w:rsidR="006D5D3E" w:rsidRPr="005D440E" w:rsidRDefault="006D5D3E" w:rsidP="006D5D3E">
            <w:pPr>
              <w:spacing w:line="240" w:lineRule="auto"/>
              <w:ind w:firstLine="0"/>
              <w:jc w:val="center"/>
              <w:rPr>
                <w:rFonts w:eastAsia="Times New Roman" w:cs="Times New Roman"/>
                <w:b/>
                <w:color w:val="000000"/>
              </w:rPr>
            </w:pPr>
            <w:r w:rsidRPr="005D440E">
              <w:rPr>
                <w:b/>
              </w:rPr>
              <w:t>0.551</w:t>
            </w:r>
          </w:p>
        </w:tc>
        <w:tc>
          <w:tcPr>
            <w:tcW w:w="1260" w:type="dxa"/>
            <w:tcBorders>
              <w:left w:val="nil"/>
              <w:bottom w:val="nil"/>
              <w:right w:val="single" w:sz="2" w:space="0" w:color="auto"/>
            </w:tcBorders>
            <w:shd w:val="clear" w:color="auto" w:fill="auto"/>
            <w:vAlign w:val="center"/>
          </w:tcPr>
          <w:p w14:paraId="20EBA23B" w14:textId="77777777" w:rsidR="006D5D3E" w:rsidRPr="005D440E" w:rsidRDefault="006D5D3E" w:rsidP="006D5D3E">
            <w:pPr>
              <w:spacing w:line="240" w:lineRule="auto"/>
              <w:ind w:firstLine="0"/>
              <w:jc w:val="center"/>
              <w:rPr>
                <w:rFonts w:eastAsia="Times New Roman" w:cs="Times New Roman"/>
                <w:b/>
                <w:color w:val="000000"/>
              </w:rPr>
            </w:pPr>
            <w:r w:rsidRPr="005D440E">
              <w:rPr>
                <w:b/>
              </w:rPr>
              <w:t>0.672</w:t>
            </w:r>
          </w:p>
        </w:tc>
        <w:tc>
          <w:tcPr>
            <w:tcW w:w="917" w:type="dxa"/>
            <w:tcBorders>
              <w:left w:val="single" w:sz="2" w:space="0" w:color="auto"/>
              <w:bottom w:val="nil"/>
              <w:right w:val="nil"/>
            </w:tcBorders>
            <w:shd w:val="clear" w:color="auto" w:fill="auto"/>
            <w:vAlign w:val="center"/>
          </w:tcPr>
          <w:p w14:paraId="0ABB7493" w14:textId="77777777" w:rsidR="006D5D3E" w:rsidRPr="009E1EFE" w:rsidRDefault="006D5D3E" w:rsidP="006D5D3E">
            <w:pPr>
              <w:spacing w:line="240" w:lineRule="auto"/>
              <w:ind w:firstLine="0"/>
              <w:jc w:val="center"/>
              <w:rPr>
                <w:rFonts w:eastAsia="Times New Roman" w:cs="Times New Roman"/>
                <w:color w:val="000000"/>
              </w:rPr>
            </w:pPr>
            <w:r w:rsidRPr="005D697F">
              <w:t>-0.703</w:t>
            </w:r>
          </w:p>
        </w:tc>
        <w:tc>
          <w:tcPr>
            <w:tcW w:w="1230" w:type="dxa"/>
            <w:tcBorders>
              <w:left w:val="nil"/>
              <w:bottom w:val="nil"/>
              <w:right w:val="nil"/>
            </w:tcBorders>
            <w:shd w:val="clear" w:color="auto" w:fill="auto"/>
            <w:vAlign w:val="center"/>
          </w:tcPr>
          <w:p w14:paraId="5473D549" w14:textId="77777777" w:rsidR="006D5D3E" w:rsidRPr="009E1EFE" w:rsidRDefault="006D5D3E" w:rsidP="006D5D3E">
            <w:pPr>
              <w:spacing w:line="240" w:lineRule="auto"/>
              <w:ind w:firstLine="0"/>
              <w:jc w:val="center"/>
              <w:rPr>
                <w:rFonts w:eastAsia="Times New Roman" w:cs="Times New Roman"/>
                <w:color w:val="000000"/>
              </w:rPr>
            </w:pPr>
            <w:r w:rsidRPr="005D697F">
              <w:t>-0.195</w:t>
            </w:r>
          </w:p>
        </w:tc>
      </w:tr>
      <w:tr w:rsidR="006D5D3E" w:rsidRPr="0004448B" w14:paraId="762E179F" w14:textId="77777777" w:rsidTr="006D5D3E">
        <w:trPr>
          <w:trHeight w:val="260"/>
          <w:jc w:val="center"/>
        </w:trPr>
        <w:tc>
          <w:tcPr>
            <w:tcW w:w="4308" w:type="dxa"/>
            <w:gridSpan w:val="3"/>
            <w:vMerge/>
            <w:tcBorders>
              <w:left w:val="nil"/>
              <w:bottom w:val="nil"/>
              <w:right w:val="double" w:sz="4" w:space="0" w:color="auto"/>
            </w:tcBorders>
            <w:shd w:val="clear" w:color="auto" w:fill="auto"/>
            <w:noWrap/>
            <w:vAlign w:val="center"/>
          </w:tcPr>
          <w:p w14:paraId="3C04B688" w14:textId="77777777" w:rsidR="006D5D3E" w:rsidRPr="009E1EFE" w:rsidRDefault="006D5D3E" w:rsidP="006D5D3E">
            <w:pPr>
              <w:spacing w:line="240" w:lineRule="auto"/>
              <w:ind w:firstLine="0"/>
              <w:jc w:val="left"/>
              <w:rPr>
                <w:rFonts w:eastAsia="Times New Roman" w:cs="Times New Roman"/>
                <w:color w:val="000000"/>
              </w:rPr>
            </w:pPr>
          </w:p>
        </w:tc>
        <w:tc>
          <w:tcPr>
            <w:tcW w:w="990" w:type="dxa"/>
            <w:tcBorders>
              <w:top w:val="nil"/>
              <w:left w:val="double" w:sz="4" w:space="0" w:color="auto"/>
              <w:bottom w:val="nil"/>
              <w:right w:val="nil"/>
            </w:tcBorders>
            <w:shd w:val="clear" w:color="auto" w:fill="auto"/>
            <w:vAlign w:val="center"/>
          </w:tcPr>
          <w:p w14:paraId="1BDB441E" w14:textId="77777777" w:rsidR="006D5D3E" w:rsidRPr="009E1EFE" w:rsidRDefault="006D5D3E" w:rsidP="006D5D3E">
            <w:pPr>
              <w:spacing w:line="240" w:lineRule="auto"/>
              <w:ind w:firstLine="0"/>
              <w:jc w:val="center"/>
              <w:rPr>
                <w:rFonts w:eastAsia="Times New Roman" w:cs="Times New Roman"/>
                <w:color w:val="000000"/>
              </w:rPr>
            </w:pPr>
            <w:proofErr w:type="gramStart"/>
            <w:r w:rsidRPr="008A03AF">
              <w:t>( 29</w:t>
            </w:r>
            <w:proofErr w:type="gramEnd"/>
            <w:r w:rsidRPr="008A03AF">
              <w:t>%)</w:t>
            </w:r>
          </w:p>
        </w:tc>
        <w:tc>
          <w:tcPr>
            <w:tcW w:w="1260" w:type="dxa"/>
            <w:tcBorders>
              <w:top w:val="nil"/>
              <w:left w:val="nil"/>
              <w:bottom w:val="nil"/>
              <w:right w:val="single" w:sz="2" w:space="0" w:color="auto"/>
            </w:tcBorders>
            <w:shd w:val="clear" w:color="auto" w:fill="auto"/>
            <w:vAlign w:val="center"/>
          </w:tcPr>
          <w:p w14:paraId="45D0FC07" w14:textId="77777777" w:rsidR="006D5D3E" w:rsidRPr="009E1EFE" w:rsidRDefault="006D5D3E" w:rsidP="006D5D3E">
            <w:pPr>
              <w:spacing w:line="240" w:lineRule="auto"/>
              <w:ind w:firstLine="0"/>
              <w:jc w:val="center"/>
              <w:rPr>
                <w:rFonts w:eastAsia="Times New Roman" w:cs="Times New Roman"/>
                <w:color w:val="000000"/>
              </w:rPr>
            </w:pPr>
            <w:proofErr w:type="gramStart"/>
            <w:r w:rsidRPr="008A03AF">
              <w:t>( 51</w:t>
            </w:r>
            <w:proofErr w:type="gramEnd"/>
            <w:r w:rsidRPr="008A03AF">
              <w:t>%)</w:t>
            </w:r>
          </w:p>
        </w:tc>
        <w:tc>
          <w:tcPr>
            <w:tcW w:w="1170" w:type="dxa"/>
            <w:tcBorders>
              <w:top w:val="nil"/>
              <w:left w:val="single" w:sz="2" w:space="0" w:color="auto"/>
              <w:bottom w:val="nil"/>
              <w:right w:val="nil"/>
            </w:tcBorders>
            <w:shd w:val="clear" w:color="auto" w:fill="auto"/>
            <w:vAlign w:val="center"/>
          </w:tcPr>
          <w:p w14:paraId="7D617D2B" w14:textId="77777777" w:rsidR="006D5D3E" w:rsidRPr="005D440E" w:rsidRDefault="006D5D3E" w:rsidP="006D5D3E">
            <w:pPr>
              <w:spacing w:line="240" w:lineRule="auto"/>
              <w:ind w:firstLine="0"/>
              <w:jc w:val="center"/>
              <w:rPr>
                <w:rFonts w:eastAsia="Times New Roman" w:cs="Times New Roman"/>
                <w:b/>
                <w:color w:val="000000"/>
              </w:rPr>
            </w:pPr>
            <w:proofErr w:type="gramStart"/>
            <w:r w:rsidRPr="005D440E">
              <w:rPr>
                <w:b/>
              </w:rPr>
              <w:t>( 90</w:t>
            </w:r>
            <w:proofErr w:type="gramEnd"/>
            <w:r w:rsidRPr="005D440E">
              <w:rPr>
                <w:b/>
              </w:rPr>
              <w:t>%)</w:t>
            </w:r>
          </w:p>
        </w:tc>
        <w:tc>
          <w:tcPr>
            <w:tcW w:w="1260" w:type="dxa"/>
            <w:tcBorders>
              <w:top w:val="nil"/>
              <w:left w:val="nil"/>
              <w:bottom w:val="nil"/>
              <w:right w:val="single" w:sz="2" w:space="0" w:color="auto"/>
            </w:tcBorders>
            <w:shd w:val="clear" w:color="auto" w:fill="auto"/>
            <w:vAlign w:val="center"/>
          </w:tcPr>
          <w:p w14:paraId="200BD8A7" w14:textId="77777777" w:rsidR="006D5D3E" w:rsidRPr="005D440E" w:rsidRDefault="006D5D3E" w:rsidP="006D5D3E">
            <w:pPr>
              <w:spacing w:line="240" w:lineRule="auto"/>
              <w:ind w:firstLine="0"/>
              <w:jc w:val="center"/>
              <w:rPr>
                <w:rFonts w:eastAsia="Times New Roman" w:cs="Times New Roman"/>
                <w:b/>
                <w:color w:val="000000"/>
              </w:rPr>
            </w:pPr>
            <w:proofErr w:type="gramStart"/>
            <w:r w:rsidRPr="005D440E">
              <w:rPr>
                <w:b/>
              </w:rPr>
              <w:t>( 95</w:t>
            </w:r>
            <w:proofErr w:type="gramEnd"/>
            <w:r w:rsidRPr="005D440E">
              <w:rPr>
                <w:b/>
              </w:rPr>
              <w:t>%)</w:t>
            </w:r>
          </w:p>
        </w:tc>
        <w:tc>
          <w:tcPr>
            <w:tcW w:w="917" w:type="dxa"/>
            <w:tcBorders>
              <w:top w:val="nil"/>
              <w:left w:val="single" w:sz="2" w:space="0" w:color="auto"/>
              <w:bottom w:val="nil"/>
              <w:right w:val="nil"/>
            </w:tcBorders>
            <w:shd w:val="clear" w:color="auto" w:fill="auto"/>
            <w:vAlign w:val="center"/>
          </w:tcPr>
          <w:p w14:paraId="0183463B" w14:textId="77777777" w:rsidR="006D5D3E" w:rsidRPr="009E1EFE" w:rsidRDefault="006D5D3E" w:rsidP="006D5D3E">
            <w:pPr>
              <w:spacing w:line="240" w:lineRule="auto"/>
              <w:ind w:firstLine="0"/>
              <w:jc w:val="center"/>
              <w:rPr>
                <w:rFonts w:eastAsia="Times New Roman" w:cs="Times New Roman"/>
                <w:color w:val="000000"/>
              </w:rPr>
            </w:pPr>
            <w:proofErr w:type="gramStart"/>
            <w:r w:rsidRPr="005D697F">
              <w:t>( 1</w:t>
            </w:r>
            <w:r>
              <w:t>3</w:t>
            </w:r>
            <w:proofErr w:type="gramEnd"/>
            <w:r w:rsidRPr="005D697F">
              <w:t>%)</w:t>
            </w:r>
          </w:p>
        </w:tc>
        <w:tc>
          <w:tcPr>
            <w:tcW w:w="1230" w:type="dxa"/>
            <w:tcBorders>
              <w:top w:val="nil"/>
              <w:left w:val="nil"/>
              <w:bottom w:val="nil"/>
              <w:right w:val="nil"/>
            </w:tcBorders>
            <w:shd w:val="clear" w:color="auto" w:fill="auto"/>
            <w:vAlign w:val="center"/>
          </w:tcPr>
          <w:p w14:paraId="2429E475" w14:textId="77777777" w:rsidR="006D5D3E" w:rsidRPr="009E1EFE" w:rsidRDefault="006D5D3E" w:rsidP="006D5D3E">
            <w:pPr>
              <w:spacing w:line="240" w:lineRule="auto"/>
              <w:ind w:firstLine="0"/>
              <w:jc w:val="center"/>
              <w:rPr>
                <w:rFonts w:eastAsia="Times New Roman" w:cs="Times New Roman"/>
                <w:color w:val="000000"/>
              </w:rPr>
            </w:pPr>
            <w:proofErr w:type="gramStart"/>
            <w:r w:rsidRPr="005D697F">
              <w:t>( 37</w:t>
            </w:r>
            <w:proofErr w:type="gramEnd"/>
            <w:r w:rsidRPr="005D697F">
              <w:t>%)</w:t>
            </w:r>
          </w:p>
        </w:tc>
      </w:tr>
      <w:tr w:rsidR="006D5D3E" w:rsidRPr="0004448B" w14:paraId="0E90120D" w14:textId="77777777" w:rsidTr="006D5D3E">
        <w:trPr>
          <w:trHeight w:val="377"/>
          <w:jc w:val="center"/>
        </w:trPr>
        <w:tc>
          <w:tcPr>
            <w:tcW w:w="2060" w:type="dxa"/>
            <w:tcBorders>
              <w:left w:val="nil"/>
              <w:bottom w:val="nil"/>
              <w:right w:val="single" w:sz="4" w:space="0" w:color="auto"/>
            </w:tcBorders>
            <w:shd w:val="clear" w:color="auto" w:fill="auto"/>
            <w:noWrap/>
            <w:vAlign w:val="center"/>
          </w:tcPr>
          <w:p w14:paraId="614D202A" w14:textId="77777777" w:rsidR="006D5D3E" w:rsidRPr="0004448B" w:rsidRDefault="006D5D3E" w:rsidP="006D5D3E">
            <w:pPr>
              <w:spacing w:line="240" w:lineRule="auto"/>
              <w:ind w:firstLine="0"/>
              <w:jc w:val="left"/>
              <w:rPr>
                <w:rFonts w:eastAsia="Times New Roman" w:cs="Times New Roman"/>
                <w:color w:val="000000"/>
              </w:rPr>
            </w:pPr>
            <w:r>
              <w:rPr>
                <w:rFonts w:eastAsia="Times New Roman" w:cs="Times New Roman"/>
                <w:color w:val="000000"/>
              </w:rPr>
              <w:t>Within Category</w:t>
            </w:r>
          </w:p>
        </w:tc>
        <w:tc>
          <w:tcPr>
            <w:tcW w:w="2248" w:type="dxa"/>
            <w:gridSpan w:val="2"/>
            <w:tcBorders>
              <w:left w:val="single" w:sz="4" w:space="0" w:color="auto"/>
              <w:bottom w:val="nil"/>
              <w:right w:val="double" w:sz="4" w:space="0" w:color="auto"/>
            </w:tcBorders>
            <w:shd w:val="clear" w:color="auto" w:fill="auto"/>
            <w:vAlign w:val="center"/>
          </w:tcPr>
          <w:p w14:paraId="66D7D4FB" w14:textId="77777777" w:rsidR="006D5D3E" w:rsidRPr="009E1EFE" w:rsidRDefault="006D5D3E" w:rsidP="006D5D3E">
            <w:pPr>
              <w:spacing w:line="240" w:lineRule="auto"/>
              <w:ind w:firstLine="0"/>
              <w:jc w:val="left"/>
              <w:rPr>
                <w:rFonts w:eastAsia="Times New Roman" w:cs="Times New Roman"/>
                <w:color w:val="000000"/>
              </w:rPr>
            </w:pPr>
          </w:p>
        </w:tc>
        <w:tc>
          <w:tcPr>
            <w:tcW w:w="990" w:type="dxa"/>
            <w:tcBorders>
              <w:left w:val="double" w:sz="4" w:space="0" w:color="auto"/>
              <w:bottom w:val="nil"/>
              <w:right w:val="nil"/>
            </w:tcBorders>
            <w:shd w:val="clear" w:color="auto" w:fill="auto"/>
          </w:tcPr>
          <w:p w14:paraId="01128657" w14:textId="77777777" w:rsidR="006D5D3E" w:rsidRPr="009E1EFE" w:rsidRDefault="006D5D3E" w:rsidP="006D5D3E">
            <w:pPr>
              <w:spacing w:line="240" w:lineRule="auto"/>
              <w:ind w:firstLine="0"/>
              <w:jc w:val="left"/>
              <w:rPr>
                <w:rFonts w:eastAsia="Times New Roman" w:cs="Times New Roman"/>
                <w:color w:val="000000"/>
              </w:rPr>
            </w:pPr>
          </w:p>
        </w:tc>
        <w:tc>
          <w:tcPr>
            <w:tcW w:w="1260" w:type="dxa"/>
            <w:tcBorders>
              <w:left w:val="nil"/>
              <w:bottom w:val="nil"/>
              <w:right w:val="single" w:sz="2" w:space="0" w:color="auto"/>
            </w:tcBorders>
            <w:shd w:val="clear" w:color="auto" w:fill="auto"/>
          </w:tcPr>
          <w:p w14:paraId="3EB87353" w14:textId="77777777" w:rsidR="006D5D3E" w:rsidRPr="009E1EFE" w:rsidRDefault="006D5D3E" w:rsidP="006D5D3E">
            <w:pPr>
              <w:spacing w:line="240" w:lineRule="auto"/>
              <w:ind w:firstLine="0"/>
              <w:jc w:val="left"/>
              <w:rPr>
                <w:rFonts w:eastAsia="Times New Roman" w:cs="Times New Roman"/>
                <w:color w:val="000000"/>
              </w:rPr>
            </w:pPr>
          </w:p>
        </w:tc>
        <w:tc>
          <w:tcPr>
            <w:tcW w:w="1170" w:type="dxa"/>
            <w:tcBorders>
              <w:left w:val="single" w:sz="2" w:space="0" w:color="auto"/>
              <w:bottom w:val="nil"/>
              <w:right w:val="nil"/>
            </w:tcBorders>
            <w:shd w:val="clear" w:color="auto" w:fill="auto"/>
          </w:tcPr>
          <w:p w14:paraId="452D0813" w14:textId="77777777" w:rsidR="006D5D3E" w:rsidRPr="009E1EFE" w:rsidRDefault="006D5D3E" w:rsidP="006D5D3E">
            <w:pPr>
              <w:spacing w:line="240" w:lineRule="auto"/>
              <w:ind w:firstLine="0"/>
              <w:jc w:val="left"/>
              <w:rPr>
                <w:rFonts w:eastAsia="Times New Roman" w:cs="Times New Roman"/>
                <w:color w:val="000000"/>
              </w:rPr>
            </w:pPr>
          </w:p>
        </w:tc>
        <w:tc>
          <w:tcPr>
            <w:tcW w:w="1260" w:type="dxa"/>
            <w:tcBorders>
              <w:left w:val="nil"/>
              <w:bottom w:val="nil"/>
              <w:right w:val="single" w:sz="2" w:space="0" w:color="auto"/>
            </w:tcBorders>
            <w:shd w:val="clear" w:color="auto" w:fill="auto"/>
          </w:tcPr>
          <w:p w14:paraId="6B9BACCC" w14:textId="77777777" w:rsidR="006D5D3E" w:rsidRPr="009E1EFE" w:rsidRDefault="006D5D3E" w:rsidP="006D5D3E">
            <w:pPr>
              <w:spacing w:line="240" w:lineRule="auto"/>
              <w:ind w:firstLine="0"/>
              <w:jc w:val="left"/>
              <w:rPr>
                <w:rFonts w:eastAsia="Times New Roman" w:cs="Times New Roman"/>
                <w:color w:val="000000"/>
              </w:rPr>
            </w:pPr>
          </w:p>
        </w:tc>
        <w:tc>
          <w:tcPr>
            <w:tcW w:w="917" w:type="dxa"/>
            <w:tcBorders>
              <w:left w:val="single" w:sz="2" w:space="0" w:color="auto"/>
              <w:bottom w:val="nil"/>
              <w:right w:val="nil"/>
            </w:tcBorders>
            <w:shd w:val="clear" w:color="auto" w:fill="auto"/>
          </w:tcPr>
          <w:p w14:paraId="4E40FD87" w14:textId="77777777" w:rsidR="006D5D3E" w:rsidRPr="009E1EFE" w:rsidRDefault="006D5D3E" w:rsidP="006D5D3E">
            <w:pPr>
              <w:spacing w:line="240" w:lineRule="auto"/>
              <w:ind w:firstLine="0"/>
              <w:jc w:val="left"/>
              <w:rPr>
                <w:rFonts w:eastAsia="Times New Roman" w:cs="Times New Roman"/>
                <w:color w:val="000000"/>
              </w:rPr>
            </w:pPr>
          </w:p>
        </w:tc>
        <w:tc>
          <w:tcPr>
            <w:tcW w:w="1230" w:type="dxa"/>
            <w:tcBorders>
              <w:left w:val="nil"/>
              <w:bottom w:val="nil"/>
              <w:right w:val="nil"/>
            </w:tcBorders>
            <w:shd w:val="clear" w:color="auto" w:fill="auto"/>
          </w:tcPr>
          <w:p w14:paraId="2E4B01C8" w14:textId="77777777" w:rsidR="006D5D3E" w:rsidRPr="009E1EFE" w:rsidRDefault="006D5D3E" w:rsidP="006D5D3E">
            <w:pPr>
              <w:spacing w:line="240" w:lineRule="auto"/>
              <w:ind w:firstLine="0"/>
              <w:jc w:val="left"/>
              <w:rPr>
                <w:rFonts w:eastAsia="Times New Roman" w:cs="Times New Roman"/>
                <w:color w:val="000000"/>
              </w:rPr>
            </w:pPr>
          </w:p>
        </w:tc>
      </w:tr>
      <w:tr w:rsidR="006D5D3E" w:rsidRPr="0004448B" w14:paraId="2A9C6EA4" w14:textId="77777777" w:rsidTr="006D5D3E">
        <w:trPr>
          <w:trHeight w:val="305"/>
          <w:jc w:val="center"/>
        </w:trPr>
        <w:tc>
          <w:tcPr>
            <w:tcW w:w="2060" w:type="dxa"/>
            <w:vMerge w:val="restart"/>
            <w:tcBorders>
              <w:top w:val="nil"/>
              <w:left w:val="nil"/>
              <w:right w:val="single" w:sz="4" w:space="0" w:color="auto"/>
            </w:tcBorders>
            <w:shd w:val="clear" w:color="auto" w:fill="auto"/>
            <w:noWrap/>
            <w:vAlign w:val="center"/>
            <w:hideMark/>
          </w:tcPr>
          <w:p w14:paraId="48113FA2" w14:textId="77777777" w:rsidR="006D5D3E" w:rsidRPr="0004448B" w:rsidRDefault="006D5D3E" w:rsidP="006D5D3E">
            <w:pPr>
              <w:spacing w:line="240" w:lineRule="auto"/>
              <w:ind w:firstLine="407"/>
              <w:jc w:val="left"/>
              <w:rPr>
                <w:rFonts w:eastAsia="Times New Roman" w:cs="Times New Roman"/>
                <w:color w:val="000000"/>
              </w:rPr>
            </w:pPr>
            <w:r w:rsidRPr="0004448B">
              <w:rPr>
                <w:rFonts w:eastAsia="Times New Roman" w:cs="Times New Roman"/>
                <w:color w:val="000000"/>
              </w:rPr>
              <w:t>Not satisfied</w:t>
            </w:r>
          </w:p>
        </w:tc>
        <w:tc>
          <w:tcPr>
            <w:tcW w:w="989" w:type="dxa"/>
            <w:tcBorders>
              <w:top w:val="nil"/>
              <w:left w:val="single" w:sz="4" w:space="0" w:color="auto"/>
              <w:bottom w:val="nil"/>
              <w:right w:val="nil"/>
            </w:tcBorders>
            <w:shd w:val="clear" w:color="auto" w:fill="auto"/>
            <w:noWrap/>
            <w:hideMark/>
          </w:tcPr>
          <w:p w14:paraId="58C30B8F" w14:textId="77777777" w:rsidR="006D5D3E" w:rsidRPr="006B4946" w:rsidRDefault="006D5D3E" w:rsidP="006D5D3E">
            <w:pPr>
              <w:spacing w:line="240" w:lineRule="auto"/>
              <w:ind w:firstLine="0"/>
              <w:jc w:val="center"/>
              <w:rPr>
                <w:rFonts w:eastAsia="Times New Roman" w:cs="Times New Roman"/>
                <w:b/>
                <w:bCs/>
                <w:color w:val="000000"/>
              </w:rPr>
            </w:pPr>
            <w:r w:rsidRPr="006A0CD3">
              <w:t>-0.237</w:t>
            </w:r>
          </w:p>
        </w:tc>
        <w:tc>
          <w:tcPr>
            <w:tcW w:w="1259" w:type="dxa"/>
            <w:tcBorders>
              <w:top w:val="nil"/>
              <w:left w:val="nil"/>
              <w:bottom w:val="nil"/>
              <w:right w:val="double" w:sz="4" w:space="0" w:color="auto"/>
            </w:tcBorders>
            <w:shd w:val="clear" w:color="auto" w:fill="auto"/>
            <w:noWrap/>
            <w:hideMark/>
          </w:tcPr>
          <w:p w14:paraId="4D9F4165" w14:textId="77777777" w:rsidR="006D5D3E" w:rsidRPr="009E1EFE" w:rsidRDefault="006D5D3E" w:rsidP="006D5D3E">
            <w:pPr>
              <w:spacing w:line="240" w:lineRule="auto"/>
              <w:ind w:firstLine="0"/>
              <w:jc w:val="center"/>
              <w:rPr>
                <w:rFonts w:eastAsia="Times New Roman" w:cs="Times New Roman"/>
                <w:color w:val="000000"/>
              </w:rPr>
            </w:pPr>
            <w:r w:rsidRPr="006A0CD3">
              <w:t>-0.240</w:t>
            </w:r>
          </w:p>
        </w:tc>
        <w:tc>
          <w:tcPr>
            <w:tcW w:w="990" w:type="dxa"/>
            <w:tcBorders>
              <w:top w:val="nil"/>
              <w:left w:val="double" w:sz="4" w:space="0" w:color="auto"/>
              <w:bottom w:val="nil"/>
              <w:right w:val="nil"/>
            </w:tcBorders>
            <w:shd w:val="clear" w:color="auto" w:fill="auto"/>
          </w:tcPr>
          <w:p w14:paraId="719C8E5D" w14:textId="77777777" w:rsidR="006D5D3E" w:rsidRPr="009E1EFE" w:rsidRDefault="006D5D3E" w:rsidP="006D5D3E">
            <w:pPr>
              <w:spacing w:line="240" w:lineRule="auto"/>
              <w:ind w:firstLine="0"/>
              <w:jc w:val="center"/>
              <w:rPr>
                <w:rFonts w:cs="Times New Roman"/>
                <w:color w:val="000000"/>
              </w:rPr>
            </w:pPr>
            <w:r w:rsidRPr="00E73FCD">
              <w:t>-0.023</w:t>
            </w:r>
          </w:p>
        </w:tc>
        <w:tc>
          <w:tcPr>
            <w:tcW w:w="1260" w:type="dxa"/>
            <w:tcBorders>
              <w:top w:val="nil"/>
              <w:left w:val="nil"/>
              <w:bottom w:val="nil"/>
              <w:right w:val="single" w:sz="2" w:space="0" w:color="auto"/>
            </w:tcBorders>
            <w:shd w:val="clear" w:color="auto" w:fill="auto"/>
          </w:tcPr>
          <w:p w14:paraId="1E0E7B5A" w14:textId="77777777" w:rsidR="006D5D3E" w:rsidRPr="009E1EFE" w:rsidRDefault="006D5D3E" w:rsidP="006D5D3E">
            <w:pPr>
              <w:spacing w:line="240" w:lineRule="auto"/>
              <w:ind w:firstLine="0"/>
              <w:jc w:val="center"/>
              <w:rPr>
                <w:rFonts w:cs="Times New Roman"/>
                <w:color w:val="000000"/>
              </w:rPr>
            </w:pPr>
            <w:r w:rsidRPr="00E73FCD">
              <w:t>-0.313</w:t>
            </w:r>
          </w:p>
        </w:tc>
        <w:tc>
          <w:tcPr>
            <w:tcW w:w="2430" w:type="dxa"/>
            <w:gridSpan w:val="2"/>
            <w:tcBorders>
              <w:top w:val="nil"/>
              <w:left w:val="single" w:sz="2" w:space="0" w:color="auto"/>
              <w:bottom w:val="nil"/>
              <w:right w:val="single" w:sz="2" w:space="0" w:color="auto"/>
            </w:tcBorders>
            <w:shd w:val="clear" w:color="auto" w:fill="auto"/>
          </w:tcPr>
          <w:p w14:paraId="2C9EDF06" w14:textId="77777777" w:rsidR="006D5D3E" w:rsidRPr="009E1EFE" w:rsidRDefault="006D5D3E" w:rsidP="006D5D3E">
            <w:pPr>
              <w:spacing w:line="240" w:lineRule="auto"/>
              <w:ind w:firstLine="0"/>
              <w:jc w:val="center"/>
              <w:rPr>
                <w:rFonts w:cs="Times New Roman"/>
                <w:b/>
                <w:color w:val="000000"/>
              </w:rPr>
            </w:pPr>
            <w:r w:rsidRPr="00423613">
              <w:t>-0.940</w:t>
            </w:r>
          </w:p>
        </w:tc>
        <w:tc>
          <w:tcPr>
            <w:tcW w:w="2147" w:type="dxa"/>
            <w:gridSpan w:val="2"/>
            <w:tcBorders>
              <w:top w:val="nil"/>
              <w:left w:val="single" w:sz="2" w:space="0" w:color="auto"/>
              <w:bottom w:val="nil"/>
              <w:right w:val="nil"/>
            </w:tcBorders>
            <w:shd w:val="clear" w:color="auto" w:fill="auto"/>
          </w:tcPr>
          <w:p w14:paraId="65DEACEA" w14:textId="77777777" w:rsidR="006D5D3E" w:rsidRPr="009E1EFE" w:rsidRDefault="006D5D3E" w:rsidP="006D5D3E">
            <w:pPr>
              <w:spacing w:line="240" w:lineRule="auto"/>
              <w:ind w:firstLine="0"/>
              <w:jc w:val="center"/>
              <w:rPr>
                <w:rFonts w:cs="Times New Roman"/>
                <w:color w:val="000000"/>
              </w:rPr>
            </w:pPr>
            <w:r w:rsidRPr="00131468">
              <w:t xml:space="preserve"> 0.041</w:t>
            </w:r>
          </w:p>
        </w:tc>
      </w:tr>
      <w:tr w:rsidR="006D5D3E" w:rsidRPr="0004448B" w14:paraId="1F5CE5E0" w14:textId="77777777" w:rsidTr="006D5D3E">
        <w:trPr>
          <w:trHeight w:val="305"/>
          <w:jc w:val="center"/>
        </w:trPr>
        <w:tc>
          <w:tcPr>
            <w:tcW w:w="2060" w:type="dxa"/>
            <w:vMerge/>
            <w:tcBorders>
              <w:left w:val="nil"/>
              <w:bottom w:val="nil"/>
              <w:right w:val="single" w:sz="4" w:space="0" w:color="auto"/>
            </w:tcBorders>
            <w:shd w:val="clear" w:color="auto" w:fill="auto"/>
            <w:noWrap/>
            <w:vAlign w:val="center"/>
            <w:hideMark/>
          </w:tcPr>
          <w:p w14:paraId="4E4D570E" w14:textId="77777777" w:rsidR="006D5D3E" w:rsidRPr="0004448B" w:rsidRDefault="006D5D3E" w:rsidP="006D5D3E">
            <w:pPr>
              <w:spacing w:line="240" w:lineRule="auto"/>
              <w:ind w:firstLine="0"/>
              <w:jc w:val="left"/>
              <w:rPr>
                <w:rFonts w:eastAsia="Times New Roman" w:cs="Times New Roman"/>
                <w:color w:val="000000"/>
              </w:rPr>
            </w:pPr>
          </w:p>
        </w:tc>
        <w:tc>
          <w:tcPr>
            <w:tcW w:w="989" w:type="dxa"/>
            <w:tcBorders>
              <w:top w:val="nil"/>
              <w:left w:val="single" w:sz="4" w:space="0" w:color="auto"/>
              <w:bottom w:val="nil"/>
              <w:right w:val="nil"/>
            </w:tcBorders>
            <w:shd w:val="clear" w:color="auto" w:fill="auto"/>
            <w:noWrap/>
            <w:hideMark/>
          </w:tcPr>
          <w:p w14:paraId="081186E3" w14:textId="77777777" w:rsidR="006D5D3E" w:rsidRPr="005D440E" w:rsidRDefault="006D5D3E" w:rsidP="006D5D3E">
            <w:pPr>
              <w:spacing w:line="240" w:lineRule="auto"/>
              <w:ind w:firstLine="0"/>
              <w:jc w:val="center"/>
              <w:rPr>
                <w:rFonts w:eastAsia="Times New Roman" w:cs="Times New Roman"/>
                <w:b/>
                <w:bCs/>
                <w:color w:val="000000"/>
                <w:sz w:val="18"/>
                <w:szCs w:val="18"/>
              </w:rPr>
            </w:pPr>
            <w:proofErr w:type="gramStart"/>
            <w:r w:rsidRPr="006A0CD3">
              <w:t>( 31</w:t>
            </w:r>
            <w:proofErr w:type="gramEnd"/>
            <w:r w:rsidRPr="006A0CD3">
              <w:t>%)</w:t>
            </w:r>
          </w:p>
        </w:tc>
        <w:tc>
          <w:tcPr>
            <w:tcW w:w="1259" w:type="dxa"/>
            <w:tcBorders>
              <w:top w:val="nil"/>
              <w:left w:val="nil"/>
              <w:bottom w:val="nil"/>
              <w:right w:val="double" w:sz="4" w:space="0" w:color="auto"/>
            </w:tcBorders>
            <w:shd w:val="clear" w:color="auto" w:fill="auto"/>
            <w:noWrap/>
            <w:hideMark/>
          </w:tcPr>
          <w:p w14:paraId="23705AEE" w14:textId="77777777" w:rsidR="006D5D3E" w:rsidRPr="0027778F" w:rsidRDefault="006D5D3E" w:rsidP="006D5D3E">
            <w:pPr>
              <w:spacing w:line="240" w:lineRule="auto"/>
              <w:ind w:firstLine="0"/>
              <w:jc w:val="center"/>
              <w:rPr>
                <w:rFonts w:eastAsia="Times New Roman" w:cs="Times New Roman"/>
                <w:color w:val="000000"/>
                <w:sz w:val="18"/>
                <w:szCs w:val="18"/>
              </w:rPr>
            </w:pPr>
            <w:proofErr w:type="gramStart"/>
            <w:r w:rsidRPr="006A0CD3">
              <w:t>( 31</w:t>
            </w:r>
            <w:proofErr w:type="gramEnd"/>
            <w:r w:rsidRPr="006A0CD3">
              <w:t>%)</w:t>
            </w:r>
          </w:p>
        </w:tc>
        <w:tc>
          <w:tcPr>
            <w:tcW w:w="990" w:type="dxa"/>
            <w:tcBorders>
              <w:top w:val="nil"/>
              <w:left w:val="double" w:sz="4" w:space="0" w:color="auto"/>
              <w:bottom w:val="nil"/>
              <w:right w:val="nil"/>
            </w:tcBorders>
            <w:shd w:val="clear" w:color="auto" w:fill="auto"/>
          </w:tcPr>
          <w:p w14:paraId="285D133C" w14:textId="77777777" w:rsidR="006D5D3E" w:rsidRPr="0027778F" w:rsidRDefault="006D5D3E" w:rsidP="006D5D3E">
            <w:pPr>
              <w:spacing w:line="240" w:lineRule="auto"/>
              <w:ind w:firstLine="0"/>
              <w:jc w:val="center"/>
              <w:rPr>
                <w:rFonts w:cs="Times New Roman"/>
                <w:color w:val="000000"/>
                <w:sz w:val="18"/>
                <w:szCs w:val="18"/>
              </w:rPr>
            </w:pPr>
            <w:proofErr w:type="gramStart"/>
            <w:r w:rsidRPr="00E73FCD">
              <w:t>( 49</w:t>
            </w:r>
            <w:proofErr w:type="gramEnd"/>
            <w:r w:rsidRPr="00E73FCD">
              <w:t>%)</w:t>
            </w:r>
          </w:p>
        </w:tc>
        <w:tc>
          <w:tcPr>
            <w:tcW w:w="1260" w:type="dxa"/>
            <w:tcBorders>
              <w:top w:val="nil"/>
              <w:left w:val="nil"/>
              <w:bottom w:val="nil"/>
              <w:right w:val="single" w:sz="2" w:space="0" w:color="auto"/>
            </w:tcBorders>
            <w:shd w:val="clear" w:color="auto" w:fill="auto"/>
          </w:tcPr>
          <w:p w14:paraId="15B7B62C" w14:textId="77777777" w:rsidR="006D5D3E" w:rsidRPr="0027778F" w:rsidRDefault="006D5D3E" w:rsidP="006D5D3E">
            <w:pPr>
              <w:spacing w:line="240" w:lineRule="auto"/>
              <w:ind w:firstLine="0"/>
              <w:jc w:val="center"/>
              <w:rPr>
                <w:rFonts w:cs="Times New Roman"/>
                <w:color w:val="000000"/>
                <w:sz w:val="18"/>
                <w:szCs w:val="18"/>
              </w:rPr>
            </w:pPr>
            <w:proofErr w:type="gramStart"/>
            <w:r w:rsidRPr="00E73FCD">
              <w:t>( 35</w:t>
            </w:r>
            <w:proofErr w:type="gramEnd"/>
            <w:r w:rsidRPr="00E73FCD">
              <w:t>%)</w:t>
            </w:r>
          </w:p>
        </w:tc>
        <w:tc>
          <w:tcPr>
            <w:tcW w:w="2430" w:type="dxa"/>
            <w:gridSpan w:val="2"/>
            <w:tcBorders>
              <w:top w:val="nil"/>
              <w:left w:val="single" w:sz="2" w:space="0" w:color="auto"/>
              <w:bottom w:val="nil"/>
              <w:right w:val="single" w:sz="2" w:space="0" w:color="auto"/>
            </w:tcBorders>
            <w:shd w:val="clear" w:color="auto" w:fill="auto"/>
          </w:tcPr>
          <w:p w14:paraId="43D47380" w14:textId="77777777" w:rsidR="006D5D3E" w:rsidRPr="0027778F" w:rsidRDefault="006D5D3E" w:rsidP="006D5D3E">
            <w:pPr>
              <w:spacing w:line="240" w:lineRule="auto"/>
              <w:ind w:firstLine="0"/>
              <w:jc w:val="center"/>
              <w:rPr>
                <w:rFonts w:cs="Times New Roman"/>
                <w:b/>
                <w:color w:val="000000"/>
                <w:sz w:val="18"/>
                <w:szCs w:val="18"/>
              </w:rPr>
            </w:pPr>
            <w:proofErr w:type="gramStart"/>
            <w:r w:rsidRPr="00423613">
              <w:t>( 19</w:t>
            </w:r>
            <w:proofErr w:type="gramEnd"/>
            <w:r w:rsidRPr="00423613">
              <w:t>%)</w:t>
            </w:r>
          </w:p>
        </w:tc>
        <w:tc>
          <w:tcPr>
            <w:tcW w:w="2147" w:type="dxa"/>
            <w:gridSpan w:val="2"/>
            <w:tcBorders>
              <w:top w:val="nil"/>
              <w:left w:val="single" w:sz="2" w:space="0" w:color="auto"/>
              <w:bottom w:val="nil"/>
              <w:right w:val="nil"/>
            </w:tcBorders>
            <w:shd w:val="clear" w:color="auto" w:fill="auto"/>
          </w:tcPr>
          <w:p w14:paraId="485FD436" w14:textId="77777777" w:rsidR="006D5D3E" w:rsidRPr="0027778F" w:rsidRDefault="006D5D3E" w:rsidP="006D5D3E">
            <w:pPr>
              <w:spacing w:line="240" w:lineRule="auto"/>
              <w:ind w:firstLine="0"/>
              <w:jc w:val="center"/>
              <w:rPr>
                <w:rFonts w:cs="Times New Roman"/>
                <w:color w:val="000000"/>
                <w:sz w:val="18"/>
                <w:szCs w:val="18"/>
              </w:rPr>
            </w:pPr>
            <w:proofErr w:type="gramStart"/>
            <w:r w:rsidRPr="00131468">
              <w:t>( 52</w:t>
            </w:r>
            <w:proofErr w:type="gramEnd"/>
            <w:r w:rsidRPr="00131468">
              <w:t>%)</w:t>
            </w:r>
          </w:p>
        </w:tc>
      </w:tr>
      <w:tr w:rsidR="006D5D3E" w:rsidRPr="0004448B" w14:paraId="4BCE250F" w14:textId="77777777" w:rsidTr="006D5D3E">
        <w:trPr>
          <w:trHeight w:val="305"/>
          <w:jc w:val="center"/>
        </w:trPr>
        <w:tc>
          <w:tcPr>
            <w:tcW w:w="2060" w:type="dxa"/>
            <w:vMerge w:val="restart"/>
            <w:tcBorders>
              <w:top w:val="nil"/>
              <w:left w:val="nil"/>
              <w:right w:val="single" w:sz="4" w:space="0" w:color="auto"/>
            </w:tcBorders>
            <w:shd w:val="clear" w:color="auto" w:fill="auto"/>
            <w:noWrap/>
            <w:vAlign w:val="center"/>
            <w:hideMark/>
          </w:tcPr>
          <w:p w14:paraId="49EB7613" w14:textId="77777777" w:rsidR="006D5D3E" w:rsidRPr="0004448B" w:rsidRDefault="006D5D3E" w:rsidP="006D5D3E">
            <w:pPr>
              <w:spacing w:line="240" w:lineRule="auto"/>
              <w:ind w:firstLine="407"/>
              <w:jc w:val="left"/>
              <w:rPr>
                <w:rFonts w:eastAsia="Times New Roman" w:cs="Times New Roman"/>
                <w:color w:val="000000"/>
              </w:rPr>
            </w:pPr>
            <w:r w:rsidRPr="0004448B">
              <w:rPr>
                <w:rFonts w:eastAsia="Times New Roman" w:cs="Times New Roman"/>
                <w:color w:val="000000"/>
              </w:rPr>
              <w:t>Satisfied</w:t>
            </w:r>
          </w:p>
        </w:tc>
        <w:tc>
          <w:tcPr>
            <w:tcW w:w="989" w:type="dxa"/>
            <w:tcBorders>
              <w:top w:val="nil"/>
              <w:left w:val="single" w:sz="4" w:space="0" w:color="auto"/>
              <w:bottom w:val="nil"/>
              <w:right w:val="nil"/>
            </w:tcBorders>
            <w:shd w:val="clear" w:color="auto" w:fill="auto"/>
            <w:noWrap/>
            <w:hideMark/>
          </w:tcPr>
          <w:p w14:paraId="691D9D7A" w14:textId="77777777" w:rsidR="006D5D3E" w:rsidRPr="005D440E" w:rsidRDefault="006D5D3E" w:rsidP="006D5D3E">
            <w:pPr>
              <w:spacing w:line="240" w:lineRule="auto"/>
              <w:ind w:firstLine="0"/>
              <w:jc w:val="center"/>
              <w:rPr>
                <w:rFonts w:eastAsia="Times New Roman" w:cs="Times New Roman"/>
                <w:b/>
                <w:color w:val="000000"/>
              </w:rPr>
            </w:pPr>
            <w:r w:rsidRPr="005D440E">
              <w:rPr>
                <w:b/>
              </w:rPr>
              <w:t xml:space="preserve"> 0.570</w:t>
            </w:r>
          </w:p>
        </w:tc>
        <w:tc>
          <w:tcPr>
            <w:tcW w:w="1259" w:type="dxa"/>
            <w:tcBorders>
              <w:top w:val="nil"/>
              <w:left w:val="nil"/>
              <w:bottom w:val="nil"/>
              <w:right w:val="double" w:sz="4" w:space="0" w:color="auto"/>
            </w:tcBorders>
            <w:shd w:val="clear" w:color="auto" w:fill="auto"/>
            <w:noWrap/>
            <w:hideMark/>
          </w:tcPr>
          <w:p w14:paraId="302F44B6" w14:textId="77777777" w:rsidR="006D5D3E" w:rsidRPr="00123C0D" w:rsidRDefault="006D5D3E" w:rsidP="006D5D3E">
            <w:pPr>
              <w:spacing w:line="240" w:lineRule="auto"/>
              <w:ind w:firstLine="0"/>
              <w:jc w:val="center"/>
              <w:rPr>
                <w:rFonts w:eastAsia="Times New Roman" w:cs="Times New Roman"/>
                <w:b/>
                <w:bCs/>
                <w:color w:val="000000"/>
              </w:rPr>
            </w:pPr>
            <w:r w:rsidRPr="005D440E">
              <w:rPr>
                <w:b/>
              </w:rPr>
              <w:t xml:space="preserve"> 0.612</w:t>
            </w:r>
          </w:p>
        </w:tc>
        <w:tc>
          <w:tcPr>
            <w:tcW w:w="990" w:type="dxa"/>
            <w:tcBorders>
              <w:top w:val="nil"/>
              <w:left w:val="double" w:sz="4" w:space="0" w:color="auto"/>
              <w:bottom w:val="nil"/>
              <w:right w:val="nil"/>
            </w:tcBorders>
            <w:shd w:val="clear" w:color="auto" w:fill="auto"/>
          </w:tcPr>
          <w:p w14:paraId="206BC978" w14:textId="77777777" w:rsidR="006D5D3E" w:rsidRPr="005D440E" w:rsidRDefault="006D5D3E" w:rsidP="006D5D3E">
            <w:pPr>
              <w:spacing w:line="240" w:lineRule="auto"/>
              <w:ind w:firstLine="0"/>
              <w:jc w:val="center"/>
              <w:rPr>
                <w:rFonts w:cs="Times New Roman"/>
                <w:b/>
                <w:color w:val="000000"/>
              </w:rPr>
            </w:pPr>
            <w:r w:rsidRPr="005D440E">
              <w:rPr>
                <w:b/>
              </w:rPr>
              <w:t>-0.995</w:t>
            </w:r>
          </w:p>
        </w:tc>
        <w:tc>
          <w:tcPr>
            <w:tcW w:w="1260" w:type="dxa"/>
            <w:tcBorders>
              <w:top w:val="nil"/>
              <w:left w:val="nil"/>
              <w:bottom w:val="nil"/>
              <w:right w:val="single" w:sz="2" w:space="0" w:color="auto"/>
            </w:tcBorders>
            <w:shd w:val="clear" w:color="auto" w:fill="auto"/>
          </w:tcPr>
          <w:p w14:paraId="621CC1C8" w14:textId="77777777" w:rsidR="006D5D3E" w:rsidRPr="005D440E" w:rsidRDefault="006D5D3E" w:rsidP="006D5D3E">
            <w:pPr>
              <w:spacing w:line="240" w:lineRule="auto"/>
              <w:ind w:firstLine="0"/>
              <w:jc w:val="center"/>
              <w:rPr>
                <w:rFonts w:cs="Times New Roman"/>
                <w:b/>
                <w:color w:val="000000"/>
              </w:rPr>
            </w:pPr>
            <w:r w:rsidRPr="005D440E">
              <w:rPr>
                <w:b/>
              </w:rPr>
              <w:t>-0.810</w:t>
            </w:r>
          </w:p>
        </w:tc>
        <w:tc>
          <w:tcPr>
            <w:tcW w:w="2430" w:type="dxa"/>
            <w:gridSpan w:val="2"/>
            <w:tcBorders>
              <w:top w:val="nil"/>
              <w:left w:val="single" w:sz="2" w:space="0" w:color="auto"/>
              <w:bottom w:val="nil"/>
              <w:right w:val="single" w:sz="2" w:space="0" w:color="auto"/>
            </w:tcBorders>
            <w:shd w:val="clear" w:color="auto" w:fill="auto"/>
          </w:tcPr>
          <w:p w14:paraId="0442F08C" w14:textId="77777777" w:rsidR="006D5D3E" w:rsidRPr="009E1EFE" w:rsidRDefault="006D5D3E" w:rsidP="006D5D3E">
            <w:pPr>
              <w:spacing w:line="240" w:lineRule="auto"/>
              <w:ind w:firstLine="0"/>
              <w:jc w:val="center"/>
              <w:rPr>
                <w:rFonts w:cs="Times New Roman"/>
                <w:b/>
                <w:color w:val="000000"/>
              </w:rPr>
            </w:pPr>
            <w:r w:rsidRPr="00423613">
              <w:t>-0.771</w:t>
            </w:r>
          </w:p>
        </w:tc>
        <w:tc>
          <w:tcPr>
            <w:tcW w:w="2147" w:type="dxa"/>
            <w:gridSpan w:val="2"/>
            <w:tcBorders>
              <w:top w:val="nil"/>
              <w:left w:val="single" w:sz="2" w:space="0" w:color="auto"/>
              <w:bottom w:val="nil"/>
              <w:right w:val="nil"/>
            </w:tcBorders>
            <w:shd w:val="clear" w:color="auto" w:fill="auto"/>
          </w:tcPr>
          <w:p w14:paraId="1712EB00" w14:textId="77777777" w:rsidR="006D5D3E" w:rsidRPr="005D440E" w:rsidRDefault="006D5D3E" w:rsidP="006D5D3E">
            <w:pPr>
              <w:spacing w:line="240" w:lineRule="auto"/>
              <w:ind w:firstLine="0"/>
              <w:jc w:val="center"/>
              <w:rPr>
                <w:rFonts w:cs="Times New Roman"/>
                <w:b/>
                <w:color w:val="000000"/>
              </w:rPr>
            </w:pPr>
            <w:r w:rsidRPr="005D440E">
              <w:rPr>
                <w:b/>
              </w:rPr>
              <w:t xml:space="preserve"> 1.640</w:t>
            </w:r>
          </w:p>
        </w:tc>
      </w:tr>
      <w:tr w:rsidR="006D5D3E" w:rsidRPr="0004448B" w14:paraId="49F04137" w14:textId="77777777" w:rsidTr="006D5D3E">
        <w:trPr>
          <w:trHeight w:val="305"/>
          <w:jc w:val="center"/>
        </w:trPr>
        <w:tc>
          <w:tcPr>
            <w:tcW w:w="2060" w:type="dxa"/>
            <w:vMerge/>
            <w:tcBorders>
              <w:left w:val="nil"/>
              <w:bottom w:val="single" w:sz="4" w:space="0" w:color="auto"/>
              <w:right w:val="single" w:sz="4" w:space="0" w:color="auto"/>
            </w:tcBorders>
            <w:shd w:val="clear" w:color="auto" w:fill="auto"/>
            <w:noWrap/>
            <w:vAlign w:val="center"/>
            <w:hideMark/>
          </w:tcPr>
          <w:p w14:paraId="3E7083EB" w14:textId="77777777" w:rsidR="006D5D3E" w:rsidRPr="0004448B" w:rsidRDefault="006D5D3E" w:rsidP="006D5D3E">
            <w:pPr>
              <w:spacing w:line="240" w:lineRule="auto"/>
              <w:ind w:firstLine="0"/>
              <w:jc w:val="left"/>
              <w:rPr>
                <w:rFonts w:eastAsia="Times New Roman" w:cs="Times New Roman"/>
                <w:color w:val="000000"/>
              </w:rPr>
            </w:pPr>
          </w:p>
        </w:tc>
        <w:tc>
          <w:tcPr>
            <w:tcW w:w="989" w:type="dxa"/>
            <w:tcBorders>
              <w:top w:val="nil"/>
              <w:left w:val="single" w:sz="4" w:space="0" w:color="auto"/>
              <w:bottom w:val="nil"/>
              <w:right w:val="nil"/>
            </w:tcBorders>
            <w:shd w:val="clear" w:color="auto" w:fill="auto"/>
            <w:noWrap/>
            <w:hideMark/>
          </w:tcPr>
          <w:p w14:paraId="7D81B58B" w14:textId="77777777" w:rsidR="006D5D3E" w:rsidRPr="005D440E" w:rsidRDefault="006D5D3E" w:rsidP="006D5D3E">
            <w:pPr>
              <w:spacing w:line="240" w:lineRule="auto"/>
              <w:ind w:firstLine="0"/>
              <w:jc w:val="center"/>
              <w:rPr>
                <w:rFonts w:eastAsia="Times New Roman" w:cs="Times New Roman"/>
                <w:b/>
                <w:color w:val="000000"/>
                <w:sz w:val="18"/>
                <w:szCs w:val="18"/>
              </w:rPr>
            </w:pPr>
            <w:proofErr w:type="gramStart"/>
            <w:r w:rsidRPr="005D440E">
              <w:rPr>
                <w:b/>
              </w:rPr>
              <w:t>( 91</w:t>
            </w:r>
            <w:proofErr w:type="gramEnd"/>
            <w:r w:rsidRPr="005D440E">
              <w:rPr>
                <w:b/>
              </w:rPr>
              <w:t>%)</w:t>
            </w:r>
          </w:p>
        </w:tc>
        <w:tc>
          <w:tcPr>
            <w:tcW w:w="1259" w:type="dxa"/>
            <w:tcBorders>
              <w:top w:val="nil"/>
              <w:left w:val="nil"/>
              <w:bottom w:val="nil"/>
              <w:right w:val="double" w:sz="4" w:space="0" w:color="auto"/>
            </w:tcBorders>
            <w:shd w:val="clear" w:color="auto" w:fill="auto"/>
            <w:noWrap/>
            <w:hideMark/>
          </w:tcPr>
          <w:p w14:paraId="741E9A44" w14:textId="77777777" w:rsidR="006D5D3E" w:rsidRPr="00123C0D" w:rsidRDefault="006D5D3E" w:rsidP="006D5D3E">
            <w:pPr>
              <w:spacing w:line="240" w:lineRule="auto"/>
              <w:ind w:firstLine="0"/>
              <w:jc w:val="center"/>
              <w:rPr>
                <w:rFonts w:eastAsia="Times New Roman" w:cs="Times New Roman"/>
                <w:b/>
                <w:bCs/>
                <w:color w:val="000000"/>
                <w:sz w:val="18"/>
                <w:szCs w:val="18"/>
              </w:rPr>
            </w:pPr>
            <w:proofErr w:type="gramStart"/>
            <w:r w:rsidRPr="005D440E">
              <w:rPr>
                <w:b/>
              </w:rPr>
              <w:t>( 95</w:t>
            </w:r>
            <w:proofErr w:type="gramEnd"/>
            <w:r w:rsidRPr="005D440E">
              <w:rPr>
                <w:b/>
              </w:rPr>
              <w:t>%)</w:t>
            </w:r>
          </w:p>
        </w:tc>
        <w:tc>
          <w:tcPr>
            <w:tcW w:w="990" w:type="dxa"/>
            <w:tcBorders>
              <w:top w:val="nil"/>
              <w:left w:val="double" w:sz="4" w:space="0" w:color="auto"/>
              <w:bottom w:val="nil"/>
              <w:right w:val="nil"/>
            </w:tcBorders>
            <w:shd w:val="clear" w:color="auto" w:fill="auto"/>
          </w:tcPr>
          <w:p w14:paraId="55111DCF" w14:textId="77777777" w:rsidR="006D5D3E" w:rsidRPr="005D440E" w:rsidRDefault="006D5D3E" w:rsidP="006D5D3E">
            <w:pPr>
              <w:spacing w:line="240" w:lineRule="auto"/>
              <w:ind w:firstLine="0"/>
              <w:jc w:val="center"/>
              <w:rPr>
                <w:rFonts w:cs="Times New Roman"/>
                <w:b/>
                <w:color w:val="000000"/>
                <w:sz w:val="18"/>
                <w:szCs w:val="18"/>
              </w:rPr>
            </w:pPr>
            <w:proofErr w:type="gramStart"/>
            <w:r w:rsidRPr="005D440E">
              <w:rPr>
                <w:b/>
              </w:rPr>
              <w:t>(  7</w:t>
            </w:r>
            <w:proofErr w:type="gramEnd"/>
            <w:r w:rsidRPr="005D440E">
              <w:rPr>
                <w:b/>
              </w:rPr>
              <w:t>%)</w:t>
            </w:r>
          </w:p>
        </w:tc>
        <w:tc>
          <w:tcPr>
            <w:tcW w:w="1260" w:type="dxa"/>
            <w:tcBorders>
              <w:top w:val="nil"/>
              <w:left w:val="nil"/>
              <w:bottom w:val="nil"/>
              <w:right w:val="single" w:sz="2" w:space="0" w:color="auto"/>
            </w:tcBorders>
            <w:shd w:val="clear" w:color="auto" w:fill="auto"/>
          </w:tcPr>
          <w:p w14:paraId="0CB178D3" w14:textId="77777777" w:rsidR="006D5D3E" w:rsidRPr="005D440E" w:rsidRDefault="006D5D3E" w:rsidP="006D5D3E">
            <w:pPr>
              <w:spacing w:line="240" w:lineRule="auto"/>
              <w:ind w:firstLine="0"/>
              <w:jc w:val="center"/>
              <w:rPr>
                <w:rFonts w:cs="Times New Roman"/>
                <w:b/>
                <w:color w:val="000000"/>
                <w:sz w:val="18"/>
                <w:szCs w:val="18"/>
              </w:rPr>
            </w:pPr>
            <w:proofErr w:type="gramStart"/>
            <w:r w:rsidRPr="005D440E">
              <w:rPr>
                <w:b/>
              </w:rPr>
              <w:t>(  9</w:t>
            </w:r>
            <w:proofErr w:type="gramEnd"/>
            <w:r w:rsidRPr="005D440E">
              <w:rPr>
                <w:b/>
              </w:rPr>
              <w:t>%)</w:t>
            </w:r>
          </w:p>
        </w:tc>
        <w:tc>
          <w:tcPr>
            <w:tcW w:w="2430" w:type="dxa"/>
            <w:gridSpan w:val="2"/>
            <w:tcBorders>
              <w:top w:val="nil"/>
              <w:left w:val="single" w:sz="2" w:space="0" w:color="auto"/>
              <w:bottom w:val="nil"/>
              <w:right w:val="single" w:sz="2" w:space="0" w:color="auto"/>
            </w:tcBorders>
            <w:shd w:val="clear" w:color="auto" w:fill="auto"/>
          </w:tcPr>
          <w:p w14:paraId="0F74FC57" w14:textId="77777777" w:rsidR="006D5D3E" w:rsidRPr="0027778F" w:rsidRDefault="006D5D3E" w:rsidP="006D5D3E">
            <w:pPr>
              <w:spacing w:line="240" w:lineRule="auto"/>
              <w:ind w:firstLine="0"/>
              <w:jc w:val="center"/>
              <w:rPr>
                <w:rFonts w:cs="Times New Roman"/>
                <w:b/>
                <w:color w:val="000000"/>
                <w:sz w:val="18"/>
                <w:szCs w:val="18"/>
              </w:rPr>
            </w:pPr>
            <w:proofErr w:type="gramStart"/>
            <w:r w:rsidRPr="00423613">
              <w:t>( 16</w:t>
            </w:r>
            <w:proofErr w:type="gramEnd"/>
            <w:r w:rsidRPr="00423613">
              <w:t>%)</w:t>
            </w:r>
          </w:p>
        </w:tc>
        <w:tc>
          <w:tcPr>
            <w:tcW w:w="2147" w:type="dxa"/>
            <w:gridSpan w:val="2"/>
            <w:tcBorders>
              <w:top w:val="nil"/>
              <w:left w:val="single" w:sz="2" w:space="0" w:color="auto"/>
              <w:bottom w:val="nil"/>
              <w:right w:val="nil"/>
            </w:tcBorders>
            <w:shd w:val="clear" w:color="auto" w:fill="auto"/>
          </w:tcPr>
          <w:p w14:paraId="1601463D" w14:textId="77777777" w:rsidR="006D5D3E" w:rsidRPr="005D440E" w:rsidRDefault="006D5D3E" w:rsidP="006D5D3E">
            <w:pPr>
              <w:spacing w:line="240" w:lineRule="auto"/>
              <w:ind w:firstLine="0"/>
              <w:jc w:val="center"/>
              <w:rPr>
                <w:rFonts w:cs="Times New Roman"/>
                <w:b/>
                <w:color w:val="000000"/>
                <w:sz w:val="18"/>
                <w:szCs w:val="18"/>
              </w:rPr>
            </w:pPr>
            <w:proofErr w:type="gramStart"/>
            <w:r w:rsidRPr="005D440E">
              <w:rPr>
                <w:b/>
              </w:rPr>
              <w:t>( 97</w:t>
            </w:r>
            <w:proofErr w:type="gramEnd"/>
            <w:r w:rsidRPr="005D440E">
              <w:rPr>
                <w:b/>
              </w:rPr>
              <w:t>%)</w:t>
            </w:r>
          </w:p>
        </w:tc>
      </w:tr>
      <w:tr w:rsidR="006D5D3E" w:rsidRPr="0004448B" w14:paraId="65ACB2AF" w14:textId="77777777" w:rsidTr="006D5D3E">
        <w:trPr>
          <w:trHeight w:val="368"/>
          <w:jc w:val="center"/>
        </w:trPr>
        <w:tc>
          <w:tcPr>
            <w:tcW w:w="4308" w:type="dxa"/>
            <w:gridSpan w:val="3"/>
            <w:tcBorders>
              <w:left w:val="nil"/>
              <w:bottom w:val="nil"/>
              <w:right w:val="double" w:sz="4" w:space="0" w:color="auto"/>
            </w:tcBorders>
            <w:shd w:val="clear" w:color="auto" w:fill="auto"/>
            <w:noWrap/>
            <w:vAlign w:val="center"/>
          </w:tcPr>
          <w:p w14:paraId="2102B785" w14:textId="77777777" w:rsidR="006D5D3E" w:rsidRPr="009E1EFE" w:rsidRDefault="006D5D3E" w:rsidP="006D5D3E">
            <w:pPr>
              <w:spacing w:line="240" w:lineRule="auto"/>
              <w:ind w:firstLine="0"/>
              <w:jc w:val="left"/>
              <w:rPr>
                <w:rFonts w:eastAsia="Times New Roman" w:cs="Times New Roman"/>
                <w:color w:val="000000"/>
              </w:rPr>
            </w:pPr>
            <w:r w:rsidRPr="009E1EFE">
              <w:rPr>
                <w:rFonts w:eastAsia="Times New Roman" w:cs="Times New Roman"/>
                <w:color w:val="000000"/>
              </w:rPr>
              <w:t>Across Categories, different companies</w:t>
            </w:r>
          </w:p>
        </w:tc>
        <w:tc>
          <w:tcPr>
            <w:tcW w:w="990" w:type="dxa"/>
            <w:tcBorders>
              <w:left w:val="double" w:sz="4" w:space="0" w:color="auto"/>
              <w:bottom w:val="nil"/>
              <w:right w:val="nil"/>
            </w:tcBorders>
            <w:shd w:val="clear" w:color="auto" w:fill="auto"/>
          </w:tcPr>
          <w:p w14:paraId="0047294F" w14:textId="77777777" w:rsidR="006D5D3E" w:rsidRPr="009E1EFE" w:rsidRDefault="006D5D3E" w:rsidP="006D5D3E">
            <w:pPr>
              <w:spacing w:line="240" w:lineRule="auto"/>
              <w:ind w:firstLine="0"/>
              <w:jc w:val="left"/>
              <w:rPr>
                <w:rFonts w:eastAsia="Times New Roman" w:cs="Times New Roman"/>
                <w:color w:val="000000"/>
              </w:rPr>
            </w:pPr>
          </w:p>
        </w:tc>
        <w:tc>
          <w:tcPr>
            <w:tcW w:w="1260" w:type="dxa"/>
            <w:tcBorders>
              <w:left w:val="nil"/>
              <w:bottom w:val="nil"/>
              <w:right w:val="single" w:sz="2" w:space="0" w:color="auto"/>
            </w:tcBorders>
            <w:shd w:val="clear" w:color="auto" w:fill="auto"/>
          </w:tcPr>
          <w:p w14:paraId="450873D2" w14:textId="77777777" w:rsidR="006D5D3E" w:rsidRPr="009E1EFE" w:rsidRDefault="006D5D3E" w:rsidP="006D5D3E">
            <w:pPr>
              <w:spacing w:line="240" w:lineRule="auto"/>
              <w:ind w:firstLine="0"/>
              <w:jc w:val="left"/>
              <w:rPr>
                <w:rFonts w:eastAsia="Times New Roman" w:cs="Times New Roman"/>
                <w:color w:val="000000"/>
              </w:rPr>
            </w:pPr>
          </w:p>
        </w:tc>
        <w:tc>
          <w:tcPr>
            <w:tcW w:w="1170" w:type="dxa"/>
            <w:tcBorders>
              <w:left w:val="single" w:sz="2" w:space="0" w:color="auto"/>
              <w:bottom w:val="nil"/>
              <w:right w:val="nil"/>
            </w:tcBorders>
            <w:shd w:val="clear" w:color="auto" w:fill="auto"/>
          </w:tcPr>
          <w:p w14:paraId="70501B00" w14:textId="77777777" w:rsidR="006D5D3E" w:rsidRPr="009E1EFE" w:rsidRDefault="006D5D3E" w:rsidP="006D5D3E">
            <w:pPr>
              <w:spacing w:line="240" w:lineRule="auto"/>
              <w:ind w:firstLine="0"/>
              <w:jc w:val="left"/>
              <w:rPr>
                <w:rFonts w:eastAsia="Times New Roman" w:cs="Times New Roman"/>
                <w:color w:val="000000"/>
              </w:rPr>
            </w:pPr>
          </w:p>
        </w:tc>
        <w:tc>
          <w:tcPr>
            <w:tcW w:w="1260" w:type="dxa"/>
            <w:tcBorders>
              <w:left w:val="nil"/>
              <w:bottom w:val="nil"/>
              <w:right w:val="single" w:sz="2" w:space="0" w:color="auto"/>
            </w:tcBorders>
            <w:shd w:val="clear" w:color="auto" w:fill="auto"/>
          </w:tcPr>
          <w:p w14:paraId="4C28C3D0" w14:textId="77777777" w:rsidR="006D5D3E" w:rsidRPr="009E1EFE" w:rsidRDefault="006D5D3E" w:rsidP="006D5D3E">
            <w:pPr>
              <w:spacing w:line="240" w:lineRule="auto"/>
              <w:ind w:firstLine="0"/>
              <w:jc w:val="left"/>
              <w:rPr>
                <w:rFonts w:eastAsia="Times New Roman" w:cs="Times New Roman"/>
                <w:color w:val="000000"/>
              </w:rPr>
            </w:pPr>
          </w:p>
        </w:tc>
        <w:tc>
          <w:tcPr>
            <w:tcW w:w="917" w:type="dxa"/>
            <w:tcBorders>
              <w:left w:val="single" w:sz="2" w:space="0" w:color="auto"/>
              <w:bottom w:val="nil"/>
              <w:right w:val="nil"/>
            </w:tcBorders>
            <w:shd w:val="clear" w:color="auto" w:fill="auto"/>
          </w:tcPr>
          <w:p w14:paraId="52ECE34B" w14:textId="77777777" w:rsidR="006D5D3E" w:rsidRPr="009E1EFE" w:rsidRDefault="006D5D3E" w:rsidP="006D5D3E">
            <w:pPr>
              <w:spacing w:line="240" w:lineRule="auto"/>
              <w:ind w:firstLine="0"/>
              <w:jc w:val="left"/>
              <w:rPr>
                <w:rFonts w:eastAsia="Times New Roman" w:cs="Times New Roman"/>
                <w:color w:val="000000"/>
              </w:rPr>
            </w:pPr>
          </w:p>
        </w:tc>
        <w:tc>
          <w:tcPr>
            <w:tcW w:w="1230" w:type="dxa"/>
            <w:tcBorders>
              <w:left w:val="nil"/>
              <w:bottom w:val="nil"/>
              <w:right w:val="nil"/>
            </w:tcBorders>
            <w:shd w:val="clear" w:color="auto" w:fill="auto"/>
          </w:tcPr>
          <w:p w14:paraId="64D8A131" w14:textId="77777777" w:rsidR="006D5D3E" w:rsidRPr="009E1EFE" w:rsidRDefault="006D5D3E" w:rsidP="006D5D3E">
            <w:pPr>
              <w:spacing w:line="240" w:lineRule="auto"/>
              <w:ind w:firstLine="0"/>
              <w:jc w:val="left"/>
              <w:rPr>
                <w:rFonts w:eastAsia="Times New Roman" w:cs="Times New Roman"/>
                <w:color w:val="000000"/>
              </w:rPr>
            </w:pPr>
          </w:p>
        </w:tc>
      </w:tr>
      <w:tr w:rsidR="006D5D3E" w:rsidRPr="0004448B" w14:paraId="499E5285" w14:textId="77777777" w:rsidTr="006D5D3E">
        <w:trPr>
          <w:trHeight w:val="305"/>
          <w:jc w:val="center"/>
        </w:trPr>
        <w:tc>
          <w:tcPr>
            <w:tcW w:w="2060" w:type="dxa"/>
            <w:vMerge w:val="restart"/>
            <w:tcBorders>
              <w:top w:val="nil"/>
              <w:left w:val="nil"/>
              <w:right w:val="single" w:sz="4" w:space="0" w:color="auto"/>
            </w:tcBorders>
            <w:shd w:val="clear" w:color="auto" w:fill="auto"/>
            <w:noWrap/>
            <w:vAlign w:val="center"/>
            <w:hideMark/>
          </w:tcPr>
          <w:p w14:paraId="2D4FD445" w14:textId="77777777" w:rsidR="006D5D3E" w:rsidRPr="0004448B" w:rsidRDefault="006D5D3E" w:rsidP="006D5D3E">
            <w:pPr>
              <w:spacing w:line="240" w:lineRule="auto"/>
              <w:ind w:firstLine="407"/>
              <w:jc w:val="left"/>
              <w:rPr>
                <w:rFonts w:eastAsia="Times New Roman" w:cs="Times New Roman"/>
                <w:color w:val="000000"/>
              </w:rPr>
            </w:pPr>
            <w:r w:rsidRPr="0004448B">
              <w:rPr>
                <w:rFonts w:eastAsia="Times New Roman" w:cs="Times New Roman"/>
                <w:color w:val="000000"/>
              </w:rPr>
              <w:t>Not satisfied</w:t>
            </w:r>
          </w:p>
        </w:tc>
        <w:tc>
          <w:tcPr>
            <w:tcW w:w="989" w:type="dxa"/>
            <w:tcBorders>
              <w:top w:val="nil"/>
              <w:left w:val="single" w:sz="4" w:space="0" w:color="auto"/>
              <w:bottom w:val="nil"/>
              <w:right w:val="nil"/>
            </w:tcBorders>
            <w:shd w:val="clear" w:color="auto" w:fill="auto"/>
            <w:noWrap/>
            <w:hideMark/>
          </w:tcPr>
          <w:p w14:paraId="6A8F15BC" w14:textId="77777777" w:rsidR="006D5D3E" w:rsidRPr="00123C0D" w:rsidRDefault="006D5D3E" w:rsidP="006D5D3E">
            <w:pPr>
              <w:spacing w:line="240" w:lineRule="auto"/>
              <w:ind w:firstLine="0"/>
              <w:jc w:val="center"/>
              <w:rPr>
                <w:rFonts w:eastAsia="Times New Roman" w:cs="Times New Roman"/>
                <w:b/>
                <w:bCs/>
                <w:color w:val="000000"/>
              </w:rPr>
            </w:pPr>
            <w:r w:rsidRPr="005D440E">
              <w:rPr>
                <w:b/>
              </w:rPr>
              <w:t xml:space="preserve"> 0.778</w:t>
            </w:r>
          </w:p>
        </w:tc>
        <w:tc>
          <w:tcPr>
            <w:tcW w:w="1259" w:type="dxa"/>
            <w:tcBorders>
              <w:top w:val="nil"/>
              <w:left w:val="nil"/>
              <w:bottom w:val="nil"/>
              <w:right w:val="double" w:sz="4" w:space="0" w:color="auto"/>
            </w:tcBorders>
            <w:shd w:val="clear" w:color="auto" w:fill="auto"/>
            <w:noWrap/>
            <w:hideMark/>
          </w:tcPr>
          <w:p w14:paraId="0E41AFC2" w14:textId="77777777" w:rsidR="006D5D3E" w:rsidRPr="009E1EFE" w:rsidRDefault="006D5D3E" w:rsidP="006D5D3E">
            <w:pPr>
              <w:spacing w:line="240" w:lineRule="auto"/>
              <w:ind w:firstLine="0"/>
              <w:jc w:val="center"/>
              <w:rPr>
                <w:rFonts w:eastAsia="Times New Roman" w:cs="Times New Roman"/>
                <w:color w:val="000000"/>
              </w:rPr>
            </w:pPr>
            <w:r w:rsidRPr="00645DDE">
              <w:t>-0.284</w:t>
            </w:r>
          </w:p>
        </w:tc>
        <w:tc>
          <w:tcPr>
            <w:tcW w:w="990" w:type="dxa"/>
            <w:tcBorders>
              <w:top w:val="nil"/>
              <w:left w:val="double" w:sz="4" w:space="0" w:color="auto"/>
              <w:bottom w:val="nil"/>
              <w:right w:val="nil"/>
            </w:tcBorders>
            <w:shd w:val="clear" w:color="auto" w:fill="auto"/>
          </w:tcPr>
          <w:p w14:paraId="09004C85" w14:textId="77777777" w:rsidR="006D5D3E" w:rsidRPr="009E1EFE" w:rsidRDefault="006D5D3E" w:rsidP="006D5D3E">
            <w:pPr>
              <w:spacing w:line="240" w:lineRule="auto"/>
              <w:ind w:firstLine="0"/>
              <w:jc w:val="center"/>
              <w:rPr>
                <w:rFonts w:cs="Times New Roman"/>
                <w:b/>
                <w:color w:val="000000"/>
              </w:rPr>
            </w:pPr>
            <w:r w:rsidRPr="00D17166">
              <w:t xml:space="preserve"> 0.102</w:t>
            </w:r>
          </w:p>
        </w:tc>
        <w:tc>
          <w:tcPr>
            <w:tcW w:w="1260" w:type="dxa"/>
            <w:tcBorders>
              <w:top w:val="nil"/>
              <w:left w:val="nil"/>
              <w:bottom w:val="nil"/>
              <w:right w:val="single" w:sz="2" w:space="0" w:color="auto"/>
            </w:tcBorders>
            <w:shd w:val="clear" w:color="auto" w:fill="auto"/>
          </w:tcPr>
          <w:p w14:paraId="6B842FC7" w14:textId="77777777" w:rsidR="006D5D3E" w:rsidRPr="009E1EFE" w:rsidRDefault="006D5D3E" w:rsidP="006D5D3E">
            <w:pPr>
              <w:spacing w:line="240" w:lineRule="auto"/>
              <w:ind w:firstLine="0"/>
              <w:jc w:val="center"/>
              <w:rPr>
                <w:rFonts w:cs="Times New Roman"/>
                <w:color w:val="000000"/>
              </w:rPr>
            </w:pPr>
            <w:r w:rsidRPr="00D17166">
              <w:t xml:space="preserve"> 0.964</w:t>
            </w:r>
          </w:p>
        </w:tc>
        <w:tc>
          <w:tcPr>
            <w:tcW w:w="2430" w:type="dxa"/>
            <w:gridSpan w:val="2"/>
            <w:tcBorders>
              <w:top w:val="nil"/>
              <w:left w:val="single" w:sz="2" w:space="0" w:color="auto"/>
              <w:bottom w:val="nil"/>
              <w:right w:val="single" w:sz="2" w:space="0" w:color="auto"/>
            </w:tcBorders>
            <w:shd w:val="clear" w:color="auto" w:fill="auto"/>
          </w:tcPr>
          <w:p w14:paraId="4929DE9A" w14:textId="77777777" w:rsidR="006D5D3E" w:rsidRPr="009E1EFE" w:rsidRDefault="006D5D3E" w:rsidP="006D5D3E">
            <w:pPr>
              <w:spacing w:line="240" w:lineRule="auto"/>
              <w:ind w:firstLine="0"/>
              <w:jc w:val="center"/>
              <w:rPr>
                <w:rFonts w:cs="Times New Roman"/>
                <w:color w:val="000000"/>
              </w:rPr>
            </w:pPr>
            <w:r w:rsidRPr="004712EB">
              <w:t xml:space="preserve"> 0.546</w:t>
            </w:r>
          </w:p>
        </w:tc>
        <w:tc>
          <w:tcPr>
            <w:tcW w:w="2147" w:type="dxa"/>
            <w:gridSpan w:val="2"/>
            <w:tcBorders>
              <w:top w:val="nil"/>
              <w:left w:val="single" w:sz="2" w:space="0" w:color="auto"/>
              <w:bottom w:val="nil"/>
              <w:right w:val="nil"/>
            </w:tcBorders>
            <w:shd w:val="clear" w:color="auto" w:fill="auto"/>
          </w:tcPr>
          <w:p w14:paraId="664D96C8" w14:textId="77777777" w:rsidR="006D5D3E" w:rsidRPr="009E1EFE" w:rsidRDefault="006D5D3E" w:rsidP="006D5D3E">
            <w:pPr>
              <w:spacing w:line="240" w:lineRule="auto"/>
              <w:ind w:firstLine="0"/>
              <w:jc w:val="center"/>
              <w:rPr>
                <w:rFonts w:cs="Times New Roman"/>
                <w:color w:val="000000"/>
              </w:rPr>
            </w:pPr>
            <w:r w:rsidRPr="00183169">
              <w:t xml:space="preserve"> 0.324</w:t>
            </w:r>
          </w:p>
        </w:tc>
      </w:tr>
      <w:tr w:rsidR="006D5D3E" w:rsidRPr="0004448B" w14:paraId="3D79C8EA" w14:textId="77777777" w:rsidTr="006D5D3E">
        <w:trPr>
          <w:trHeight w:val="305"/>
          <w:jc w:val="center"/>
        </w:trPr>
        <w:tc>
          <w:tcPr>
            <w:tcW w:w="2060" w:type="dxa"/>
            <w:vMerge/>
            <w:tcBorders>
              <w:left w:val="nil"/>
              <w:bottom w:val="nil"/>
              <w:right w:val="single" w:sz="4" w:space="0" w:color="auto"/>
            </w:tcBorders>
            <w:shd w:val="clear" w:color="auto" w:fill="auto"/>
            <w:noWrap/>
            <w:vAlign w:val="center"/>
            <w:hideMark/>
          </w:tcPr>
          <w:p w14:paraId="59D08651" w14:textId="77777777" w:rsidR="006D5D3E" w:rsidRPr="0004448B" w:rsidRDefault="006D5D3E" w:rsidP="006D5D3E">
            <w:pPr>
              <w:spacing w:line="240" w:lineRule="auto"/>
              <w:ind w:firstLine="0"/>
              <w:jc w:val="left"/>
              <w:rPr>
                <w:rFonts w:eastAsia="Times New Roman" w:cs="Times New Roman"/>
                <w:color w:val="000000"/>
              </w:rPr>
            </w:pPr>
          </w:p>
        </w:tc>
        <w:tc>
          <w:tcPr>
            <w:tcW w:w="989" w:type="dxa"/>
            <w:tcBorders>
              <w:top w:val="nil"/>
              <w:left w:val="single" w:sz="4" w:space="0" w:color="auto"/>
              <w:bottom w:val="nil"/>
              <w:right w:val="nil"/>
            </w:tcBorders>
            <w:shd w:val="clear" w:color="auto" w:fill="auto"/>
            <w:noWrap/>
            <w:hideMark/>
          </w:tcPr>
          <w:p w14:paraId="2FBDAEA3" w14:textId="77777777" w:rsidR="006D5D3E" w:rsidRPr="00123C0D" w:rsidRDefault="006D5D3E" w:rsidP="006D5D3E">
            <w:pPr>
              <w:spacing w:line="240" w:lineRule="auto"/>
              <w:ind w:firstLine="0"/>
              <w:jc w:val="center"/>
              <w:rPr>
                <w:rFonts w:eastAsia="Times New Roman" w:cs="Times New Roman"/>
                <w:b/>
                <w:bCs/>
                <w:color w:val="000000"/>
                <w:sz w:val="18"/>
                <w:szCs w:val="18"/>
              </w:rPr>
            </w:pPr>
            <w:proofErr w:type="gramStart"/>
            <w:r w:rsidRPr="005D440E">
              <w:rPr>
                <w:b/>
              </w:rPr>
              <w:t>( 90</w:t>
            </w:r>
            <w:proofErr w:type="gramEnd"/>
            <w:r w:rsidRPr="005D440E">
              <w:rPr>
                <w:b/>
              </w:rPr>
              <w:t>%)</w:t>
            </w:r>
          </w:p>
        </w:tc>
        <w:tc>
          <w:tcPr>
            <w:tcW w:w="1259" w:type="dxa"/>
            <w:tcBorders>
              <w:top w:val="nil"/>
              <w:left w:val="nil"/>
              <w:bottom w:val="nil"/>
              <w:right w:val="double" w:sz="4" w:space="0" w:color="auto"/>
            </w:tcBorders>
            <w:shd w:val="clear" w:color="auto" w:fill="auto"/>
            <w:noWrap/>
            <w:hideMark/>
          </w:tcPr>
          <w:p w14:paraId="1AE17B8F" w14:textId="77777777" w:rsidR="006D5D3E" w:rsidRPr="0027778F" w:rsidRDefault="006D5D3E" w:rsidP="006D5D3E">
            <w:pPr>
              <w:spacing w:line="240" w:lineRule="auto"/>
              <w:ind w:firstLine="0"/>
              <w:jc w:val="center"/>
              <w:rPr>
                <w:rFonts w:eastAsia="Times New Roman" w:cs="Times New Roman"/>
                <w:color w:val="000000"/>
                <w:sz w:val="18"/>
                <w:szCs w:val="18"/>
              </w:rPr>
            </w:pPr>
            <w:proofErr w:type="gramStart"/>
            <w:r w:rsidRPr="00645DDE">
              <w:t>( 28</w:t>
            </w:r>
            <w:proofErr w:type="gramEnd"/>
            <w:r w:rsidRPr="00645DDE">
              <w:t>%)</w:t>
            </w:r>
          </w:p>
        </w:tc>
        <w:tc>
          <w:tcPr>
            <w:tcW w:w="990" w:type="dxa"/>
            <w:tcBorders>
              <w:top w:val="nil"/>
              <w:left w:val="double" w:sz="4" w:space="0" w:color="auto"/>
              <w:bottom w:val="nil"/>
              <w:right w:val="nil"/>
            </w:tcBorders>
            <w:shd w:val="clear" w:color="auto" w:fill="auto"/>
          </w:tcPr>
          <w:p w14:paraId="574DD658" w14:textId="77777777" w:rsidR="006D5D3E" w:rsidRPr="0027778F" w:rsidRDefault="006D5D3E" w:rsidP="006D5D3E">
            <w:pPr>
              <w:spacing w:line="240" w:lineRule="auto"/>
              <w:ind w:firstLine="0"/>
              <w:jc w:val="center"/>
              <w:rPr>
                <w:rFonts w:cs="Times New Roman"/>
                <w:b/>
                <w:color w:val="000000"/>
                <w:sz w:val="18"/>
                <w:szCs w:val="18"/>
              </w:rPr>
            </w:pPr>
            <w:proofErr w:type="gramStart"/>
            <w:r w:rsidRPr="00D17166">
              <w:t>( 54</w:t>
            </w:r>
            <w:proofErr w:type="gramEnd"/>
            <w:r w:rsidRPr="00D17166">
              <w:t>%)</w:t>
            </w:r>
          </w:p>
        </w:tc>
        <w:tc>
          <w:tcPr>
            <w:tcW w:w="1260" w:type="dxa"/>
            <w:tcBorders>
              <w:top w:val="nil"/>
              <w:left w:val="nil"/>
              <w:bottom w:val="nil"/>
              <w:right w:val="single" w:sz="2" w:space="0" w:color="auto"/>
            </w:tcBorders>
            <w:shd w:val="clear" w:color="auto" w:fill="auto"/>
          </w:tcPr>
          <w:p w14:paraId="6024CD0D" w14:textId="77777777" w:rsidR="006D5D3E" w:rsidRPr="0027778F" w:rsidRDefault="006D5D3E" w:rsidP="006D5D3E">
            <w:pPr>
              <w:spacing w:line="240" w:lineRule="auto"/>
              <w:ind w:firstLine="0"/>
              <w:jc w:val="center"/>
              <w:rPr>
                <w:rFonts w:cs="Times New Roman"/>
                <w:color w:val="000000"/>
                <w:sz w:val="18"/>
                <w:szCs w:val="18"/>
              </w:rPr>
            </w:pPr>
            <w:proofErr w:type="gramStart"/>
            <w:r w:rsidRPr="00D17166">
              <w:t>( 89</w:t>
            </w:r>
            <w:proofErr w:type="gramEnd"/>
            <w:r w:rsidRPr="00D17166">
              <w:t>%)</w:t>
            </w:r>
          </w:p>
        </w:tc>
        <w:tc>
          <w:tcPr>
            <w:tcW w:w="2430" w:type="dxa"/>
            <w:gridSpan w:val="2"/>
            <w:tcBorders>
              <w:top w:val="nil"/>
              <w:left w:val="single" w:sz="2" w:space="0" w:color="auto"/>
              <w:bottom w:val="nil"/>
              <w:right w:val="single" w:sz="2" w:space="0" w:color="auto"/>
            </w:tcBorders>
            <w:shd w:val="clear" w:color="auto" w:fill="auto"/>
          </w:tcPr>
          <w:p w14:paraId="7EDB58D1" w14:textId="77777777" w:rsidR="006D5D3E" w:rsidRPr="0027778F" w:rsidRDefault="006D5D3E" w:rsidP="006D5D3E">
            <w:pPr>
              <w:spacing w:line="240" w:lineRule="auto"/>
              <w:ind w:firstLine="0"/>
              <w:jc w:val="center"/>
              <w:rPr>
                <w:rFonts w:cs="Times New Roman"/>
                <w:color w:val="000000"/>
                <w:sz w:val="18"/>
                <w:szCs w:val="18"/>
              </w:rPr>
            </w:pPr>
            <w:proofErr w:type="gramStart"/>
            <w:r w:rsidRPr="004712EB">
              <w:t>( 69</w:t>
            </w:r>
            <w:proofErr w:type="gramEnd"/>
            <w:r w:rsidRPr="004712EB">
              <w:t>%)</w:t>
            </w:r>
          </w:p>
        </w:tc>
        <w:tc>
          <w:tcPr>
            <w:tcW w:w="2147" w:type="dxa"/>
            <w:gridSpan w:val="2"/>
            <w:tcBorders>
              <w:top w:val="nil"/>
              <w:left w:val="single" w:sz="2" w:space="0" w:color="auto"/>
              <w:bottom w:val="nil"/>
              <w:right w:val="nil"/>
            </w:tcBorders>
            <w:shd w:val="clear" w:color="auto" w:fill="auto"/>
          </w:tcPr>
          <w:p w14:paraId="3FEB35BF" w14:textId="77777777" w:rsidR="006D5D3E" w:rsidRPr="0027778F" w:rsidRDefault="006D5D3E" w:rsidP="006D5D3E">
            <w:pPr>
              <w:spacing w:line="240" w:lineRule="auto"/>
              <w:ind w:firstLine="0"/>
              <w:jc w:val="center"/>
              <w:rPr>
                <w:rFonts w:cs="Times New Roman"/>
                <w:color w:val="000000"/>
                <w:sz w:val="18"/>
                <w:szCs w:val="18"/>
              </w:rPr>
            </w:pPr>
            <w:proofErr w:type="gramStart"/>
            <w:r w:rsidRPr="00183169">
              <w:t>( 62</w:t>
            </w:r>
            <w:proofErr w:type="gramEnd"/>
            <w:r w:rsidRPr="00183169">
              <w:t>%)</w:t>
            </w:r>
          </w:p>
        </w:tc>
      </w:tr>
      <w:tr w:rsidR="006D5D3E" w:rsidRPr="0004448B" w14:paraId="3803C347" w14:textId="77777777" w:rsidTr="006D5D3E">
        <w:trPr>
          <w:trHeight w:val="305"/>
          <w:jc w:val="center"/>
        </w:trPr>
        <w:tc>
          <w:tcPr>
            <w:tcW w:w="2060" w:type="dxa"/>
            <w:vMerge w:val="restart"/>
            <w:tcBorders>
              <w:top w:val="nil"/>
              <w:left w:val="nil"/>
              <w:right w:val="single" w:sz="4" w:space="0" w:color="auto"/>
            </w:tcBorders>
            <w:shd w:val="clear" w:color="auto" w:fill="auto"/>
            <w:noWrap/>
            <w:vAlign w:val="center"/>
            <w:hideMark/>
          </w:tcPr>
          <w:p w14:paraId="041D7B66" w14:textId="77777777" w:rsidR="006D5D3E" w:rsidRPr="0004448B" w:rsidRDefault="006D5D3E" w:rsidP="006D5D3E">
            <w:pPr>
              <w:spacing w:line="240" w:lineRule="auto"/>
              <w:ind w:firstLine="407"/>
              <w:jc w:val="left"/>
              <w:rPr>
                <w:rFonts w:eastAsia="Times New Roman" w:cs="Times New Roman"/>
                <w:color w:val="000000"/>
              </w:rPr>
            </w:pPr>
            <w:r w:rsidRPr="0004448B">
              <w:rPr>
                <w:rFonts w:eastAsia="Times New Roman" w:cs="Times New Roman"/>
                <w:color w:val="000000"/>
              </w:rPr>
              <w:t>Satisfied</w:t>
            </w:r>
          </w:p>
        </w:tc>
        <w:tc>
          <w:tcPr>
            <w:tcW w:w="989" w:type="dxa"/>
            <w:tcBorders>
              <w:top w:val="nil"/>
              <w:left w:val="single" w:sz="4" w:space="0" w:color="auto"/>
              <w:bottom w:val="nil"/>
              <w:right w:val="nil"/>
            </w:tcBorders>
            <w:shd w:val="clear" w:color="auto" w:fill="auto"/>
            <w:noWrap/>
            <w:hideMark/>
          </w:tcPr>
          <w:p w14:paraId="7A13A8FB" w14:textId="77777777" w:rsidR="006D5D3E" w:rsidRPr="00123C0D" w:rsidRDefault="006D5D3E" w:rsidP="006D5D3E">
            <w:pPr>
              <w:spacing w:line="240" w:lineRule="auto"/>
              <w:ind w:firstLine="0"/>
              <w:jc w:val="center"/>
              <w:rPr>
                <w:rFonts w:eastAsia="Times New Roman" w:cs="Times New Roman"/>
                <w:b/>
                <w:bCs/>
                <w:color w:val="000000"/>
              </w:rPr>
            </w:pPr>
            <w:r w:rsidRPr="005D440E">
              <w:rPr>
                <w:b/>
              </w:rPr>
              <w:t>-0.644</w:t>
            </w:r>
          </w:p>
        </w:tc>
        <w:tc>
          <w:tcPr>
            <w:tcW w:w="1259" w:type="dxa"/>
            <w:tcBorders>
              <w:top w:val="nil"/>
              <w:left w:val="nil"/>
              <w:bottom w:val="nil"/>
              <w:right w:val="double" w:sz="4" w:space="0" w:color="auto"/>
            </w:tcBorders>
            <w:shd w:val="clear" w:color="auto" w:fill="auto"/>
            <w:noWrap/>
            <w:hideMark/>
          </w:tcPr>
          <w:p w14:paraId="5F469679" w14:textId="77777777" w:rsidR="006D5D3E" w:rsidRPr="004072FB" w:rsidRDefault="006D5D3E" w:rsidP="006D5D3E">
            <w:pPr>
              <w:spacing w:line="240" w:lineRule="auto"/>
              <w:ind w:firstLine="0"/>
              <w:jc w:val="center"/>
              <w:rPr>
                <w:rFonts w:eastAsia="Times New Roman" w:cs="Times New Roman"/>
                <w:b/>
                <w:bCs/>
                <w:color w:val="000000"/>
              </w:rPr>
            </w:pPr>
            <w:r w:rsidRPr="005D440E">
              <w:rPr>
                <w:b/>
              </w:rPr>
              <w:t>-0.535</w:t>
            </w:r>
          </w:p>
        </w:tc>
        <w:tc>
          <w:tcPr>
            <w:tcW w:w="990" w:type="dxa"/>
            <w:tcBorders>
              <w:top w:val="nil"/>
              <w:left w:val="double" w:sz="4" w:space="0" w:color="auto"/>
              <w:bottom w:val="nil"/>
              <w:right w:val="nil"/>
            </w:tcBorders>
            <w:shd w:val="clear" w:color="auto" w:fill="auto"/>
          </w:tcPr>
          <w:p w14:paraId="32079260" w14:textId="77777777" w:rsidR="006D5D3E" w:rsidRPr="005D440E" w:rsidRDefault="006D5D3E" w:rsidP="006D5D3E">
            <w:pPr>
              <w:spacing w:line="240" w:lineRule="auto"/>
              <w:ind w:firstLine="0"/>
              <w:jc w:val="center"/>
              <w:rPr>
                <w:rFonts w:cs="Times New Roman"/>
                <w:b/>
                <w:color w:val="000000"/>
              </w:rPr>
            </w:pPr>
            <w:r w:rsidRPr="00D17166">
              <w:t xml:space="preserve"> 0.788</w:t>
            </w:r>
          </w:p>
        </w:tc>
        <w:tc>
          <w:tcPr>
            <w:tcW w:w="1260" w:type="dxa"/>
            <w:tcBorders>
              <w:top w:val="nil"/>
              <w:left w:val="nil"/>
              <w:bottom w:val="nil"/>
              <w:right w:val="single" w:sz="2" w:space="0" w:color="auto"/>
            </w:tcBorders>
            <w:shd w:val="clear" w:color="auto" w:fill="auto"/>
          </w:tcPr>
          <w:p w14:paraId="67872E5C" w14:textId="77777777" w:rsidR="006D5D3E" w:rsidRPr="009E1EFE" w:rsidRDefault="006D5D3E" w:rsidP="006D5D3E">
            <w:pPr>
              <w:spacing w:line="240" w:lineRule="auto"/>
              <w:ind w:firstLine="0"/>
              <w:jc w:val="center"/>
              <w:rPr>
                <w:rFonts w:cs="Times New Roman"/>
                <w:color w:val="000000"/>
              </w:rPr>
            </w:pPr>
            <w:r w:rsidRPr="00D17166">
              <w:t>-0.546</w:t>
            </w:r>
          </w:p>
        </w:tc>
        <w:tc>
          <w:tcPr>
            <w:tcW w:w="2430" w:type="dxa"/>
            <w:gridSpan w:val="2"/>
            <w:tcBorders>
              <w:top w:val="nil"/>
              <w:left w:val="single" w:sz="2" w:space="0" w:color="auto"/>
              <w:bottom w:val="nil"/>
              <w:right w:val="single" w:sz="2" w:space="0" w:color="auto"/>
            </w:tcBorders>
            <w:shd w:val="clear" w:color="auto" w:fill="auto"/>
          </w:tcPr>
          <w:p w14:paraId="480A762F" w14:textId="77777777" w:rsidR="006D5D3E" w:rsidRPr="00291A08" w:rsidRDefault="006D5D3E" w:rsidP="006D5D3E">
            <w:pPr>
              <w:spacing w:line="240" w:lineRule="auto"/>
              <w:ind w:firstLine="0"/>
              <w:jc w:val="center"/>
              <w:rPr>
                <w:rFonts w:cs="Times New Roman"/>
                <w:b/>
                <w:color w:val="000000"/>
              </w:rPr>
            </w:pPr>
            <w:r w:rsidRPr="004712EB">
              <w:t xml:space="preserve"> 0.491</w:t>
            </w:r>
          </w:p>
        </w:tc>
        <w:tc>
          <w:tcPr>
            <w:tcW w:w="2147" w:type="dxa"/>
            <w:gridSpan w:val="2"/>
            <w:tcBorders>
              <w:top w:val="nil"/>
              <w:left w:val="single" w:sz="2" w:space="0" w:color="auto"/>
              <w:bottom w:val="nil"/>
              <w:right w:val="nil"/>
            </w:tcBorders>
            <w:shd w:val="clear" w:color="auto" w:fill="auto"/>
          </w:tcPr>
          <w:p w14:paraId="5464BF17" w14:textId="77777777" w:rsidR="006D5D3E" w:rsidRPr="009E1EFE" w:rsidRDefault="006D5D3E" w:rsidP="006D5D3E">
            <w:pPr>
              <w:spacing w:line="240" w:lineRule="auto"/>
              <w:ind w:firstLine="0"/>
              <w:jc w:val="center"/>
              <w:rPr>
                <w:rFonts w:cs="Times New Roman"/>
                <w:color w:val="000000"/>
              </w:rPr>
            </w:pPr>
            <w:r w:rsidRPr="00183169">
              <w:t>-0.363</w:t>
            </w:r>
          </w:p>
        </w:tc>
      </w:tr>
      <w:tr w:rsidR="006D5D3E" w:rsidRPr="0004448B" w14:paraId="122F47B9" w14:textId="77777777" w:rsidTr="006D5D3E">
        <w:trPr>
          <w:trHeight w:val="305"/>
          <w:jc w:val="center"/>
        </w:trPr>
        <w:tc>
          <w:tcPr>
            <w:tcW w:w="2060" w:type="dxa"/>
            <w:vMerge/>
            <w:tcBorders>
              <w:left w:val="nil"/>
              <w:bottom w:val="single" w:sz="4" w:space="0" w:color="auto"/>
              <w:right w:val="single" w:sz="4" w:space="0" w:color="auto"/>
            </w:tcBorders>
            <w:shd w:val="clear" w:color="auto" w:fill="auto"/>
            <w:noWrap/>
            <w:vAlign w:val="center"/>
            <w:hideMark/>
          </w:tcPr>
          <w:p w14:paraId="0367402E" w14:textId="77777777" w:rsidR="006D5D3E" w:rsidRPr="0004448B" w:rsidRDefault="006D5D3E" w:rsidP="006D5D3E">
            <w:pPr>
              <w:spacing w:line="240" w:lineRule="auto"/>
              <w:ind w:firstLine="0"/>
              <w:jc w:val="left"/>
              <w:rPr>
                <w:rFonts w:eastAsia="Times New Roman" w:cs="Times New Roman"/>
                <w:color w:val="000000"/>
              </w:rPr>
            </w:pPr>
          </w:p>
        </w:tc>
        <w:tc>
          <w:tcPr>
            <w:tcW w:w="989" w:type="dxa"/>
            <w:tcBorders>
              <w:top w:val="nil"/>
              <w:left w:val="single" w:sz="4" w:space="0" w:color="auto"/>
              <w:bottom w:val="single" w:sz="4" w:space="0" w:color="auto"/>
              <w:right w:val="nil"/>
            </w:tcBorders>
            <w:shd w:val="clear" w:color="auto" w:fill="auto"/>
            <w:noWrap/>
            <w:hideMark/>
          </w:tcPr>
          <w:p w14:paraId="2B15DFD5" w14:textId="77777777" w:rsidR="006D5D3E" w:rsidRPr="005D440E" w:rsidRDefault="006D5D3E" w:rsidP="006D5D3E">
            <w:pPr>
              <w:spacing w:line="240" w:lineRule="auto"/>
              <w:ind w:firstLine="0"/>
              <w:jc w:val="center"/>
              <w:rPr>
                <w:rFonts w:eastAsia="Times New Roman" w:cs="Times New Roman"/>
                <w:b/>
                <w:bCs/>
                <w:color w:val="000000"/>
                <w:sz w:val="18"/>
                <w:szCs w:val="18"/>
              </w:rPr>
            </w:pPr>
            <w:proofErr w:type="gramStart"/>
            <w:r w:rsidRPr="005D440E">
              <w:rPr>
                <w:b/>
              </w:rPr>
              <w:t>(  7</w:t>
            </w:r>
            <w:proofErr w:type="gramEnd"/>
            <w:r w:rsidRPr="005D440E">
              <w:rPr>
                <w:b/>
              </w:rPr>
              <w:t>%)</w:t>
            </w:r>
          </w:p>
        </w:tc>
        <w:tc>
          <w:tcPr>
            <w:tcW w:w="1259" w:type="dxa"/>
            <w:tcBorders>
              <w:top w:val="nil"/>
              <w:left w:val="nil"/>
              <w:bottom w:val="single" w:sz="4" w:space="0" w:color="auto"/>
              <w:right w:val="double" w:sz="4" w:space="0" w:color="auto"/>
            </w:tcBorders>
            <w:shd w:val="clear" w:color="auto" w:fill="auto"/>
            <w:noWrap/>
            <w:hideMark/>
          </w:tcPr>
          <w:p w14:paraId="0138ADEC" w14:textId="77777777" w:rsidR="006D5D3E" w:rsidRPr="004072FB" w:rsidRDefault="006D5D3E" w:rsidP="006D5D3E">
            <w:pPr>
              <w:spacing w:line="240" w:lineRule="auto"/>
              <w:ind w:firstLine="0"/>
              <w:jc w:val="center"/>
              <w:rPr>
                <w:rFonts w:eastAsia="Times New Roman" w:cs="Times New Roman"/>
                <w:b/>
                <w:bCs/>
                <w:color w:val="000000"/>
                <w:sz w:val="18"/>
                <w:szCs w:val="18"/>
              </w:rPr>
            </w:pPr>
            <w:proofErr w:type="gramStart"/>
            <w:r w:rsidRPr="005D440E">
              <w:rPr>
                <w:b/>
              </w:rPr>
              <w:t>( 9</w:t>
            </w:r>
            <w:proofErr w:type="gramEnd"/>
            <w:r w:rsidRPr="005D440E">
              <w:rPr>
                <w:b/>
              </w:rPr>
              <w:t>%)</w:t>
            </w:r>
          </w:p>
        </w:tc>
        <w:tc>
          <w:tcPr>
            <w:tcW w:w="990" w:type="dxa"/>
            <w:tcBorders>
              <w:top w:val="nil"/>
              <w:left w:val="double" w:sz="4" w:space="0" w:color="auto"/>
              <w:bottom w:val="single" w:sz="4" w:space="0" w:color="auto"/>
              <w:right w:val="nil"/>
            </w:tcBorders>
            <w:shd w:val="clear" w:color="auto" w:fill="auto"/>
          </w:tcPr>
          <w:p w14:paraId="7674EB68" w14:textId="77777777" w:rsidR="006D5D3E" w:rsidRPr="005D440E" w:rsidRDefault="006D5D3E" w:rsidP="006D5D3E">
            <w:pPr>
              <w:spacing w:line="240" w:lineRule="auto"/>
              <w:ind w:firstLine="0"/>
              <w:jc w:val="center"/>
              <w:rPr>
                <w:rFonts w:cs="Times New Roman"/>
                <w:b/>
                <w:color w:val="000000"/>
                <w:sz w:val="18"/>
                <w:szCs w:val="18"/>
              </w:rPr>
            </w:pPr>
            <w:proofErr w:type="gramStart"/>
            <w:r w:rsidRPr="00D17166">
              <w:t>( 87</w:t>
            </w:r>
            <w:proofErr w:type="gramEnd"/>
            <w:r w:rsidRPr="00D17166">
              <w:t>%)</w:t>
            </w:r>
          </w:p>
        </w:tc>
        <w:tc>
          <w:tcPr>
            <w:tcW w:w="1260" w:type="dxa"/>
            <w:tcBorders>
              <w:top w:val="nil"/>
              <w:left w:val="nil"/>
              <w:bottom w:val="nil"/>
              <w:right w:val="single" w:sz="2" w:space="0" w:color="auto"/>
            </w:tcBorders>
            <w:shd w:val="clear" w:color="auto" w:fill="auto"/>
          </w:tcPr>
          <w:p w14:paraId="7E77E938" w14:textId="77777777" w:rsidR="006D5D3E" w:rsidRPr="0027778F" w:rsidRDefault="006D5D3E" w:rsidP="006D5D3E">
            <w:pPr>
              <w:spacing w:line="240" w:lineRule="auto"/>
              <w:ind w:firstLine="0"/>
              <w:jc w:val="center"/>
              <w:rPr>
                <w:rFonts w:cs="Times New Roman"/>
                <w:color w:val="000000"/>
                <w:sz w:val="18"/>
                <w:szCs w:val="18"/>
              </w:rPr>
            </w:pPr>
            <w:proofErr w:type="gramStart"/>
            <w:r w:rsidRPr="00D17166">
              <w:t>( 22</w:t>
            </w:r>
            <w:proofErr w:type="gramEnd"/>
            <w:r w:rsidRPr="00D17166">
              <w:t>%)</w:t>
            </w:r>
          </w:p>
        </w:tc>
        <w:tc>
          <w:tcPr>
            <w:tcW w:w="2430" w:type="dxa"/>
            <w:gridSpan w:val="2"/>
            <w:tcBorders>
              <w:top w:val="nil"/>
              <w:left w:val="single" w:sz="2" w:space="0" w:color="auto"/>
              <w:bottom w:val="nil"/>
              <w:right w:val="single" w:sz="2" w:space="0" w:color="auto"/>
            </w:tcBorders>
            <w:shd w:val="clear" w:color="auto" w:fill="auto"/>
          </w:tcPr>
          <w:p w14:paraId="593AF910" w14:textId="77777777" w:rsidR="006D5D3E" w:rsidRPr="00291A08" w:rsidRDefault="006D5D3E" w:rsidP="006D5D3E">
            <w:pPr>
              <w:spacing w:line="240" w:lineRule="auto"/>
              <w:ind w:firstLine="0"/>
              <w:jc w:val="center"/>
              <w:rPr>
                <w:rFonts w:cs="Times New Roman"/>
                <w:b/>
                <w:color w:val="000000"/>
                <w:sz w:val="18"/>
                <w:szCs w:val="18"/>
              </w:rPr>
            </w:pPr>
            <w:proofErr w:type="gramStart"/>
            <w:r w:rsidRPr="004712EB">
              <w:t>( 74</w:t>
            </w:r>
            <w:proofErr w:type="gramEnd"/>
            <w:r w:rsidRPr="004712EB">
              <w:t>%)</w:t>
            </w:r>
          </w:p>
        </w:tc>
        <w:tc>
          <w:tcPr>
            <w:tcW w:w="2147" w:type="dxa"/>
            <w:gridSpan w:val="2"/>
            <w:tcBorders>
              <w:top w:val="nil"/>
              <w:left w:val="single" w:sz="2" w:space="0" w:color="auto"/>
              <w:bottom w:val="nil"/>
              <w:right w:val="nil"/>
            </w:tcBorders>
            <w:shd w:val="clear" w:color="auto" w:fill="auto"/>
          </w:tcPr>
          <w:p w14:paraId="4671AE0F" w14:textId="77777777" w:rsidR="006D5D3E" w:rsidRPr="0027778F" w:rsidRDefault="006D5D3E" w:rsidP="006D5D3E">
            <w:pPr>
              <w:spacing w:line="240" w:lineRule="auto"/>
              <w:ind w:firstLine="0"/>
              <w:jc w:val="center"/>
              <w:rPr>
                <w:rFonts w:cs="Times New Roman"/>
                <w:color w:val="000000"/>
                <w:sz w:val="18"/>
                <w:szCs w:val="18"/>
              </w:rPr>
            </w:pPr>
            <w:proofErr w:type="gramStart"/>
            <w:r w:rsidRPr="00183169">
              <w:t>( 35</w:t>
            </w:r>
            <w:proofErr w:type="gramEnd"/>
            <w:r w:rsidRPr="00183169">
              <w:t>%)</w:t>
            </w:r>
          </w:p>
        </w:tc>
      </w:tr>
      <w:tr w:rsidR="006D5D3E" w:rsidRPr="0004448B" w14:paraId="531A4B3E" w14:textId="77777777" w:rsidTr="006D5D3E">
        <w:trPr>
          <w:trHeight w:val="422"/>
          <w:jc w:val="center"/>
        </w:trPr>
        <w:tc>
          <w:tcPr>
            <w:tcW w:w="5298" w:type="dxa"/>
            <w:gridSpan w:val="4"/>
            <w:tcBorders>
              <w:left w:val="nil"/>
              <w:bottom w:val="nil"/>
              <w:right w:val="nil"/>
            </w:tcBorders>
            <w:shd w:val="clear" w:color="auto" w:fill="auto"/>
            <w:noWrap/>
            <w:vAlign w:val="center"/>
          </w:tcPr>
          <w:p w14:paraId="3ADF489E" w14:textId="77777777" w:rsidR="006D5D3E" w:rsidRPr="009E1EFE" w:rsidRDefault="006D5D3E" w:rsidP="006D5D3E">
            <w:pPr>
              <w:spacing w:line="240" w:lineRule="auto"/>
              <w:ind w:firstLine="0"/>
              <w:jc w:val="left"/>
              <w:rPr>
                <w:rFonts w:eastAsia="Times New Roman" w:cs="Times New Roman"/>
                <w:color w:val="000000"/>
              </w:rPr>
            </w:pPr>
            <w:r w:rsidRPr="009E1EFE">
              <w:rPr>
                <w:rFonts w:eastAsia="Times New Roman" w:cs="Times New Roman"/>
                <w:color w:val="000000"/>
              </w:rPr>
              <w:t>Additional cross-category spillover, same company</w:t>
            </w:r>
          </w:p>
        </w:tc>
        <w:tc>
          <w:tcPr>
            <w:tcW w:w="1260" w:type="dxa"/>
            <w:tcBorders>
              <w:top w:val="single" w:sz="2" w:space="0" w:color="auto"/>
              <w:left w:val="nil"/>
              <w:bottom w:val="nil"/>
              <w:right w:val="single" w:sz="2" w:space="0" w:color="auto"/>
            </w:tcBorders>
            <w:shd w:val="clear" w:color="auto" w:fill="auto"/>
          </w:tcPr>
          <w:p w14:paraId="22F1A905" w14:textId="77777777" w:rsidR="006D5D3E" w:rsidRPr="009E1EFE" w:rsidRDefault="006D5D3E" w:rsidP="006D5D3E">
            <w:pPr>
              <w:spacing w:line="240" w:lineRule="auto"/>
              <w:ind w:firstLine="0"/>
              <w:jc w:val="left"/>
              <w:rPr>
                <w:rFonts w:eastAsia="Times New Roman" w:cs="Times New Roman"/>
                <w:color w:val="000000"/>
              </w:rPr>
            </w:pPr>
          </w:p>
        </w:tc>
        <w:tc>
          <w:tcPr>
            <w:tcW w:w="1170" w:type="dxa"/>
            <w:tcBorders>
              <w:top w:val="single" w:sz="2" w:space="0" w:color="auto"/>
              <w:left w:val="single" w:sz="2" w:space="0" w:color="auto"/>
              <w:bottom w:val="nil"/>
              <w:right w:val="nil"/>
            </w:tcBorders>
            <w:shd w:val="clear" w:color="auto" w:fill="auto"/>
          </w:tcPr>
          <w:p w14:paraId="2BEDF391" w14:textId="77777777" w:rsidR="006D5D3E" w:rsidRPr="009E1EFE" w:rsidRDefault="006D5D3E" w:rsidP="006D5D3E">
            <w:pPr>
              <w:spacing w:line="240" w:lineRule="auto"/>
              <w:ind w:firstLine="0"/>
              <w:jc w:val="left"/>
              <w:rPr>
                <w:rFonts w:eastAsia="Times New Roman" w:cs="Times New Roman"/>
                <w:color w:val="000000"/>
              </w:rPr>
            </w:pPr>
          </w:p>
        </w:tc>
        <w:tc>
          <w:tcPr>
            <w:tcW w:w="1260" w:type="dxa"/>
            <w:tcBorders>
              <w:top w:val="single" w:sz="2" w:space="0" w:color="auto"/>
              <w:left w:val="nil"/>
              <w:bottom w:val="nil"/>
              <w:right w:val="single" w:sz="2" w:space="0" w:color="auto"/>
            </w:tcBorders>
            <w:shd w:val="clear" w:color="auto" w:fill="auto"/>
          </w:tcPr>
          <w:p w14:paraId="62A5D7D7" w14:textId="77777777" w:rsidR="006D5D3E" w:rsidRPr="009E1EFE" w:rsidRDefault="006D5D3E" w:rsidP="006D5D3E">
            <w:pPr>
              <w:spacing w:line="240" w:lineRule="auto"/>
              <w:ind w:firstLine="0"/>
              <w:jc w:val="left"/>
              <w:rPr>
                <w:rFonts w:eastAsia="Times New Roman" w:cs="Times New Roman"/>
                <w:color w:val="000000"/>
              </w:rPr>
            </w:pPr>
          </w:p>
        </w:tc>
        <w:tc>
          <w:tcPr>
            <w:tcW w:w="917" w:type="dxa"/>
            <w:tcBorders>
              <w:top w:val="single" w:sz="2" w:space="0" w:color="auto"/>
              <w:left w:val="single" w:sz="2" w:space="0" w:color="auto"/>
              <w:bottom w:val="nil"/>
              <w:right w:val="nil"/>
            </w:tcBorders>
            <w:shd w:val="clear" w:color="auto" w:fill="auto"/>
          </w:tcPr>
          <w:p w14:paraId="0F564EF7" w14:textId="77777777" w:rsidR="006D5D3E" w:rsidRPr="009E1EFE" w:rsidRDefault="006D5D3E" w:rsidP="006D5D3E">
            <w:pPr>
              <w:spacing w:line="240" w:lineRule="auto"/>
              <w:ind w:firstLine="0"/>
              <w:jc w:val="left"/>
              <w:rPr>
                <w:rFonts w:eastAsia="Times New Roman" w:cs="Times New Roman"/>
                <w:color w:val="000000"/>
              </w:rPr>
            </w:pPr>
          </w:p>
        </w:tc>
        <w:tc>
          <w:tcPr>
            <w:tcW w:w="1230" w:type="dxa"/>
            <w:tcBorders>
              <w:left w:val="nil"/>
              <w:bottom w:val="nil"/>
              <w:right w:val="nil"/>
            </w:tcBorders>
            <w:shd w:val="clear" w:color="auto" w:fill="auto"/>
          </w:tcPr>
          <w:p w14:paraId="7D2016DE" w14:textId="77777777" w:rsidR="006D5D3E" w:rsidRPr="009E1EFE" w:rsidRDefault="006D5D3E" w:rsidP="006D5D3E">
            <w:pPr>
              <w:spacing w:line="240" w:lineRule="auto"/>
              <w:ind w:firstLine="0"/>
              <w:jc w:val="left"/>
              <w:rPr>
                <w:rFonts w:eastAsia="Times New Roman" w:cs="Times New Roman"/>
                <w:color w:val="000000"/>
              </w:rPr>
            </w:pPr>
          </w:p>
        </w:tc>
      </w:tr>
      <w:tr w:rsidR="006D5D3E" w:rsidRPr="0004448B" w14:paraId="31A0617D" w14:textId="77777777" w:rsidTr="006D5D3E">
        <w:trPr>
          <w:trHeight w:val="305"/>
          <w:jc w:val="center"/>
        </w:trPr>
        <w:tc>
          <w:tcPr>
            <w:tcW w:w="2060" w:type="dxa"/>
            <w:vMerge w:val="restart"/>
            <w:tcBorders>
              <w:top w:val="nil"/>
              <w:left w:val="nil"/>
              <w:right w:val="single" w:sz="4" w:space="0" w:color="auto"/>
            </w:tcBorders>
            <w:shd w:val="clear" w:color="auto" w:fill="auto"/>
            <w:noWrap/>
            <w:vAlign w:val="center"/>
            <w:hideMark/>
          </w:tcPr>
          <w:p w14:paraId="32C56875" w14:textId="77777777" w:rsidR="006D5D3E" w:rsidRPr="0004448B" w:rsidRDefault="006D5D3E" w:rsidP="006D5D3E">
            <w:pPr>
              <w:spacing w:line="240" w:lineRule="auto"/>
              <w:ind w:firstLine="407"/>
              <w:jc w:val="left"/>
              <w:rPr>
                <w:rFonts w:eastAsia="Times New Roman" w:cs="Times New Roman"/>
                <w:color w:val="000000"/>
              </w:rPr>
            </w:pPr>
            <w:r w:rsidRPr="0004448B">
              <w:rPr>
                <w:rFonts w:eastAsia="Times New Roman" w:cs="Times New Roman"/>
                <w:color w:val="000000"/>
              </w:rPr>
              <w:t>Not satisfied</w:t>
            </w:r>
          </w:p>
        </w:tc>
        <w:tc>
          <w:tcPr>
            <w:tcW w:w="989" w:type="dxa"/>
            <w:tcBorders>
              <w:top w:val="nil"/>
              <w:left w:val="single" w:sz="4" w:space="0" w:color="auto"/>
              <w:bottom w:val="nil"/>
              <w:right w:val="nil"/>
            </w:tcBorders>
            <w:shd w:val="clear" w:color="auto" w:fill="auto"/>
            <w:noWrap/>
            <w:hideMark/>
          </w:tcPr>
          <w:p w14:paraId="5A452FA9" w14:textId="77777777" w:rsidR="006D5D3E" w:rsidRPr="00062758" w:rsidRDefault="006D5D3E" w:rsidP="006D5D3E">
            <w:pPr>
              <w:spacing w:line="240" w:lineRule="auto"/>
              <w:ind w:firstLine="0"/>
              <w:jc w:val="center"/>
              <w:rPr>
                <w:rFonts w:eastAsia="Times New Roman" w:cs="Times New Roman"/>
                <w:b/>
                <w:bCs/>
                <w:color w:val="000000"/>
              </w:rPr>
            </w:pPr>
            <w:r w:rsidRPr="005D440E">
              <w:rPr>
                <w:b/>
              </w:rPr>
              <w:t>-1.713</w:t>
            </w:r>
          </w:p>
        </w:tc>
        <w:tc>
          <w:tcPr>
            <w:tcW w:w="1259" w:type="dxa"/>
            <w:tcBorders>
              <w:top w:val="nil"/>
              <w:left w:val="nil"/>
              <w:bottom w:val="nil"/>
              <w:right w:val="double" w:sz="4" w:space="0" w:color="auto"/>
            </w:tcBorders>
            <w:shd w:val="clear" w:color="auto" w:fill="auto"/>
            <w:noWrap/>
            <w:hideMark/>
          </w:tcPr>
          <w:p w14:paraId="2B425A76" w14:textId="77777777" w:rsidR="006D5D3E" w:rsidRPr="009E1EFE" w:rsidRDefault="006D5D3E" w:rsidP="006D5D3E">
            <w:pPr>
              <w:spacing w:line="240" w:lineRule="auto"/>
              <w:ind w:firstLine="0"/>
              <w:jc w:val="center"/>
              <w:rPr>
                <w:rFonts w:eastAsia="Times New Roman" w:cs="Times New Roman"/>
                <w:color w:val="000000"/>
              </w:rPr>
            </w:pPr>
            <w:r w:rsidRPr="004413BA">
              <w:t xml:space="preserve"> 0.336</w:t>
            </w:r>
          </w:p>
        </w:tc>
        <w:tc>
          <w:tcPr>
            <w:tcW w:w="990" w:type="dxa"/>
            <w:tcBorders>
              <w:top w:val="nil"/>
              <w:left w:val="double" w:sz="4" w:space="0" w:color="auto"/>
              <w:bottom w:val="nil"/>
              <w:right w:val="nil"/>
            </w:tcBorders>
            <w:shd w:val="clear" w:color="auto" w:fill="auto"/>
          </w:tcPr>
          <w:p w14:paraId="2B952235" w14:textId="77777777" w:rsidR="006D5D3E" w:rsidRPr="009E1EFE" w:rsidRDefault="006D5D3E" w:rsidP="006D5D3E">
            <w:pPr>
              <w:spacing w:line="240" w:lineRule="auto"/>
              <w:ind w:firstLine="0"/>
              <w:jc w:val="center"/>
              <w:rPr>
                <w:rFonts w:cs="Times New Roman"/>
                <w:b/>
                <w:color w:val="000000"/>
              </w:rPr>
            </w:pPr>
            <w:r w:rsidRPr="00CE3BD2">
              <w:t xml:space="preserve"> 0.601</w:t>
            </w:r>
          </w:p>
        </w:tc>
        <w:tc>
          <w:tcPr>
            <w:tcW w:w="1260" w:type="dxa"/>
            <w:tcBorders>
              <w:top w:val="nil"/>
              <w:left w:val="nil"/>
              <w:bottom w:val="nil"/>
              <w:right w:val="single" w:sz="2" w:space="0" w:color="auto"/>
            </w:tcBorders>
            <w:shd w:val="clear" w:color="auto" w:fill="auto"/>
          </w:tcPr>
          <w:p w14:paraId="134E0DB8" w14:textId="77777777" w:rsidR="006D5D3E" w:rsidRPr="009E1EFE" w:rsidRDefault="006D5D3E" w:rsidP="006D5D3E">
            <w:pPr>
              <w:spacing w:line="240" w:lineRule="auto"/>
              <w:ind w:firstLine="0"/>
              <w:jc w:val="center"/>
              <w:rPr>
                <w:rFonts w:cs="Times New Roman"/>
                <w:color w:val="000000"/>
              </w:rPr>
            </w:pPr>
            <w:r w:rsidRPr="00CE3BD2">
              <w:t>-0.714</w:t>
            </w:r>
          </w:p>
        </w:tc>
        <w:tc>
          <w:tcPr>
            <w:tcW w:w="1170" w:type="dxa"/>
            <w:tcBorders>
              <w:top w:val="nil"/>
              <w:left w:val="single" w:sz="2" w:space="0" w:color="auto"/>
              <w:bottom w:val="nil"/>
              <w:right w:val="nil"/>
            </w:tcBorders>
            <w:shd w:val="clear" w:color="auto" w:fill="D9D9D9" w:themeFill="background1" w:themeFillShade="D9"/>
          </w:tcPr>
          <w:p w14:paraId="347103BE" w14:textId="77777777" w:rsidR="006D5D3E" w:rsidRPr="009E1EFE" w:rsidRDefault="006D5D3E" w:rsidP="006D5D3E">
            <w:pPr>
              <w:spacing w:line="240" w:lineRule="auto"/>
              <w:ind w:firstLine="0"/>
              <w:jc w:val="center"/>
              <w:rPr>
                <w:rFonts w:cs="Times New Roman"/>
                <w:color w:val="000000"/>
              </w:rPr>
            </w:pPr>
          </w:p>
        </w:tc>
        <w:tc>
          <w:tcPr>
            <w:tcW w:w="1260" w:type="dxa"/>
            <w:tcBorders>
              <w:top w:val="nil"/>
              <w:left w:val="nil"/>
              <w:bottom w:val="nil"/>
              <w:right w:val="single" w:sz="2" w:space="0" w:color="auto"/>
            </w:tcBorders>
            <w:shd w:val="clear" w:color="auto" w:fill="D9D9D9" w:themeFill="background1" w:themeFillShade="D9"/>
          </w:tcPr>
          <w:p w14:paraId="6EA956D4" w14:textId="77777777" w:rsidR="006D5D3E" w:rsidRPr="009E1EFE" w:rsidRDefault="006D5D3E" w:rsidP="006D5D3E">
            <w:pPr>
              <w:spacing w:line="240" w:lineRule="auto"/>
              <w:ind w:firstLine="0"/>
              <w:jc w:val="center"/>
              <w:rPr>
                <w:rFonts w:cs="Times New Roman"/>
                <w:color w:val="000000"/>
              </w:rPr>
            </w:pPr>
          </w:p>
        </w:tc>
        <w:tc>
          <w:tcPr>
            <w:tcW w:w="917" w:type="dxa"/>
            <w:tcBorders>
              <w:top w:val="nil"/>
              <w:left w:val="single" w:sz="2" w:space="0" w:color="auto"/>
              <w:bottom w:val="nil"/>
              <w:right w:val="nil"/>
            </w:tcBorders>
            <w:shd w:val="clear" w:color="auto" w:fill="D9D9D9" w:themeFill="background1" w:themeFillShade="D9"/>
          </w:tcPr>
          <w:p w14:paraId="7174F5CE" w14:textId="77777777" w:rsidR="006D5D3E" w:rsidRPr="009E1EFE" w:rsidRDefault="006D5D3E" w:rsidP="006D5D3E">
            <w:pPr>
              <w:spacing w:line="240" w:lineRule="auto"/>
              <w:ind w:firstLine="0"/>
              <w:jc w:val="center"/>
              <w:rPr>
                <w:rFonts w:cs="Times New Roman"/>
                <w:color w:val="000000"/>
              </w:rPr>
            </w:pPr>
          </w:p>
        </w:tc>
        <w:tc>
          <w:tcPr>
            <w:tcW w:w="1230" w:type="dxa"/>
            <w:tcBorders>
              <w:top w:val="nil"/>
              <w:left w:val="nil"/>
              <w:bottom w:val="nil"/>
              <w:right w:val="nil"/>
            </w:tcBorders>
            <w:shd w:val="clear" w:color="auto" w:fill="D9D9D9" w:themeFill="background1" w:themeFillShade="D9"/>
          </w:tcPr>
          <w:p w14:paraId="2F06C42B" w14:textId="77777777" w:rsidR="006D5D3E" w:rsidRPr="009E1EFE" w:rsidRDefault="006D5D3E" w:rsidP="006D5D3E">
            <w:pPr>
              <w:spacing w:line="240" w:lineRule="auto"/>
              <w:ind w:firstLine="0"/>
              <w:jc w:val="center"/>
              <w:rPr>
                <w:rFonts w:cs="Times New Roman"/>
                <w:color w:val="000000"/>
              </w:rPr>
            </w:pPr>
          </w:p>
        </w:tc>
      </w:tr>
      <w:tr w:rsidR="006D5D3E" w:rsidRPr="0004448B" w14:paraId="23592EB4" w14:textId="77777777" w:rsidTr="006D5D3E">
        <w:trPr>
          <w:trHeight w:val="305"/>
          <w:jc w:val="center"/>
        </w:trPr>
        <w:tc>
          <w:tcPr>
            <w:tcW w:w="2060" w:type="dxa"/>
            <w:vMerge/>
            <w:tcBorders>
              <w:left w:val="nil"/>
              <w:bottom w:val="nil"/>
              <w:right w:val="single" w:sz="4" w:space="0" w:color="auto"/>
            </w:tcBorders>
            <w:shd w:val="clear" w:color="auto" w:fill="auto"/>
            <w:noWrap/>
            <w:vAlign w:val="center"/>
            <w:hideMark/>
          </w:tcPr>
          <w:p w14:paraId="70C8D744" w14:textId="77777777" w:rsidR="006D5D3E" w:rsidRPr="0004448B" w:rsidRDefault="006D5D3E" w:rsidP="006D5D3E">
            <w:pPr>
              <w:spacing w:line="240" w:lineRule="auto"/>
              <w:ind w:firstLine="0"/>
              <w:jc w:val="left"/>
              <w:rPr>
                <w:rFonts w:eastAsia="Times New Roman" w:cs="Times New Roman"/>
                <w:color w:val="000000"/>
              </w:rPr>
            </w:pPr>
          </w:p>
        </w:tc>
        <w:tc>
          <w:tcPr>
            <w:tcW w:w="989" w:type="dxa"/>
            <w:tcBorders>
              <w:top w:val="nil"/>
              <w:left w:val="single" w:sz="4" w:space="0" w:color="auto"/>
              <w:bottom w:val="nil"/>
              <w:right w:val="nil"/>
            </w:tcBorders>
            <w:shd w:val="clear" w:color="auto" w:fill="auto"/>
            <w:noWrap/>
            <w:hideMark/>
          </w:tcPr>
          <w:p w14:paraId="63F74A41" w14:textId="77777777" w:rsidR="006D5D3E" w:rsidRPr="00062758" w:rsidRDefault="006D5D3E" w:rsidP="006D5D3E">
            <w:pPr>
              <w:spacing w:line="240" w:lineRule="auto"/>
              <w:ind w:firstLine="0"/>
              <w:jc w:val="center"/>
              <w:rPr>
                <w:rFonts w:eastAsia="Times New Roman" w:cs="Times New Roman"/>
                <w:b/>
                <w:bCs/>
                <w:color w:val="000000"/>
                <w:sz w:val="18"/>
                <w:szCs w:val="18"/>
              </w:rPr>
            </w:pPr>
            <w:proofErr w:type="gramStart"/>
            <w:r w:rsidRPr="005D440E">
              <w:rPr>
                <w:b/>
              </w:rPr>
              <w:t>(  1</w:t>
            </w:r>
            <w:proofErr w:type="gramEnd"/>
            <w:r w:rsidRPr="005D440E">
              <w:rPr>
                <w:b/>
              </w:rPr>
              <w:t>%)</w:t>
            </w:r>
          </w:p>
        </w:tc>
        <w:tc>
          <w:tcPr>
            <w:tcW w:w="1259" w:type="dxa"/>
            <w:tcBorders>
              <w:top w:val="nil"/>
              <w:left w:val="nil"/>
              <w:bottom w:val="nil"/>
              <w:right w:val="double" w:sz="4" w:space="0" w:color="auto"/>
            </w:tcBorders>
            <w:shd w:val="clear" w:color="auto" w:fill="auto"/>
            <w:noWrap/>
            <w:hideMark/>
          </w:tcPr>
          <w:p w14:paraId="20E897E0" w14:textId="77777777" w:rsidR="006D5D3E" w:rsidRPr="0027778F" w:rsidRDefault="006D5D3E" w:rsidP="006D5D3E">
            <w:pPr>
              <w:spacing w:line="240" w:lineRule="auto"/>
              <w:ind w:firstLine="0"/>
              <w:jc w:val="center"/>
              <w:rPr>
                <w:rFonts w:eastAsia="Times New Roman" w:cs="Times New Roman"/>
                <w:color w:val="000000"/>
                <w:sz w:val="18"/>
                <w:szCs w:val="18"/>
              </w:rPr>
            </w:pPr>
            <w:proofErr w:type="gramStart"/>
            <w:r w:rsidRPr="004413BA">
              <w:t>( 68</w:t>
            </w:r>
            <w:proofErr w:type="gramEnd"/>
            <w:r w:rsidRPr="004413BA">
              <w:t>%)</w:t>
            </w:r>
          </w:p>
        </w:tc>
        <w:tc>
          <w:tcPr>
            <w:tcW w:w="990" w:type="dxa"/>
            <w:tcBorders>
              <w:top w:val="nil"/>
              <w:left w:val="double" w:sz="4" w:space="0" w:color="auto"/>
              <w:bottom w:val="nil"/>
              <w:right w:val="nil"/>
            </w:tcBorders>
            <w:shd w:val="clear" w:color="auto" w:fill="auto"/>
          </w:tcPr>
          <w:p w14:paraId="1617344F" w14:textId="77777777" w:rsidR="006D5D3E" w:rsidRPr="0027778F" w:rsidRDefault="006D5D3E" w:rsidP="006D5D3E">
            <w:pPr>
              <w:spacing w:line="240" w:lineRule="auto"/>
              <w:ind w:firstLine="0"/>
              <w:jc w:val="center"/>
              <w:rPr>
                <w:rFonts w:cs="Times New Roman"/>
                <w:b/>
                <w:color w:val="000000"/>
                <w:sz w:val="18"/>
                <w:szCs w:val="18"/>
              </w:rPr>
            </w:pPr>
            <w:proofErr w:type="gramStart"/>
            <w:r w:rsidRPr="00CE3BD2">
              <w:t>( 70</w:t>
            </w:r>
            <w:proofErr w:type="gramEnd"/>
            <w:r w:rsidRPr="00CE3BD2">
              <w:t>%)</w:t>
            </w:r>
          </w:p>
        </w:tc>
        <w:tc>
          <w:tcPr>
            <w:tcW w:w="1260" w:type="dxa"/>
            <w:tcBorders>
              <w:top w:val="nil"/>
              <w:left w:val="nil"/>
              <w:bottom w:val="nil"/>
              <w:right w:val="single" w:sz="2" w:space="0" w:color="auto"/>
            </w:tcBorders>
            <w:shd w:val="clear" w:color="auto" w:fill="auto"/>
          </w:tcPr>
          <w:p w14:paraId="133E7C90" w14:textId="77777777" w:rsidR="006D5D3E" w:rsidRPr="0027778F" w:rsidRDefault="006D5D3E" w:rsidP="006D5D3E">
            <w:pPr>
              <w:spacing w:line="240" w:lineRule="auto"/>
              <w:ind w:firstLine="0"/>
              <w:jc w:val="center"/>
              <w:rPr>
                <w:rFonts w:cs="Times New Roman"/>
                <w:color w:val="000000"/>
                <w:sz w:val="18"/>
                <w:szCs w:val="18"/>
              </w:rPr>
            </w:pPr>
            <w:proofErr w:type="gramStart"/>
            <w:r w:rsidRPr="00CE3BD2">
              <w:t>( 22</w:t>
            </w:r>
            <w:proofErr w:type="gramEnd"/>
            <w:r w:rsidRPr="00CE3BD2">
              <w:t>%)</w:t>
            </w:r>
          </w:p>
        </w:tc>
        <w:tc>
          <w:tcPr>
            <w:tcW w:w="1170" w:type="dxa"/>
            <w:tcBorders>
              <w:top w:val="nil"/>
              <w:left w:val="single" w:sz="2" w:space="0" w:color="auto"/>
              <w:bottom w:val="nil"/>
              <w:right w:val="nil"/>
            </w:tcBorders>
            <w:shd w:val="clear" w:color="auto" w:fill="D9D9D9" w:themeFill="background1" w:themeFillShade="D9"/>
          </w:tcPr>
          <w:p w14:paraId="5F3D6D30" w14:textId="77777777" w:rsidR="006D5D3E" w:rsidRPr="009E1EFE" w:rsidRDefault="006D5D3E" w:rsidP="006D5D3E">
            <w:pPr>
              <w:spacing w:line="240" w:lineRule="auto"/>
              <w:ind w:firstLine="0"/>
              <w:jc w:val="center"/>
              <w:rPr>
                <w:rFonts w:cs="Times New Roman"/>
                <w:color w:val="000000"/>
              </w:rPr>
            </w:pPr>
          </w:p>
        </w:tc>
        <w:tc>
          <w:tcPr>
            <w:tcW w:w="1260" w:type="dxa"/>
            <w:tcBorders>
              <w:top w:val="nil"/>
              <w:left w:val="nil"/>
              <w:bottom w:val="nil"/>
              <w:right w:val="single" w:sz="2" w:space="0" w:color="auto"/>
            </w:tcBorders>
            <w:shd w:val="clear" w:color="auto" w:fill="D9D9D9" w:themeFill="background1" w:themeFillShade="D9"/>
          </w:tcPr>
          <w:p w14:paraId="5292B236" w14:textId="77777777" w:rsidR="006D5D3E" w:rsidRPr="009E1EFE" w:rsidRDefault="006D5D3E" w:rsidP="006D5D3E">
            <w:pPr>
              <w:spacing w:line="240" w:lineRule="auto"/>
              <w:ind w:firstLine="0"/>
              <w:jc w:val="center"/>
              <w:rPr>
                <w:rFonts w:cs="Times New Roman"/>
                <w:color w:val="000000"/>
              </w:rPr>
            </w:pPr>
          </w:p>
        </w:tc>
        <w:tc>
          <w:tcPr>
            <w:tcW w:w="917" w:type="dxa"/>
            <w:tcBorders>
              <w:top w:val="nil"/>
              <w:left w:val="single" w:sz="2" w:space="0" w:color="auto"/>
              <w:bottom w:val="nil"/>
              <w:right w:val="nil"/>
            </w:tcBorders>
            <w:shd w:val="clear" w:color="auto" w:fill="D9D9D9" w:themeFill="background1" w:themeFillShade="D9"/>
          </w:tcPr>
          <w:p w14:paraId="60CBB169" w14:textId="77777777" w:rsidR="006D5D3E" w:rsidRPr="009E1EFE" w:rsidRDefault="006D5D3E" w:rsidP="006D5D3E">
            <w:pPr>
              <w:spacing w:line="240" w:lineRule="auto"/>
              <w:ind w:firstLine="0"/>
              <w:jc w:val="center"/>
              <w:rPr>
                <w:rFonts w:cs="Times New Roman"/>
                <w:color w:val="000000"/>
              </w:rPr>
            </w:pPr>
          </w:p>
        </w:tc>
        <w:tc>
          <w:tcPr>
            <w:tcW w:w="1230" w:type="dxa"/>
            <w:tcBorders>
              <w:top w:val="nil"/>
              <w:left w:val="nil"/>
              <w:bottom w:val="nil"/>
              <w:right w:val="nil"/>
            </w:tcBorders>
            <w:shd w:val="clear" w:color="auto" w:fill="D9D9D9" w:themeFill="background1" w:themeFillShade="D9"/>
          </w:tcPr>
          <w:p w14:paraId="0161E34A" w14:textId="77777777" w:rsidR="006D5D3E" w:rsidRPr="009E1EFE" w:rsidRDefault="006D5D3E" w:rsidP="006D5D3E">
            <w:pPr>
              <w:spacing w:line="240" w:lineRule="auto"/>
              <w:ind w:firstLine="0"/>
              <w:jc w:val="center"/>
              <w:rPr>
                <w:rFonts w:cs="Times New Roman"/>
                <w:color w:val="000000"/>
              </w:rPr>
            </w:pPr>
          </w:p>
        </w:tc>
      </w:tr>
      <w:tr w:rsidR="006D5D3E" w:rsidRPr="0004448B" w14:paraId="60360529" w14:textId="77777777" w:rsidTr="006D5D3E">
        <w:trPr>
          <w:trHeight w:val="305"/>
          <w:jc w:val="center"/>
        </w:trPr>
        <w:tc>
          <w:tcPr>
            <w:tcW w:w="2060" w:type="dxa"/>
            <w:vMerge w:val="restart"/>
            <w:tcBorders>
              <w:top w:val="nil"/>
              <w:left w:val="nil"/>
              <w:right w:val="single" w:sz="4" w:space="0" w:color="auto"/>
            </w:tcBorders>
            <w:shd w:val="clear" w:color="auto" w:fill="auto"/>
            <w:noWrap/>
            <w:vAlign w:val="center"/>
            <w:hideMark/>
          </w:tcPr>
          <w:p w14:paraId="2F61784C" w14:textId="77777777" w:rsidR="006D5D3E" w:rsidRPr="0004448B" w:rsidRDefault="006D5D3E" w:rsidP="006D5D3E">
            <w:pPr>
              <w:spacing w:line="240" w:lineRule="auto"/>
              <w:ind w:firstLine="407"/>
              <w:jc w:val="left"/>
              <w:rPr>
                <w:rFonts w:eastAsia="Times New Roman" w:cs="Times New Roman"/>
                <w:color w:val="000000"/>
              </w:rPr>
            </w:pPr>
            <w:r w:rsidRPr="0004448B">
              <w:rPr>
                <w:rFonts w:eastAsia="Times New Roman" w:cs="Times New Roman"/>
                <w:color w:val="000000"/>
              </w:rPr>
              <w:t>Satisfied</w:t>
            </w:r>
          </w:p>
        </w:tc>
        <w:tc>
          <w:tcPr>
            <w:tcW w:w="989" w:type="dxa"/>
            <w:tcBorders>
              <w:top w:val="nil"/>
              <w:left w:val="single" w:sz="4" w:space="0" w:color="auto"/>
              <w:bottom w:val="nil"/>
              <w:right w:val="nil"/>
            </w:tcBorders>
            <w:shd w:val="clear" w:color="auto" w:fill="auto"/>
            <w:noWrap/>
            <w:hideMark/>
          </w:tcPr>
          <w:p w14:paraId="4950D6D6" w14:textId="77777777" w:rsidR="006D5D3E" w:rsidRPr="009E1EFE" w:rsidRDefault="006D5D3E" w:rsidP="006D5D3E">
            <w:pPr>
              <w:spacing w:line="240" w:lineRule="auto"/>
              <w:ind w:firstLine="0"/>
              <w:jc w:val="center"/>
              <w:rPr>
                <w:rFonts w:eastAsia="Times New Roman" w:cs="Times New Roman"/>
                <w:color w:val="000000"/>
              </w:rPr>
            </w:pPr>
            <w:r w:rsidRPr="004413BA">
              <w:t>-0.655</w:t>
            </w:r>
          </w:p>
        </w:tc>
        <w:tc>
          <w:tcPr>
            <w:tcW w:w="1259" w:type="dxa"/>
            <w:tcBorders>
              <w:top w:val="nil"/>
              <w:left w:val="nil"/>
              <w:bottom w:val="nil"/>
              <w:right w:val="double" w:sz="4" w:space="0" w:color="auto"/>
            </w:tcBorders>
            <w:shd w:val="clear" w:color="auto" w:fill="auto"/>
            <w:noWrap/>
            <w:hideMark/>
          </w:tcPr>
          <w:p w14:paraId="3D4E9C0F" w14:textId="77777777" w:rsidR="006D5D3E" w:rsidRPr="009E1EFE" w:rsidRDefault="006D5D3E" w:rsidP="006D5D3E">
            <w:pPr>
              <w:spacing w:line="240" w:lineRule="auto"/>
              <w:ind w:firstLine="0"/>
              <w:jc w:val="center"/>
              <w:rPr>
                <w:rFonts w:eastAsia="Times New Roman" w:cs="Times New Roman"/>
                <w:b/>
                <w:bCs/>
                <w:color w:val="000000"/>
              </w:rPr>
            </w:pPr>
            <w:r w:rsidRPr="004413BA">
              <w:t>-0.023</w:t>
            </w:r>
          </w:p>
        </w:tc>
        <w:tc>
          <w:tcPr>
            <w:tcW w:w="990" w:type="dxa"/>
            <w:tcBorders>
              <w:top w:val="nil"/>
              <w:left w:val="double" w:sz="4" w:space="0" w:color="auto"/>
              <w:bottom w:val="nil"/>
              <w:right w:val="nil"/>
            </w:tcBorders>
            <w:shd w:val="clear" w:color="auto" w:fill="auto"/>
          </w:tcPr>
          <w:p w14:paraId="0BC5B22F" w14:textId="77777777" w:rsidR="006D5D3E" w:rsidRPr="005D440E" w:rsidRDefault="006D5D3E" w:rsidP="006D5D3E">
            <w:pPr>
              <w:spacing w:line="240" w:lineRule="auto"/>
              <w:ind w:firstLine="0"/>
              <w:jc w:val="center"/>
              <w:rPr>
                <w:rFonts w:cs="Times New Roman"/>
                <w:b/>
                <w:color w:val="000000"/>
              </w:rPr>
            </w:pPr>
            <w:r w:rsidRPr="005D440E">
              <w:rPr>
                <w:b/>
              </w:rPr>
              <w:t xml:space="preserve"> 1.171</w:t>
            </w:r>
          </w:p>
        </w:tc>
        <w:tc>
          <w:tcPr>
            <w:tcW w:w="1260" w:type="dxa"/>
            <w:tcBorders>
              <w:top w:val="nil"/>
              <w:left w:val="nil"/>
              <w:bottom w:val="nil"/>
              <w:right w:val="single" w:sz="2" w:space="0" w:color="auto"/>
            </w:tcBorders>
            <w:shd w:val="clear" w:color="auto" w:fill="auto"/>
          </w:tcPr>
          <w:p w14:paraId="3A517A89" w14:textId="77777777" w:rsidR="006D5D3E" w:rsidRPr="005D440E" w:rsidRDefault="006D5D3E" w:rsidP="006D5D3E">
            <w:pPr>
              <w:spacing w:line="240" w:lineRule="auto"/>
              <w:ind w:firstLine="0"/>
              <w:jc w:val="center"/>
              <w:rPr>
                <w:rFonts w:cs="Times New Roman"/>
                <w:b/>
                <w:color w:val="000000"/>
              </w:rPr>
            </w:pPr>
            <w:r w:rsidRPr="005D440E">
              <w:rPr>
                <w:b/>
              </w:rPr>
              <w:t xml:space="preserve"> 1.707</w:t>
            </w:r>
          </w:p>
        </w:tc>
        <w:tc>
          <w:tcPr>
            <w:tcW w:w="1170" w:type="dxa"/>
            <w:tcBorders>
              <w:top w:val="nil"/>
              <w:left w:val="single" w:sz="2" w:space="0" w:color="auto"/>
              <w:bottom w:val="nil"/>
              <w:right w:val="nil"/>
            </w:tcBorders>
            <w:shd w:val="clear" w:color="auto" w:fill="D9D9D9" w:themeFill="background1" w:themeFillShade="D9"/>
          </w:tcPr>
          <w:p w14:paraId="62D69BDB" w14:textId="77777777" w:rsidR="006D5D3E" w:rsidRPr="009E1EFE" w:rsidRDefault="006D5D3E" w:rsidP="006D5D3E">
            <w:pPr>
              <w:spacing w:line="240" w:lineRule="auto"/>
              <w:ind w:firstLine="0"/>
              <w:jc w:val="center"/>
              <w:rPr>
                <w:rFonts w:cs="Times New Roman"/>
                <w:color w:val="000000"/>
              </w:rPr>
            </w:pPr>
          </w:p>
        </w:tc>
        <w:tc>
          <w:tcPr>
            <w:tcW w:w="1260" w:type="dxa"/>
            <w:tcBorders>
              <w:top w:val="nil"/>
              <w:left w:val="nil"/>
              <w:bottom w:val="nil"/>
              <w:right w:val="single" w:sz="2" w:space="0" w:color="auto"/>
            </w:tcBorders>
            <w:shd w:val="clear" w:color="auto" w:fill="D9D9D9" w:themeFill="background1" w:themeFillShade="D9"/>
          </w:tcPr>
          <w:p w14:paraId="5E260257" w14:textId="77777777" w:rsidR="006D5D3E" w:rsidRPr="009E1EFE" w:rsidRDefault="006D5D3E" w:rsidP="006D5D3E">
            <w:pPr>
              <w:spacing w:line="240" w:lineRule="auto"/>
              <w:ind w:firstLine="0"/>
              <w:jc w:val="center"/>
              <w:rPr>
                <w:rFonts w:cs="Times New Roman"/>
                <w:color w:val="000000"/>
              </w:rPr>
            </w:pPr>
          </w:p>
        </w:tc>
        <w:tc>
          <w:tcPr>
            <w:tcW w:w="917" w:type="dxa"/>
            <w:tcBorders>
              <w:top w:val="nil"/>
              <w:left w:val="single" w:sz="2" w:space="0" w:color="auto"/>
              <w:bottom w:val="nil"/>
              <w:right w:val="nil"/>
            </w:tcBorders>
            <w:shd w:val="clear" w:color="auto" w:fill="D9D9D9" w:themeFill="background1" w:themeFillShade="D9"/>
          </w:tcPr>
          <w:p w14:paraId="73349F04" w14:textId="77777777" w:rsidR="006D5D3E" w:rsidRPr="009E1EFE" w:rsidRDefault="006D5D3E" w:rsidP="006D5D3E">
            <w:pPr>
              <w:spacing w:line="240" w:lineRule="auto"/>
              <w:ind w:firstLine="0"/>
              <w:jc w:val="center"/>
              <w:rPr>
                <w:rFonts w:cs="Times New Roman"/>
                <w:color w:val="000000"/>
              </w:rPr>
            </w:pPr>
          </w:p>
        </w:tc>
        <w:tc>
          <w:tcPr>
            <w:tcW w:w="1230" w:type="dxa"/>
            <w:tcBorders>
              <w:top w:val="nil"/>
              <w:left w:val="nil"/>
              <w:bottom w:val="nil"/>
              <w:right w:val="nil"/>
            </w:tcBorders>
            <w:shd w:val="clear" w:color="auto" w:fill="D9D9D9" w:themeFill="background1" w:themeFillShade="D9"/>
          </w:tcPr>
          <w:p w14:paraId="44C54D5F" w14:textId="77777777" w:rsidR="006D5D3E" w:rsidRPr="009E1EFE" w:rsidRDefault="006D5D3E" w:rsidP="006D5D3E">
            <w:pPr>
              <w:spacing w:line="240" w:lineRule="auto"/>
              <w:ind w:firstLine="0"/>
              <w:jc w:val="center"/>
              <w:rPr>
                <w:rFonts w:cs="Times New Roman"/>
                <w:color w:val="000000"/>
              </w:rPr>
            </w:pPr>
          </w:p>
        </w:tc>
      </w:tr>
      <w:tr w:rsidR="006D5D3E" w:rsidRPr="0004448B" w14:paraId="5418BADB" w14:textId="77777777" w:rsidTr="006D5D3E">
        <w:trPr>
          <w:trHeight w:val="305"/>
          <w:jc w:val="center"/>
        </w:trPr>
        <w:tc>
          <w:tcPr>
            <w:tcW w:w="2060" w:type="dxa"/>
            <w:vMerge/>
            <w:tcBorders>
              <w:left w:val="nil"/>
              <w:bottom w:val="single" w:sz="4" w:space="0" w:color="auto"/>
              <w:right w:val="single" w:sz="4" w:space="0" w:color="auto"/>
            </w:tcBorders>
            <w:shd w:val="clear" w:color="auto" w:fill="auto"/>
            <w:noWrap/>
            <w:vAlign w:val="center"/>
            <w:hideMark/>
          </w:tcPr>
          <w:p w14:paraId="1370D2F5" w14:textId="77777777" w:rsidR="006D5D3E" w:rsidRPr="0004448B" w:rsidRDefault="006D5D3E" w:rsidP="006D5D3E">
            <w:pPr>
              <w:spacing w:line="240" w:lineRule="auto"/>
              <w:ind w:firstLine="0"/>
              <w:jc w:val="left"/>
              <w:rPr>
                <w:rFonts w:eastAsia="Times New Roman" w:cs="Times New Roman"/>
                <w:color w:val="000000"/>
              </w:rPr>
            </w:pPr>
          </w:p>
        </w:tc>
        <w:tc>
          <w:tcPr>
            <w:tcW w:w="989" w:type="dxa"/>
            <w:tcBorders>
              <w:top w:val="nil"/>
              <w:left w:val="single" w:sz="4" w:space="0" w:color="auto"/>
              <w:bottom w:val="single" w:sz="2" w:space="0" w:color="auto"/>
              <w:right w:val="nil"/>
            </w:tcBorders>
            <w:shd w:val="clear" w:color="auto" w:fill="auto"/>
            <w:noWrap/>
            <w:hideMark/>
          </w:tcPr>
          <w:p w14:paraId="6A59CB68" w14:textId="77777777" w:rsidR="006D5D3E" w:rsidRPr="0027778F" w:rsidRDefault="006D5D3E" w:rsidP="006D5D3E">
            <w:pPr>
              <w:spacing w:line="240" w:lineRule="auto"/>
              <w:ind w:firstLine="0"/>
              <w:jc w:val="center"/>
              <w:rPr>
                <w:rFonts w:eastAsia="Times New Roman" w:cs="Times New Roman"/>
                <w:color w:val="000000"/>
                <w:sz w:val="18"/>
                <w:szCs w:val="18"/>
              </w:rPr>
            </w:pPr>
            <w:proofErr w:type="gramStart"/>
            <w:r w:rsidRPr="004413BA">
              <w:t>( 13</w:t>
            </w:r>
            <w:proofErr w:type="gramEnd"/>
            <w:r w:rsidRPr="004413BA">
              <w:t>%)</w:t>
            </w:r>
          </w:p>
        </w:tc>
        <w:tc>
          <w:tcPr>
            <w:tcW w:w="1259" w:type="dxa"/>
            <w:tcBorders>
              <w:top w:val="nil"/>
              <w:left w:val="nil"/>
              <w:bottom w:val="single" w:sz="2" w:space="0" w:color="auto"/>
              <w:right w:val="double" w:sz="4" w:space="0" w:color="auto"/>
            </w:tcBorders>
            <w:shd w:val="clear" w:color="auto" w:fill="auto"/>
            <w:noWrap/>
            <w:hideMark/>
          </w:tcPr>
          <w:p w14:paraId="11DD3CC9" w14:textId="77777777" w:rsidR="006D5D3E" w:rsidRPr="0027778F" w:rsidRDefault="006D5D3E" w:rsidP="006D5D3E">
            <w:pPr>
              <w:spacing w:line="240" w:lineRule="auto"/>
              <w:ind w:firstLine="0"/>
              <w:jc w:val="center"/>
              <w:rPr>
                <w:rFonts w:eastAsia="Times New Roman" w:cs="Times New Roman"/>
                <w:b/>
                <w:bCs/>
                <w:color w:val="000000"/>
                <w:sz w:val="18"/>
                <w:szCs w:val="18"/>
              </w:rPr>
            </w:pPr>
            <w:proofErr w:type="gramStart"/>
            <w:r w:rsidRPr="004413BA">
              <w:t>( 48</w:t>
            </w:r>
            <w:proofErr w:type="gramEnd"/>
            <w:r w:rsidRPr="004413BA">
              <w:t>%)</w:t>
            </w:r>
          </w:p>
        </w:tc>
        <w:tc>
          <w:tcPr>
            <w:tcW w:w="990" w:type="dxa"/>
            <w:tcBorders>
              <w:top w:val="nil"/>
              <w:left w:val="double" w:sz="4" w:space="0" w:color="auto"/>
              <w:bottom w:val="single" w:sz="8" w:space="0" w:color="auto"/>
              <w:right w:val="nil"/>
            </w:tcBorders>
            <w:shd w:val="clear" w:color="auto" w:fill="auto"/>
          </w:tcPr>
          <w:p w14:paraId="6F71A2FD" w14:textId="77777777" w:rsidR="006D5D3E" w:rsidRPr="005D440E" w:rsidRDefault="006D5D3E" w:rsidP="006D5D3E">
            <w:pPr>
              <w:spacing w:line="240" w:lineRule="auto"/>
              <w:ind w:firstLine="0"/>
              <w:jc w:val="center"/>
              <w:rPr>
                <w:rFonts w:cs="Times New Roman"/>
                <w:b/>
                <w:color w:val="000000"/>
                <w:sz w:val="18"/>
                <w:szCs w:val="18"/>
              </w:rPr>
            </w:pPr>
            <w:proofErr w:type="gramStart"/>
            <w:r w:rsidRPr="005D440E">
              <w:rPr>
                <w:b/>
              </w:rPr>
              <w:t>( 96</w:t>
            </w:r>
            <w:proofErr w:type="gramEnd"/>
            <w:r w:rsidRPr="005D440E">
              <w:rPr>
                <w:b/>
              </w:rPr>
              <w:t>%)</w:t>
            </w:r>
          </w:p>
        </w:tc>
        <w:tc>
          <w:tcPr>
            <w:tcW w:w="1260" w:type="dxa"/>
            <w:tcBorders>
              <w:top w:val="nil"/>
              <w:left w:val="nil"/>
              <w:bottom w:val="single" w:sz="8" w:space="0" w:color="auto"/>
              <w:right w:val="single" w:sz="2" w:space="0" w:color="auto"/>
            </w:tcBorders>
            <w:shd w:val="clear" w:color="auto" w:fill="auto"/>
          </w:tcPr>
          <w:p w14:paraId="7586B80C" w14:textId="77777777" w:rsidR="006D5D3E" w:rsidRPr="005D440E" w:rsidRDefault="006D5D3E" w:rsidP="006D5D3E">
            <w:pPr>
              <w:spacing w:line="240" w:lineRule="auto"/>
              <w:ind w:firstLine="0"/>
              <w:jc w:val="center"/>
              <w:rPr>
                <w:rFonts w:cs="Times New Roman"/>
                <w:b/>
                <w:color w:val="000000"/>
                <w:sz w:val="18"/>
                <w:szCs w:val="18"/>
              </w:rPr>
            </w:pPr>
            <w:r w:rsidRPr="005D440E">
              <w:rPr>
                <w:b/>
              </w:rPr>
              <w:t>(100%)</w:t>
            </w:r>
          </w:p>
        </w:tc>
        <w:tc>
          <w:tcPr>
            <w:tcW w:w="1170" w:type="dxa"/>
            <w:tcBorders>
              <w:top w:val="nil"/>
              <w:left w:val="single" w:sz="2" w:space="0" w:color="auto"/>
              <w:bottom w:val="single" w:sz="2" w:space="0" w:color="auto"/>
              <w:right w:val="nil"/>
            </w:tcBorders>
            <w:shd w:val="clear" w:color="auto" w:fill="D9D9D9" w:themeFill="background1" w:themeFillShade="D9"/>
          </w:tcPr>
          <w:p w14:paraId="4C4F932E" w14:textId="77777777" w:rsidR="006D5D3E" w:rsidRPr="009E1EFE" w:rsidRDefault="006D5D3E" w:rsidP="006D5D3E">
            <w:pPr>
              <w:spacing w:line="240" w:lineRule="auto"/>
              <w:ind w:firstLine="0"/>
              <w:jc w:val="center"/>
              <w:rPr>
                <w:rFonts w:cs="Times New Roman"/>
                <w:color w:val="000000"/>
              </w:rPr>
            </w:pPr>
          </w:p>
        </w:tc>
        <w:tc>
          <w:tcPr>
            <w:tcW w:w="1260" w:type="dxa"/>
            <w:tcBorders>
              <w:top w:val="nil"/>
              <w:left w:val="nil"/>
              <w:bottom w:val="single" w:sz="2" w:space="0" w:color="auto"/>
              <w:right w:val="single" w:sz="2" w:space="0" w:color="auto"/>
            </w:tcBorders>
            <w:shd w:val="clear" w:color="auto" w:fill="D9D9D9" w:themeFill="background1" w:themeFillShade="D9"/>
          </w:tcPr>
          <w:p w14:paraId="23CE1811" w14:textId="77777777" w:rsidR="006D5D3E" w:rsidRPr="009E1EFE" w:rsidRDefault="006D5D3E" w:rsidP="006D5D3E">
            <w:pPr>
              <w:spacing w:line="240" w:lineRule="auto"/>
              <w:ind w:firstLine="0"/>
              <w:jc w:val="center"/>
              <w:rPr>
                <w:rFonts w:cs="Times New Roman"/>
                <w:color w:val="000000"/>
              </w:rPr>
            </w:pPr>
          </w:p>
        </w:tc>
        <w:tc>
          <w:tcPr>
            <w:tcW w:w="917" w:type="dxa"/>
            <w:tcBorders>
              <w:top w:val="nil"/>
              <w:left w:val="single" w:sz="2" w:space="0" w:color="auto"/>
              <w:bottom w:val="single" w:sz="2" w:space="0" w:color="auto"/>
              <w:right w:val="nil"/>
            </w:tcBorders>
            <w:shd w:val="clear" w:color="auto" w:fill="D9D9D9" w:themeFill="background1" w:themeFillShade="D9"/>
          </w:tcPr>
          <w:p w14:paraId="347DFB2D" w14:textId="77777777" w:rsidR="006D5D3E" w:rsidRPr="009E1EFE" w:rsidRDefault="006D5D3E" w:rsidP="006D5D3E">
            <w:pPr>
              <w:spacing w:line="240" w:lineRule="auto"/>
              <w:ind w:firstLine="0"/>
              <w:jc w:val="center"/>
              <w:rPr>
                <w:rFonts w:cs="Times New Roman"/>
                <w:color w:val="000000"/>
              </w:rPr>
            </w:pPr>
          </w:p>
        </w:tc>
        <w:tc>
          <w:tcPr>
            <w:tcW w:w="1230" w:type="dxa"/>
            <w:tcBorders>
              <w:top w:val="nil"/>
              <w:left w:val="nil"/>
              <w:bottom w:val="single" w:sz="2" w:space="0" w:color="auto"/>
              <w:right w:val="nil"/>
            </w:tcBorders>
            <w:shd w:val="clear" w:color="auto" w:fill="D9D9D9" w:themeFill="background1" w:themeFillShade="D9"/>
          </w:tcPr>
          <w:p w14:paraId="6019AD43" w14:textId="77777777" w:rsidR="006D5D3E" w:rsidRPr="009E1EFE" w:rsidRDefault="006D5D3E" w:rsidP="006D5D3E">
            <w:pPr>
              <w:spacing w:line="240" w:lineRule="auto"/>
              <w:ind w:firstLine="0"/>
              <w:jc w:val="center"/>
              <w:rPr>
                <w:rFonts w:cs="Times New Roman"/>
                <w:color w:val="000000"/>
              </w:rPr>
            </w:pPr>
          </w:p>
        </w:tc>
      </w:tr>
    </w:tbl>
    <w:p w14:paraId="6FE45DC5" w14:textId="77777777" w:rsidR="008A3424" w:rsidRDefault="008A3424" w:rsidP="007F602D">
      <w:pPr>
        <w:pStyle w:val="reference"/>
        <w:spacing w:line="276" w:lineRule="auto"/>
        <w:ind w:firstLine="0"/>
        <w:jc w:val="center"/>
        <w:rPr>
          <w:u w:val="single"/>
        </w:rPr>
      </w:pPr>
    </w:p>
    <w:p w14:paraId="2CD2EC1F" w14:textId="77777777" w:rsidR="00DE4427" w:rsidRDefault="00DE4427">
      <w:pPr>
        <w:spacing w:after="200" w:line="276" w:lineRule="auto"/>
        <w:ind w:firstLine="0"/>
        <w:jc w:val="left"/>
        <w:rPr>
          <w:rFonts w:eastAsia="SimSun" w:cs="Times New Roman"/>
          <w:szCs w:val="23"/>
          <w:u w:val="single"/>
        </w:rPr>
      </w:pPr>
      <w:r>
        <w:rPr>
          <w:u w:val="single"/>
        </w:rPr>
        <w:br w:type="page"/>
      </w:r>
    </w:p>
    <w:p w14:paraId="122B0DF4" w14:textId="7D5479D5" w:rsidR="001F3AD3" w:rsidRPr="00793F55" w:rsidRDefault="001F3AD3" w:rsidP="007F602D">
      <w:pPr>
        <w:pStyle w:val="reference"/>
        <w:spacing w:line="276" w:lineRule="auto"/>
        <w:ind w:firstLine="0"/>
        <w:jc w:val="center"/>
      </w:pPr>
      <w:r w:rsidRPr="00793F55">
        <w:lastRenderedPageBreak/>
        <w:t xml:space="preserve">Table </w:t>
      </w:r>
      <w:fldSimple w:instr=" SEQ Table \* ARABIC ">
        <w:r w:rsidR="00DA6AA6">
          <w:rPr>
            <w:noProof/>
          </w:rPr>
          <w:t>5</w:t>
        </w:r>
      </w:fldSimple>
      <w:r w:rsidRPr="00793F55">
        <w:t xml:space="preserve"> Estimation results for the parameters of the demographic variables</w:t>
      </w:r>
    </w:p>
    <w:tbl>
      <w:tblPr>
        <w:tblW w:w="9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1980"/>
        <w:gridCol w:w="2700"/>
      </w:tblGrid>
      <w:tr w:rsidR="00965D1A" w:rsidRPr="0004448B" w14:paraId="6DFBA717" w14:textId="0ACF6E77" w:rsidTr="007F602D">
        <w:trPr>
          <w:trHeight w:val="288"/>
          <w:jc w:val="center"/>
        </w:trPr>
        <w:tc>
          <w:tcPr>
            <w:tcW w:w="4883" w:type="dxa"/>
            <w:tcBorders>
              <w:top w:val="single" w:sz="12" w:space="0" w:color="auto"/>
              <w:left w:val="nil"/>
              <w:bottom w:val="single" w:sz="4" w:space="0" w:color="auto"/>
              <w:right w:val="nil"/>
            </w:tcBorders>
            <w:shd w:val="clear" w:color="auto" w:fill="auto"/>
            <w:vAlign w:val="center"/>
          </w:tcPr>
          <w:p w14:paraId="3CB10438" w14:textId="1DB7A06D" w:rsidR="00965D1A" w:rsidRDefault="00965D1A" w:rsidP="00BC21D6">
            <w:pPr>
              <w:spacing w:line="240" w:lineRule="auto"/>
              <w:ind w:firstLine="0"/>
              <w:jc w:val="left"/>
              <w:rPr>
                <w:rFonts w:eastAsia="Times New Roman" w:cs="Times New Roman"/>
                <w:color w:val="000000"/>
              </w:rPr>
            </w:pPr>
          </w:p>
        </w:tc>
        <w:tc>
          <w:tcPr>
            <w:tcW w:w="1980" w:type="dxa"/>
            <w:tcBorders>
              <w:top w:val="single" w:sz="12" w:space="0" w:color="auto"/>
              <w:left w:val="nil"/>
              <w:bottom w:val="single" w:sz="4" w:space="0" w:color="auto"/>
              <w:right w:val="nil"/>
            </w:tcBorders>
            <w:shd w:val="clear" w:color="auto" w:fill="auto"/>
            <w:vAlign w:val="center"/>
          </w:tcPr>
          <w:p w14:paraId="52CD8D51" w14:textId="6731EE68" w:rsidR="00965D1A" w:rsidRDefault="00965D1A" w:rsidP="007F602D">
            <w:pPr>
              <w:spacing w:line="240" w:lineRule="auto"/>
              <w:ind w:firstLine="0"/>
              <w:jc w:val="center"/>
              <w:rPr>
                <w:rFonts w:eastAsia="Times New Roman" w:cs="Times New Roman"/>
                <w:color w:val="000000"/>
              </w:rPr>
            </w:pPr>
            <w:r>
              <w:rPr>
                <w:rFonts w:eastAsia="Times New Roman" w:cs="Times New Roman"/>
                <w:color w:val="000000"/>
              </w:rPr>
              <w:t>Stay with Bank</w:t>
            </w:r>
          </w:p>
        </w:tc>
        <w:tc>
          <w:tcPr>
            <w:tcW w:w="2700" w:type="dxa"/>
            <w:tcBorders>
              <w:top w:val="single" w:sz="12" w:space="0" w:color="auto"/>
              <w:left w:val="nil"/>
              <w:bottom w:val="single" w:sz="4" w:space="0" w:color="auto"/>
              <w:right w:val="nil"/>
            </w:tcBorders>
            <w:shd w:val="clear" w:color="auto" w:fill="auto"/>
            <w:vAlign w:val="center"/>
          </w:tcPr>
          <w:p w14:paraId="32B33E35" w14:textId="5DE99AC7" w:rsidR="00965D1A" w:rsidRDefault="007F602D" w:rsidP="00965D1A">
            <w:pPr>
              <w:spacing w:line="240" w:lineRule="auto"/>
              <w:ind w:firstLine="0"/>
              <w:jc w:val="center"/>
              <w:rPr>
                <w:rFonts w:eastAsia="Times New Roman" w:cs="Times New Roman"/>
                <w:color w:val="000000"/>
              </w:rPr>
            </w:pPr>
            <w:r>
              <w:rPr>
                <w:rFonts w:eastAsia="Times New Roman" w:cs="Times New Roman"/>
                <w:color w:val="000000"/>
              </w:rPr>
              <w:t>Stay with</w:t>
            </w:r>
            <w:r w:rsidR="00965D1A">
              <w:rPr>
                <w:rFonts w:eastAsia="Times New Roman" w:cs="Times New Roman"/>
                <w:color w:val="000000"/>
              </w:rPr>
              <w:t xml:space="preserve"> Investment Firm</w:t>
            </w:r>
          </w:p>
        </w:tc>
      </w:tr>
      <w:tr w:rsidR="00ED723B" w:rsidRPr="00ED723B" w14:paraId="2FA46488" w14:textId="77777777" w:rsidTr="007F602D">
        <w:trPr>
          <w:trHeight w:val="348"/>
          <w:jc w:val="center"/>
        </w:trPr>
        <w:tc>
          <w:tcPr>
            <w:tcW w:w="6863" w:type="dxa"/>
            <w:gridSpan w:val="2"/>
            <w:tcBorders>
              <w:top w:val="single" w:sz="4" w:space="0" w:color="auto"/>
              <w:left w:val="nil"/>
              <w:bottom w:val="nil"/>
              <w:right w:val="nil"/>
            </w:tcBorders>
            <w:shd w:val="clear" w:color="auto" w:fill="auto"/>
            <w:vAlign w:val="center"/>
          </w:tcPr>
          <w:p w14:paraId="12FF7066" w14:textId="3F23A5B5" w:rsidR="00ED723B" w:rsidRPr="005D440E" w:rsidRDefault="00ED723B" w:rsidP="005D440E">
            <w:pPr>
              <w:spacing w:line="240" w:lineRule="auto"/>
              <w:ind w:firstLine="0"/>
              <w:jc w:val="left"/>
              <w:rPr>
                <w:rFonts w:eastAsia="Times New Roman" w:cs="Times New Roman"/>
                <w:i/>
                <w:color w:val="000000"/>
              </w:rPr>
            </w:pPr>
            <w:r w:rsidRPr="005D440E">
              <w:rPr>
                <w:rFonts w:eastAsia="Times New Roman" w:cs="Times New Roman"/>
                <w:i/>
                <w:color w:val="000000"/>
              </w:rPr>
              <w:t xml:space="preserve">Customer demographic variables </w:t>
            </w:r>
          </w:p>
        </w:tc>
        <w:tc>
          <w:tcPr>
            <w:tcW w:w="2700" w:type="dxa"/>
            <w:tcBorders>
              <w:top w:val="single" w:sz="4" w:space="0" w:color="auto"/>
              <w:left w:val="nil"/>
              <w:bottom w:val="nil"/>
              <w:right w:val="nil"/>
            </w:tcBorders>
            <w:shd w:val="clear" w:color="auto" w:fill="auto"/>
            <w:vAlign w:val="center"/>
          </w:tcPr>
          <w:p w14:paraId="6C87C52E" w14:textId="77777777" w:rsidR="00ED723B" w:rsidRPr="005D440E" w:rsidRDefault="00ED723B" w:rsidP="00965D1A">
            <w:pPr>
              <w:spacing w:line="240" w:lineRule="auto"/>
              <w:ind w:firstLine="0"/>
              <w:jc w:val="center"/>
              <w:rPr>
                <w:rFonts w:eastAsia="Times New Roman" w:cs="Times New Roman"/>
                <w:i/>
                <w:color w:val="000000"/>
              </w:rPr>
            </w:pPr>
          </w:p>
        </w:tc>
      </w:tr>
      <w:tr w:rsidR="0016634F" w:rsidRPr="001E0327" w14:paraId="1BB335A2" w14:textId="77777777" w:rsidTr="007F602D">
        <w:trPr>
          <w:trHeight w:val="305"/>
          <w:jc w:val="center"/>
        </w:trPr>
        <w:tc>
          <w:tcPr>
            <w:tcW w:w="4883" w:type="dxa"/>
            <w:vMerge w:val="restart"/>
            <w:tcBorders>
              <w:top w:val="nil"/>
              <w:left w:val="nil"/>
              <w:right w:val="nil"/>
            </w:tcBorders>
            <w:shd w:val="clear" w:color="auto" w:fill="auto"/>
            <w:vAlign w:val="center"/>
          </w:tcPr>
          <w:p w14:paraId="284EA883" w14:textId="77777777" w:rsidR="0016634F" w:rsidRPr="0004448B" w:rsidRDefault="0016634F" w:rsidP="005D440E">
            <w:pPr>
              <w:spacing w:line="240" w:lineRule="auto"/>
              <w:ind w:left="342" w:firstLine="0"/>
              <w:jc w:val="left"/>
              <w:rPr>
                <w:rFonts w:eastAsia="Times New Roman" w:cs="Times New Roman"/>
                <w:color w:val="000000"/>
              </w:rPr>
            </w:pPr>
            <w:r w:rsidRPr="0004448B">
              <w:rPr>
                <w:rFonts w:eastAsia="Times New Roman" w:cs="Times New Roman"/>
                <w:color w:val="000000"/>
              </w:rPr>
              <w:t>age/10</w:t>
            </w:r>
          </w:p>
        </w:tc>
        <w:tc>
          <w:tcPr>
            <w:tcW w:w="1980" w:type="dxa"/>
            <w:tcBorders>
              <w:top w:val="nil"/>
              <w:left w:val="nil"/>
              <w:bottom w:val="nil"/>
              <w:right w:val="nil"/>
            </w:tcBorders>
            <w:shd w:val="clear" w:color="auto" w:fill="auto"/>
            <w:noWrap/>
            <w:hideMark/>
          </w:tcPr>
          <w:p w14:paraId="6CA36CA6" w14:textId="3CE6303D" w:rsidR="0016634F" w:rsidRPr="00500F24" w:rsidRDefault="0016634F">
            <w:pPr>
              <w:spacing w:line="240" w:lineRule="auto"/>
              <w:ind w:firstLine="0"/>
              <w:jc w:val="center"/>
              <w:rPr>
                <w:rFonts w:eastAsia="Times New Roman" w:cs="Times New Roman"/>
                <w:b/>
                <w:bCs/>
                <w:color w:val="000000"/>
              </w:rPr>
            </w:pPr>
            <w:r w:rsidRPr="005D440E">
              <w:rPr>
                <w:b/>
              </w:rPr>
              <w:t xml:space="preserve"> 0.09</w:t>
            </w:r>
            <w:r w:rsidR="00500F24" w:rsidRPr="005D440E">
              <w:rPr>
                <w:b/>
              </w:rPr>
              <w:t>4</w:t>
            </w:r>
          </w:p>
        </w:tc>
        <w:tc>
          <w:tcPr>
            <w:tcW w:w="2700" w:type="dxa"/>
            <w:tcBorders>
              <w:top w:val="nil"/>
              <w:left w:val="nil"/>
              <w:bottom w:val="nil"/>
              <w:right w:val="nil"/>
            </w:tcBorders>
            <w:shd w:val="clear" w:color="auto" w:fill="auto"/>
            <w:noWrap/>
            <w:hideMark/>
          </w:tcPr>
          <w:p w14:paraId="548C0BF2" w14:textId="2A03F08B" w:rsidR="0016634F" w:rsidRPr="0016634F" w:rsidRDefault="0016634F" w:rsidP="00881156">
            <w:pPr>
              <w:spacing w:line="240" w:lineRule="auto"/>
              <w:ind w:firstLine="0"/>
              <w:jc w:val="center"/>
              <w:rPr>
                <w:rFonts w:eastAsia="Times New Roman" w:cs="Times New Roman"/>
                <w:b/>
                <w:bCs/>
                <w:color w:val="000000"/>
              </w:rPr>
            </w:pPr>
            <w:r w:rsidRPr="005D440E">
              <w:rPr>
                <w:b/>
              </w:rPr>
              <w:t xml:space="preserve"> 0.224</w:t>
            </w:r>
          </w:p>
        </w:tc>
      </w:tr>
      <w:tr w:rsidR="0016634F" w:rsidRPr="001E0327" w14:paraId="7757BDC5" w14:textId="77777777" w:rsidTr="007F602D">
        <w:trPr>
          <w:trHeight w:val="305"/>
          <w:jc w:val="center"/>
        </w:trPr>
        <w:tc>
          <w:tcPr>
            <w:tcW w:w="4883" w:type="dxa"/>
            <w:vMerge/>
            <w:tcBorders>
              <w:left w:val="nil"/>
              <w:bottom w:val="nil"/>
              <w:right w:val="nil"/>
            </w:tcBorders>
            <w:shd w:val="clear" w:color="auto" w:fill="auto"/>
            <w:vAlign w:val="center"/>
          </w:tcPr>
          <w:p w14:paraId="451D3ED9" w14:textId="77777777" w:rsidR="0016634F" w:rsidRPr="0004448B"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nil"/>
              <w:right w:val="nil"/>
            </w:tcBorders>
            <w:shd w:val="clear" w:color="auto" w:fill="auto"/>
            <w:noWrap/>
            <w:hideMark/>
          </w:tcPr>
          <w:p w14:paraId="0E00F11D" w14:textId="63C723A7" w:rsidR="0016634F" w:rsidRPr="00500F24" w:rsidRDefault="0016634F">
            <w:pPr>
              <w:spacing w:line="240" w:lineRule="auto"/>
              <w:ind w:firstLine="0"/>
              <w:jc w:val="center"/>
              <w:rPr>
                <w:rFonts w:eastAsia="Times New Roman" w:cs="Times New Roman"/>
                <w:b/>
                <w:bCs/>
                <w:color w:val="000000"/>
                <w:sz w:val="20"/>
                <w:szCs w:val="20"/>
              </w:rPr>
            </w:pPr>
            <w:proofErr w:type="gramStart"/>
            <w:r w:rsidRPr="005D440E">
              <w:rPr>
                <w:b/>
              </w:rPr>
              <w:t xml:space="preserve">( </w:t>
            </w:r>
            <w:r w:rsidR="00500F24" w:rsidRPr="005D440E">
              <w:rPr>
                <w:b/>
              </w:rPr>
              <w:t>90</w:t>
            </w:r>
            <w:proofErr w:type="gramEnd"/>
            <w:r w:rsidRPr="005D440E">
              <w:rPr>
                <w:b/>
              </w:rPr>
              <w:t>%)</w:t>
            </w:r>
          </w:p>
        </w:tc>
        <w:tc>
          <w:tcPr>
            <w:tcW w:w="2700" w:type="dxa"/>
            <w:tcBorders>
              <w:top w:val="nil"/>
              <w:left w:val="nil"/>
              <w:bottom w:val="nil"/>
              <w:right w:val="nil"/>
            </w:tcBorders>
            <w:shd w:val="clear" w:color="auto" w:fill="auto"/>
            <w:noWrap/>
            <w:hideMark/>
          </w:tcPr>
          <w:p w14:paraId="552E96B0" w14:textId="69AF9D6D" w:rsidR="0016634F" w:rsidRPr="0016634F" w:rsidRDefault="0016634F" w:rsidP="00881156">
            <w:pPr>
              <w:spacing w:line="240" w:lineRule="auto"/>
              <w:ind w:firstLine="0"/>
              <w:jc w:val="center"/>
              <w:rPr>
                <w:rFonts w:eastAsia="Times New Roman" w:cs="Times New Roman"/>
                <w:b/>
                <w:bCs/>
                <w:color w:val="000000"/>
                <w:sz w:val="20"/>
                <w:szCs w:val="20"/>
              </w:rPr>
            </w:pPr>
            <w:r w:rsidRPr="005D440E">
              <w:rPr>
                <w:b/>
              </w:rPr>
              <w:t>(100%)</w:t>
            </w:r>
          </w:p>
        </w:tc>
      </w:tr>
      <w:tr w:rsidR="0016634F" w:rsidRPr="0004448B" w14:paraId="4D156A55" w14:textId="77777777" w:rsidTr="007F602D">
        <w:trPr>
          <w:trHeight w:val="305"/>
          <w:jc w:val="center"/>
        </w:trPr>
        <w:tc>
          <w:tcPr>
            <w:tcW w:w="4883" w:type="dxa"/>
            <w:vMerge w:val="restart"/>
            <w:tcBorders>
              <w:top w:val="nil"/>
              <w:left w:val="nil"/>
              <w:right w:val="nil"/>
            </w:tcBorders>
            <w:shd w:val="clear" w:color="auto" w:fill="auto"/>
            <w:vAlign w:val="center"/>
          </w:tcPr>
          <w:p w14:paraId="7C18149E" w14:textId="77777777" w:rsidR="0016634F" w:rsidRPr="0004448B" w:rsidRDefault="0016634F" w:rsidP="005D440E">
            <w:pPr>
              <w:spacing w:line="240" w:lineRule="auto"/>
              <w:ind w:left="342" w:firstLine="0"/>
              <w:jc w:val="left"/>
              <w:rPr>
                <w:rFonts w:eastAsia="Times New Roman" w:cs="Times New Roman"/>
                <w:color w:val="000000"/>
              </w:rPr>
            </w:pPr>
            <w:r w:rsidRPr="0004448B">
              <w:rPr>
                <w:rFonts w:eastAsia="Times New Roman" w:cs="Times New Roman"/>
                <w:color w:val="000000"/>
              </w:rPr>
              <w:t>With no kids</w:t>
            </w:r>
          </w:p>
        </w:tc>
        <w:tc>
          <w:tcPr>
            <w:tcW w:w="1980" w:type="dxa"/>
            <w:tcBorders>
              <w:top w:val="nil"/>
              <w:left w:val="nil"/>
              <w:bottom w:val="nil"/>
              <w:right w:val="nil"/>
            </w:tcBorders>
            <w:shd w:val="clear" w:color="auto" w:fill="auto"/>
            <w:noWrap/>
            <w:hideMark/>
          </w:tcPr>
          <w:p w14:paraId="42DBDA86" w14:textId="45A656CC" w:rsidR="0016634F" w:rsidRPr="005D440E" w:rsidRDefault="0016634F" w:rsidP="00881156">
            <w:pPr>
              <w:spacing w:line="240" w:lineRule="auto"/>
              <w:ind w:firstLine="0"/>
              <w:jc w:val="center"/>
              <w:rPr>
                <w:rFonts w:eastAsia="Times New Roman" w:cs="Times New Roman"/>
                <w:b/>
                <w:color w:val="000000"/>
              </w:rPr>
            </w:pPr>
            <w:r w:rsidRPr="006779B2">
              <w:t xml:space="preserve"> 0.295</w:t>
            </w:r>
          </w:p>
        </w:tc>
        <w:tc>
          <w:tcPr>
            <w:tcW w:w="2700" w:type="dxa"/>
            <w:tcBorders>
              <w:top w:val="nil"/>
              <w:left w:val="nil"/>
              <w:bottom w:val="nil"/>
              <w:right w:val="nil"/>
            </w:tcBorders>
            <w:shd w:val="clear" w:color="auto" w:fill="auto"/>
            <w:noWrap/>
            <w:hideMark/>
          </w:tcPr>
          <w:p w14:paraId="075B1A87" w14:textId="60847509" w:rsidR="0016634F" w:rsidRPr="005D440E" w:rsidRDefault="0016634F">
            <w:pPr>
              <w:spacing w:line="240" w:lineRule="auto"/>
              <w:ind w:firstLine="0"/>
              <w:jc w:val="center"/>
              <w:rPr>
                <w:rFonts w:eastAsia="Times New Roman" w:cs="Times New Roman"/>
                <w:b/>
                <w:color w:val="000000"/>
              </w:rPr>
            </w:pPr>
            <w:r w:rsidRPr="005D440E">
              <w:rPr>
                <w:b/>
              </w:rPr>
              <w:t xml:space="preserve"> 0.29</w:t>
            </w:r>
            <w:r w:rsidR="00500F24" w:rsidRPr="005D440E">
              <w:rPr>
                <w:b/>
              </w:rPr>
              <w:t>8</w:t>
            </w:r>
          </w:p>
        </w:tc>
      </w:tr>
      <w:tr w:rsidR="0016634F" w:rsidRPr="0004448B" w14:paraId="580BD39E" w14:textId="77777777" w:rsidTr="007F602D">
        <w:trPr>
          <w:trHeight w:val="305"/>
          <w:jc w:val="center"/>
        </w:trPr>
        <w:tc>
          <w:tcPr>
            <w:tcW w:w="4883" w:type="dxa"/>
            <w:vMerge/>
            <w:tcBorders>
              <w:left w:val="nil"/>
              <w:bottom w:val="nil"/>
              <w:right w:val="nil"/>
            </w:tcBorders>
            <w:shd w:val="clear" w:color="auto" w:fill="auto"/>
            <w:vAlign w:val="center"/>
          </w:tcPr>
          <w:p w14:paraId="499D2F0C" w14:textId="77777777" w:rsidR="0016634F" w:rsidRPr="0004448B"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nil"/>
              <w:right w:val="nil"/>
            </w:tcBorders>
            <w:shd w:val="clear" w:color="auto" w:fill="auto"/>
            <w:noWrap/>
            <w:hideMark/>
          </w:tcPr>
          <w:p w14:paraId="2E22B5FA" w14:textId="11373DAF" w:rsidR="0016634F" w:rsidRPr="005D440E" w:rsidRDefault="0016634F" w:rsidP="00881156">
            <w:pPr>
              <w:spacing w:line="240" w:lineRule="auto"/>
              <w:ind w:firstLine="0"/>
              <w:jc w:val="center"/>
              <w:rPr>
                <w:rFonts w:eastAsia="Times New Roman" w:cs="Times New Roman"/>
                <w:b/>
                <w:color w:val="000000"/>
                <w:sz w:val="20"/>
                <w:szCs w:val="20"/>
              </w:rPr>
            </w:pPr>
            <w:proofErr w:type="gramStart"/>
            <w:r w:rsidRPr="006779B2">
              <w:t>( 87</w:t>
            </w:r>
            <w:proofErr w:type="gramEnd"/>
            <w:r w:rsidRPr="006779B2">
              <w:t>%)</w:t>
            </w:r>
          </w:p>
        </w:tc>
        <w:tc>
          <w:tcPr>
            <w:tcW w:w="2700" w:type="dxa"/>
            <w:tcBorders>
              <w:top w:val="nil"/>
              <w:left w:val="nil"/>
              <w:bottom w:val="nil"/>
              <w:right w:val="nil"/>
            </w:tcBorders>
            <w:shd w:val="clear" w:color="auto" w:fill="auto"/>
            <w:noWrap/>
            <w:hideMark/>
          </w:tcPr>
          <w:p w14:paraId="04AC10C4" w14:textId="0F46294F" w:rsidR="0016634F" w:rsidRPr="005D440E" w:rsidRDefault="0016634F">
            <w:pPr>
              <w:spacing w:line="240" w:lineRule="auto"/>
              <w:ind w:firstLine="0"/>
              <w:jc w:val="center"/>
              <w:rPr>
                <w:rFonts w:eastAsia="Times New Roman" w:cs="Times New Roman"/>
                <w:b/>
                <w:color w:val="000000"/>
                <w:sz w:val="20"/>
                <w:szCs w:val="20"/>
              </w:rPr>
            </w:pPr>
            <w:proofErr w:type="gramStart"/>
            <w:r w:rsidRPr="005D440E">
              <w:rPr>
                <w:b/>
              </w:rPr>
              <w:t xml:space="preserve">( </w:t>
            </w:r>
            <w:r w:rsidR="00500F24" w:rsidRPr="005D440E">
              <w:rPr>
                <w:b/>
              </w:rPr>
              <w:t>91</w:t>
            </w:r>
            <w:proofErr w:type="gramEnd"/>
            <w:r w:rsidRPr="005D440E">
              <w:rPr>
                <w:b/>
              </w:rPr>
              <w:t>%)</w:t>
            </w:r>
          </w:p>
        </w:tc>
      </w:tr>
      <w:tr w:rsidR="0016634F" w:rsidRPr="0004448B" w14:paraId="12B34796" w14:textId="77777777" w:rsidTr="007F602D">
        <w:trPr>
          <w:trHeight w:val="305"/>
          <w:jc w:val="center"/>
        </w:trPr>
        <w:tc>
          <w:tcPr>
            <w:tcW w:w="4883" w:type="dxa"/>
            <w:vMerge w:val="restart"/>
            <w:tcBorders>
              <w:top w:val="nil"/>
              <w:left w:val="nil"/>
              <w:right w:val="nil"/>
            </w:tcBorders>
            <w:shd w:val="clear" w:color="auto" w:fill="auto"/>
            <w:vAlign w:val="center"/>
          </w:tcPr>
          <w:p w14:paraId="58C238E0" w14:textId="77777777" w:rsidR="0016634F" w:rsidRPr="0004448B" w:rsidRDefault="0016634F" w:rsidP="005D440E">
            <w:pPr>
              <w:spacing w:line="240" w:lineRule="auto"/>
              <w:ind w:left="342" w:firstLine="0"/>
              <w:jc w:val="left"/>
              <w:rPr>
                <w:rFonts w:eastAsia="Times New Roman" w:cs="Times New Roman"/>
                <w:color w:val="000000"/>
              </w:rPr>
            </w:pPr>
            <w:r>
              <w:rPr>
                <w:rFonts w:eastAsia="Times New Roman" w:cs="Times New Roman"/>
                <w:color w:val="000000"/>
              </w:rPr>
              <w:t>With at least colle</w:t>
            </w:r>
            <w:r w:rsidRPr="0004448B">
              <w:rPr>
                <w:rFonts w:eastAsia="Times New Roman" w:cs="Times New Roman"/>
                <w:color w:val="000000"/>
              </w:rPr>
              <w:t>ge degree</w:t>
            </w:r>
          </w:p>
        </w:tc>
        <w:tc>
          <w:tcPr>
            <w:tcW w:w="1980" w:type="dxa"/>
            <w:tcBorders>
              <w:top w:val="nil"/>
              <w:left w:val="nil"/>
              <w:bottom w:val="nil"/>
              <w:right w:val="nil"/>
            </w:tcBorders>
            <w:shd w:val="clear" w:color="auto" w:fill="auto"/>
            <w:noWrap/>
            <w:hideMark/>
          </w:tcPr>
          <w:p w14:paraId="2E0CD978" w14:textId="5ACAE0E2" w:rsidR="0016634F" w:rsidRPr="00965D1A" w:rsidRDefault="0016634F" w:rsidP="00881156">
            <w:pPr>
              <w:spacing w:line="240" w:lineRule="auto"/>
              <w:ind w:firstLine="0"/>
              <w:jc w:val="center"/>
              <w:rPr>
                <w:rFonts w:eastAsia="Times New Roman" w:cs="Times New Roman"/>
                <w:b/>
                <w:bCs/>
                <w:color w:val="000000"/>
              </w:rPr>
            </w:pPr>
            <w:r w:rsidRPr="006779B2">
              <w:t xml:space="preserve"> 0.194</w:t>
            </w:r>
          </w:p>
        </w:tc>
        <w:tc>
          <w:tcPr>
            <w:tcW w:w="2700" w:type="dxa"/>
            <w:tcBorders>
              <w:top w:val="nil"/>
              <w:left w:val="nil"/>
              <w:bottom w:val="nil"/>
              <w:right w:val="nil"/>
            </w:tcBorders>
            <w:shd w:val="clear" w:color="auto" w:fill="auto"/>
            <w:noWrap/>
            <w:hideMark/>
          </w:tcPr>
          <w:p w14:paraId="3DFFA03E" w14:textId="1B8A3AE4" w:rsidR="0016634F" w:rsidRPr="00965D1A" w:rsidRDefault="0016634F" w:rsidP="00881156">
            <w:pPr>
              <w:spacing w:line="240" w:lineRule="auto"/>
              <w:ind w:firstLine="0"/>
              <w:jc w:val="center"/>
              <w:rPr>
                <w:rFonts w:eastAsia="Times New Roman" w:cs="Times New Roman"/>
                <w:color w:val="000000"/>
              </w:rPr>
            </w:pPr>
            <w:r w:rsidRPr="006779B2">
              <w:t xml:space="preserve"> 0.056</w:t>
            </w:r>
          </w:p>
        </w:tc>
      </w:tr>
      <w:tr w:rsidR="0016634F" w:rsidRPr="0004448B" w14:paraId="1454CD7F" w14:textId="77777777" w:rsidTr="007F602D">
        <w:trPr>
          <w:trHeight w:val="305"/>
          <w:jc w:val="center"/>
        </w:trPr>
        <w:tc>
          <w:tcPr>
            <w:tcW w:w="4883" w:type="dxa"/>
            <w:vMerge/>
            <w:tcBorders>
              <w:left w:val="nil"/>
              <w:bottom w:val="nil"/>
              <w:right w:val="nil"/>
            </w:tcBorders>
            <w:shd w:val="clear" w:color="auto" w:fill="auto"/>
            <w:vAlign w:val="center"/>
          </w:tcPr>
          <w:p w14:paraId="02CE0FE6" w14:textId="77777777" w:rsidR="0016634F" w:rsidRPr="0004448B"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nil"/>
              <w:right w:val="nil"/>
            </w:tcBorders>
            <w:shd w:val="clear" w:color="auto" w:fill="auto"/>
            <w:noWrap/>
            <w:hideMark/>
          </w:tcPr>
          <w:p w14:paraId="3644AC31" w14:textId="11AB8129" w:rsidR="0016634F" w:rsidRPr="005D62AB" w:rsidRDefault="0016634F" w:rsidP="00881156">
            <w:pPr>
              <w:spacing w:line="240" w:lineRule="auto"/>
              <w:ind w:firstLine="0"/>
              <w:jc w:val="center"/>
              <w:rPr>
                <w:rFonts w:eastAsia="Times New Roman" w:cs="Times New Roman"/>
                <w:b/>
                <w:bCs/>
                <w:color w:val="000000"/>
                <w:sz w:val="20"/>
                <w:szCs w:val="20"/>
              </w:rPr>
            </w:pPr>
            <w:proofErr w:type="gramStart"/>
            <w:r w:rsidRPr="006779B2">
              <w:t>( 78</w:t>
            </w:r>
            <w:proofErr w:type="gramEnd"/>
            <w:r w:rsidRPr="006779B2">
              <w:t>%)</w:t>
            </w:r>
          </w:p>
        </w:tc>
        <w:tc>
          <w:tcPr>
            <w:tcW w:w="2700" w:type="dxa"/>
            <w:tcBorders>
              <w:top w:val="nil"/>
              <w:left w:val="nil"/>
              <w:bottom w:val="nil"/>
              <w:right w:val="nil"/>
            </w:tcBorders>
            <w:shd w:val="clear" w:color="auto" w:fill="auto"/>
            <w:noWrap/>
            <w:hideMark/>
          </w:tcPr>
          <w:p w14:paraId="038EB224" w14:textId="7B86C3FA" w:rsidR="0016634F" w:rsidRPr="005D62AB" w:rsidRDefault="0016634F" w:rsidP="00881156">
            <w:pPr>
              <w:spacing w:line="240" w:lineRule="auto"/>
              <w:ind w:firstLine="0"/>
              <w:jc w:val="center"/>
              <w:rPr>
                <w:rFonts w:eastAsia="Times New Roman" w:cs="Times New Roman"/>
                <w:color w:val="000000"/>
                <w:sz w:val="20"/>
                <w:szCs w:val="20"/>
              </w:rPr>
            </w:pPr>
            <w:proofErr w:type="gramStart"/>
            <w:r w:rsidRPr="006779B2">
              <w:t>( 60</w:t>
            </w:r>
            <w:proofErr w:type="gramEnd"/>
            <w:r w:rsidRPr="006779B2">
              <w:t>%)</w:t>
            </w:r>
          </w:p>
        </w:tc>
      </w:tr>
      <w:tr w:rsidR="0016634F" w:rsidRPr="0004448B" w14:paraId="04491A81" w14:textId="77777777" w:rsidTr="007F602D">
        <w:trPr>
          <w:trHeight w:val="305"/>
          <w:jc w:val="center"/>
        </w:trPr>
        <w:tc>
          <w:tcPr>
            <w:tcW w:w="4883" w:type="dxa"/>
            <w:vMerge w:val="restart"/>
            <w:tcBorders>
              <w:top w:val="nil"/>
              <w:left w:val="nil"/>
              <w:right w:val="nil"/>
            </w:tcBorders>
            <w:shd w:val="clear" w:color="auto" w:fill="auto"/>
            <w:vAlign w:val="center"/>
          </w:tcPr>
          <w:p w14:paraId="145C4061" w14:textId="77777777" w:rsidR="0016634F" w:rsidRPr="0004448B" w:rsidRDefault="0016634F" w:rsidP="005D440E">
            <w:pPr>
              <w:spacing w:line="240" w:lineRule="auto"/>
              <w:ind w:left="342" w:firstLine="0"/>
              <w:jc w:val="left"/>
              <w:rPr>
                <w:rFonts w:eastAsia="Times New Roman" w:cs="Times New Roman"/>
                <w:color w:val="000000"/>
              </w:rPr>
            </w:pPr>
            <w:r w:rsidRPr="0004448B">
              <w:rPr>
                <w:rFonts w:eastAsia="Times New Roman" w:cs="Times New Roman"/>
                <w:color w:val="000000"/>
              </w:rPr>
              <w:t>Married</w:t>
            </w:r>
          </w:p>
        </w:tc>
        <w:tc>
          <w:tcPr>
            <w:tcW w:w="1980" w:type="dxa"/>
            <w:tcBorders>
              <w:top w:val="nil"/>
              <w:left w:val="nil"/>
              <w:bottom w:val="nil"/>
              <w:right w:val="nil"/>
            </w:tcBorders>
            <w:shd w:val="clear" w:color="auto" w:fill="auto"/>
            <w:noWrap/>
            <w:hideMark/>
          </w:tcPr>
          <w:p w14:paraId="321E8867" w14:textId="2F820BE7" w:rsidR="0016634F" w:rsidRPr="00965D1A" w:rsidRDefault="0016634F" w:rsidP="00881156">
            <w:pPr>
              <w:spacing w:line="240" w:lineRule="auto"/>
              <w:ind w:firstLine="0"/>
              <w:jc w:val="center"/>
              <w:rPr>
                <w:rFonts w:eastAsia="Times New Roman" w:cs="Times New Roman"/>
                <w:color w:val="000000"/>
              </w:rPr>
            </w:pPr>
            <w:r w:rsidRPr="006779B2">
              <w:t xml:space="preserve"> 0.130</w:t>
            </w:r>
          </w:p>
        </w:tc>
        <w:tc>
          <w:tcPr>
            <w:tcW w:w="2700" w:type="dxa"/>
            <w:tcBorders>
              <w:top w:val="nil"/>
              <w:left w:val="nil"/>
              <w:bottom w:val="nil"/>
              <w:right w:val="nil"/>
            </w:tcBorders>
            <w:shd w:val="clear" w:color="auto" w:fill="auto"/>
            <w:noWrap/>
            <w:hideMark/>
          </w:tcPr>
          <w:p w14:paraId="5863B5FA" w14:textId="08D63E79" w:rsidR="0016634F" w:rsidRPr="00965D1A" w:rsidRDefault="0016634F" w:rsidP="00881156">
            <w:pPr>
              <w:spacing w:line="240" w:lineRule="auto"/>
              <w:ind w:firstLine="0"/>
              <w:jc w:val="center"/>
              <w:rPr>
                <w:rFonts w:eastAsia="Times New Roman" w:cs="Times New Roman"/>
                <w:color w:val="000000"/>
              </w:rPr>
            </w:pPr>
            <w:r w:rsidRPr="006779B2">
              <w:t xml:space="preserve"> 0.045</w:t>
            </w:r>
          </w:p>
        </w:tc>
      </w:tr>
      <w:tr w:rsidR="0016634F" w:rsidRPr="0004448B" w14:paraId="75D9FE5C" w14:textId="77777777" w:rsidTr="007F602D">
        <w:trPr>
          <w:trHeight w:val="305"/>
          <w:jc w:val="center"/>
        </w:trPr>
        <w:tc>
          <w:tcPr>
            <w:tcW w:w="4883" w:type="dxa"/>
            <w:vMerge/>
            <w:tcBorders>
              <w:left w:val="nil"/>
              <w:bottom w:val="nil"/>
              <w:right w:val="nil"/>
            </w:tcBorders>
            <w:shd w:val="clear" w:color="auto" w:fill="auto"/>
            <w:vAlign w:val="center"/>
          </w:tcPr>
          <w:p w14:paraId="038A82CF" w14:textId="77777777" w:rsidR="0016634F" w:rsidRPr="0004448B"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nil"/>
              <w:right w:val="nil"/>
            </w:tcBorders>
            <w:shd w:val="clear" w:color="auto" w:fill="auto"/>
            <w:noWrap/>
            <w:hideMark/>
          </w:tcPr>
          <w:p w14:paraId="73C8FEA9" w14:textId="7C1955F6" w:rsidR="0016634F" w:rsidRPr="005D62AB" w:rsidRDefault="0016634F" w:rsidP="00881156">
            <w:pPr>
              <w:spacing w:line="240" w:lineRule="auto"/>
              <w:ind w:firstLine="0"/>
              <w:jc w:val="center"/>
              <w:rPr>
                <w:rFonts w:eastAsia="Times New Roman" w:cs="Times New Roman"/>
                <w:color w:val="000000"/>
                <w:sz w:val="20"/>
                <w:szCs w:val="20"/>
              </w:rPr>
            </w:pPr>
            <w:proofErr w:type="gramStart"/>
            <w:r w:rsidRPr="006779B2">
              <w:t>( 69</w:t>
            </w:r>
            <w:proofErr w:type="gramEnd"/>
            <w:r w:rsidRPr="006779B2">
              <w:t>%)</w:t>
            </w:r>
          </w:p>
        </w:tc>
        <w:tc>
          <w:tcPr>
            <w:tcW w:w="2700" w:type="dxa"/>
            <w:tcBorders>
              <w:top w:val="nil"/>
              <w:left w:val="nil"/>
              <w:bottom w:val="nil"/>
              <w:right w:val="nil"/>
            </w:tcBorders>
            <w:shd w:val="clear" w:color="auto" w:fill="auto"/>
            <w:noWrap/>
            <w:hideMark/>
          </w:tcPr>
          <w:p w14:paraId="00DE93D5" w14:textId="7303C037" w:rsidR="0016634F" w:rsidRPr="005D62AB" w:rsidRDefault="0016634F" w:rsidP="00881156">
            <w:pPr>
              <w:spacing w:line="240" w:lineRule="auto"/>
              <w:ind w:firstLine="0"/>
              <w:jc w:val="center"/>
              <w:rPr>
                <w:rFonts w:eastAsia="Times New Roman" w:cs="Times New Roman"/>
                <w:color w:val="000000"/>
                <w:sz w:val="20"/>
                <w:szCs w:val="20"/>
              </w:rPr>
            </w:pPr>
            <w:proofErr w:type="gramStart"/>
            <w:r w:rsidRPr="006779B2">
              <w:t>( 57</w:t>
            </w:r>
            <w:proofErr w:type="gramEnd"/>
            <w:r w:rsidRPr="006779B2">
              <w:t>%)</w:t>
            </w:r>
          </w:p>
        </w:tc>
      </w:tr>
      <w:tr w:rsidR="0016634F" w:rsidRPr="0004448B" w14:paraId="0015C5C2" w14:textId="77777777" w:rsidTr="007F602D">
        <w:trPr>
          <w:trHeight w:val="305"/>
          <w:jc w:val="center"/>
        </w:trPr>
        <w:tc>
          <w:tcPr>
            <w:tcW w:w="4883" w:type="dxa"/>
            <w:vMerge w:val="restart"/>
            <w:tcBorders>
              <w:top w:val="nil"/>
              <w:left w:val="nil"/>
              <w:right w:val="nil"/>
            </w:tcBorders>
            <w:shd w:val="clear" w:color="auto" w:fill="auto"/>
            <w:vAlign w:val="center"/>
          </w:tcPr>
          <w:p w14:paraId="4700012A" w14:textId="77777777" w:rsidR="0016634F" w:rsidRPr="0004448B" w:rsidRDefault="0016634F" w:rsidP="005D440E">
            <w:pPr>
              <w:spacing w:line="240" w:lineRule="auto"/>
              <w:ind w:left="342" w:firstLine="0"/>
              <w:jc w:val="left"/>
              <w:rPr>
                <w:rFonts w:cs="Times New Roman"/>
                <w:color w:val="000000"/>
              </w:rPr>
            </w:pPr>
            <w:r>
              <w:rPr>
                <w:rFonts w:cs="Times New Roman" w:hint="eastAsia"/>
                <w:color w:val="000000"/>
              </w:rPr>
              <w:t xml:space="preserve">Low </w:t>
            </w:r>
            <w:r w:rsidRPr="00A55E0C">
              <w:rPr>
                <w:rFonts w:eastAsia="Times New Roman" w:cs="Times New Roman" w:hint="eastAsia"/>
                <w:color w:val="000000"/>
              </w:rPr>
              <w:t>income</w:t>
            </w:r>
            <w:r>
              <w:rPr>
                <w:rFonts w:eastAsia="Times New Roman" w:cs="Times New Roman"/>
                <w:color w:val="000000"/>
              </w:rPr>
              <w:t xml:space="preserve"> dummy</w:t>
            </w:r>
          </w:p>
        </w:tc>
        <w:tc>
          <w:tcPr>
            <w:tcW w:w="1980" w:type="dxa"/>
            <w:tcBorders>
              <w:top w:val="nil"/>
              <w:left w:val="nil"/>
              <w:bottom w:val="nil"/>
              <w:right w:val="nil"/>
            </w:tcBorders>
            <w:shd w:val="clear" w:color="auto" w:fill="auto"/>
            <w:noWrap/>
            <w:hideMark/>
          </w:tcPr>
          <w:p w14:paraId="6639834B" w14:textId="6471DB29" w:rsidR="0016634F" w:rsidRPr="0016634F" w:rsidRDefault="0016634F" w:rsidP="00881156">
            <w:pPr>
              <w:spacing w:line="240" w:lineRule="auto"/>
              <w:ind w:firstLine="0"/>
              <w:jc w:val="center"/>
              <w:rPr>
                <w:rFonts w:eastAsia="Times New Roman" w:cs="Times New Roman"/>
                <w:b/>
                <w:bCs/>
                <w:color w:val="000000"/>
              </w:rPr>
            </w:pPr>
            <w:r w:rsidRPr="005D440E">
              <w:rPr>
                <w:b/>
              </w:rPr>
              <w:t xml:space="preserve"> 0.803</w:t>
            </w:r>
          </w:p>
        </w:tc>
        <w:tc>
          <w:tcPr>
            <w:tcW w:w="2700" w:type="dxa"/>
            <w:tcBorders>
              <w:top w:val="nil"/>
              <w:left w:val="nil"/>
              <w:bottom w:val="nil"/>
              <w:right w:val="nil"/>
            </w:tcBorders>
            <w:shd w:val="clear" w:color="auto" w:fill="auto"/>
            <w:noWrap/>
            <w:hideMark/>
          </w:tcPr>
          <w:p w14:paraId="476EC8AF" w14:textId="13FF7529" w:rsidR="0016634F" w:rsidRPr="00965D1A" w:rsidRDefault="0016634F" w:rsidP="00881156">
            <w:pPr>
              <w:spacing w:line="240" w:lineRule="auto"/>
              <w:ind w:firstLine="0"/>
              <w:jc w:val="center"/>
              <w:rPr>
                <w:rFonts w:eastAsia="Times New Roman" w:cs="Times New Roman"/>
                <w:color w:val="000000"/>
              </w:rPr>
            </w:pPr>
            <w:r w:rsidRPr="006779B2">
              <w:t xml:space="preserve"> 0.051</w:t>
            </w:r>
          </w:p>
        </w:tc>
      </w:tr>
      <w:tr w:rsidR="0016634F" w:rsidRPr="0004448B" w14:paraId="177937A0" w14:textId="77777777" w:rsidTr="007F602D">
        <w:trPr>
          <w:trHeight w:val="305"/>
          <w:jc w:val="center"/>
        </w:trPr>
        <w:tc>
          <w:tcPr>
            <w:tcW w:w="4883" w:type="dxa"/>
            <w:vMerge/>
            <w:tcBorders>
              <w:left w:val="nil"/>
              <w:bottom w:val="nil"/>
              <w:right w:val="nil"/>
            </w:tcBorders>
            <w:shd w:val="clear" w:color="auto" w:fill="auto"/>
            <w:vAlign w:val="center"/>
          </w:tcPr>
          <w:p w14:paraId="5E505155" w14:textId="77777777" w:rsidR="0016634F" w:rsidRPr="0004448B"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nil"/>
              <w:right w:val="nil"/>
            </w:tcBorders>
            <w:shd w:val="clear" w:color="auto" w:fill="auto"/>
            <w:noWrap/>
            <w:hideMark/>
          </w:tcPr>
          <w:p w14:paraId="4A4D0A03" w14:textId="57C0431C" w:rsidR="0016634F" w:rsidRPr="0016634F" w:rsidRDefault="0016634F" w:rsidP="00881156">
            <w:pPr>
              <w:spacing w:line="240" w:lineRule="auto"/>
              <w:ind w:firstLine="0"/>
              <w:jc w:val="center"/>
              <w:rPr>
                <w:rFonts w:eastAsia="Times New Roman" w:cs="Times New Roman"/>
                <w:b/>
                <w:bCs/>
                <w:color w:val="000000"/>
                <w:sz w:val="20"/>
                <w:szCs w:val="20"/>
              </w:rPr>
            </w:pPr>
            <w:r w:rsidRPr="005D440E">
              <w:rPr>
                <w:b/>
              </w:rPr>
              <w:t>(100%)</w:t>
            </w:r>
          </w:p>
        </w:tc>
        <w:tc>
          <w:tcPr>
            <w:tcW w:w="2700" w:type="dxa"/>
            <w:tcBorders>
              <w:top w:val="nil"/>
              <w:left w:val="nil"/>
              <w:bottom w:val="nil"/>
              <w:right w:val="nil"/>
            </w:tcBorders>
            <w:shd w:val="clear" w:color="auto" w:fill="auto"/>
            <w:noWrap/>
            <w:hideMark/>
          </w:tcPr>
          <w:p w14:paraId="0885FE4B" w14:textId="71F1F5F0" w:rsidR="0016634F" w:rsidRPr="005D62AB" w:rsidRDefault="0016634F" w:rsidP="00881156">
            <w:pPr>
              <w:spacing w:line="240" w:lineRule="auto"/>
              <w:ind w:firstLine="0"/>
              <w:jc w:val="center"/>
              <w:rPr>
                <w:rFonts w:eastAsia="Times New Roman" w:cs="Times New Roman"/>
                <w:color w:val="000000"/>
                <w:sz w:val="20"/>
                <w:szCs w:val="20"/>
              </w:rPr>
            </w:pPr>
            <w:proofErr w:type="gramStart"/>
            <w:r w:rsidRPr="006779B2">
              <w:t>( 58</w:t>
            </w:r>
            <w:proofErr w:type="gramEnd"/>
            <w:r w:rsidRPr="006779B2">
              <w:t>%)</w:t>
            </w:r>
          </w:p>
        </w:tc>
      </w:tr>
      <w:tr w:rsidR="0016634F" w:rsidRPr="001E0327" w14:paraId="6A788329" w14:textId="77777777" w:rsidTr="007F602D">
        <w:trPr>
          <w:trHeight w:val="305"/>
          <w:jc w:val="center"/>
        </w:trPr>
        <w:tc>
          <w:tcPr>
            <w:tcW w:w="4883" w:type="dxa"/>
            <w:vMerge w:val="restart"/>
            <w:tcBorders>
              <w:top w:val="nil"/>
              <w:left w:val="nil"/>
              <w:right w:val="nil"/>
            </w:tcBorders>
            <w:shd w:val="clear" w:color="auto" w:fill="auto"/>
            <w:vAlign w:val="center"/>
          </w:tcPr>
          <w:p w14:paraId="2057A754" w14:textId="77777777" w:rsidR="0016634F" w:rsidRPr="0004448B" w:rsidRDefault="0016634F" w:rsidP="005D440E">
            <w:pPr>
              <w:spacing w:line="240" w:lineRule="auto"/>
              <w:ind w:left="342" w:firstLine="0"/>
              <w:jc w:val="left"/>
              <w:rPr>
                <w:rFonts w:cs="Times New Roman"/>
                <w:color w:val="000000"/>
              </w:rPr>
            </w:pPr>
            <w:r>
              <w:rPr>
                <w:rFonts w:cs="Times New Roman" w:hint="eastAsia"/>
                <w:color w:val="000000"/>
              </w:rPr>
              <w:t xml:space="preserve">High </w:t>
            </w:r>
            <w:r w:rsidRPr="00A55E0C">
              <w:rPr>
                <w:rFonts w:eastAsia="Times New Roman" w:cs="Times New Roman" w:hint="eastAsia"/>
                <w:color w:val="000000"/>
              </w:rPr>
              <w:t>income</w:t>
            </w:r>
            <w:r>
              <w:rPr>
                <w:rFonts w:eastAsia="Times New Roman" w:cs="Times New Roman"/>
                <w:color w:val="000000"/>
              </w:rPr>
              <w:t xml:space="preserve"> dummy</w:t>
            </w:r>
          </w:p>
        </w:tc>
        <w:tc>
          <w:tcPr>
            <w:tcW w:w="1980" w:type="dxa"/>
            <w:tcBorders>
              <w:top w:val="nil"/>
              <w:left w:val="nil"/>
              <w:bottom w:val="nil"/>
              <w:right w:val="nil"/>
            </w:tcBorders>
            <w:shd w:val="clear" w:color="auto" w:fill="auto"/>
            <w:noWrap/>
            <w:hideMark/>
          </w:tcPr>
          <w:p w14:paraId="5DBB0FD0" w14:textId="635946C0" w:rsidR="0016634F" w:rsidRPr="005D440E" w:rsidRDefault="0016634F" w:rsidP="00881156">
            <w:pPr>
              <w:spacing w:line="240" w:lineRule="auto"/>
              <w:ind w:firstLine="0"/>
              <w:jc w:val="center"/>
              <w:rPr>
                <w:rFonts w:eastAsia="Times New Roman" w:cs="Times New Roman"/>
                <w:b/>
                <w:color w:val="000000"/>
              </w:rPr>
            </w:pPr>
            <w:r w:rsidRPr="005D440E">
              <w:rPr>
                <w:b/>
              </w:rPr>
              <w:t xml:space="preserve"> 0.334</w:t>
            </w:r>
          </w:p>
        </w:tc>
        <w:tc>
          <w:tcPr>
            <w:tcW w:w="2700" w:type="dxa"/>
            <w:tcBorders>
              <w:top w:val="nil"/>
              <w:left w:val="nil"/>
              <w:bottom w:val="nil"/>
              <w:right w:val="nil"/>
            </w:tcBorders>
            <w:shd w:val="clear" w:color="auto" w:fill="auto"/>
            <w:noWrap/>
            <w:hideMark/>
          </w:tcPr>
          <w:p w14:paraId="6C5A97A5" w14:textId="4C516F22" w:rsidR="0016634F" w:rsidRPr="0016634F" w:rsidRDefault="0016634F" w:rsidP="00881156">
            <w:pPr>
              <w:spacing w:line="240" w:lineRule="auto"/>
              <w:ind w:firstLine="0"/>
              <w:jc w:val="center"/>
              <w:rPr>
                <w:rFonts w:eastAsia="Times New Roman" w:cs="Times New Roman"/>
                <w:b/>
                <w:bCs/>
                <w:color w:val="000000"/>
              </w:rPr>
            </w:pPr>
            <w:r w:rsidRPr="005D440E">
              <w:rPr>
                <w:b/>
              </w:rPr>
              <w:t xml:space="preserve"> 0.373</w:t>
            </w:r>
          </w:p>
        </w:tc>
      </w:tr>
      <w:tr w:rsidR="0016634F" w:rsidRPr="001E0327" w14:paraId="0C6A5C8D" w14:textId="77777777" w:rsidTr="007F602D">
        <w:trPr>
          <w:trHeight w:val="305"/>
          <w:jc w:val="center"/>
        </w:trPr>
        <w:tc>
          <w:tcPr>
            <w:tcW w:w="4883" w:type="dxa"/>
            <w:vMerge/>
            <w:tcBorders>
              <w:left w:val="nil"/>
              <w:bottom w:val="single" w:sz="4" w:space="0" w:color="auto"/>
              <w:right w:val="nil"/>
            </w:tcBorders>
            <w:shd w:val="clear" w:color="auto" w:fill="auto"/>
            <w:vAlign w:val="bottom"/>
          </w:tcPr>
          <w:p w14:paraId="2C4C9D3A" w14:textId="77777777" w:rsidR="0016634F" w:rsidRPr="0004448B"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single" w:sz="4" w:space="0" w:color="auto"/>
              <w:right w:val="nil"/>
            </w:tcBorders>
            <w:shd w:val="clear" w:color="auto" w:fill="auto"/>
            <w:noWrap/>
            <w:hideMark/>
          </w:tcPr>
          <w:p w14:paraId="1238920A" w14:textId="6A74F10B" w:rsidR="0016634F" w:rsidRPr="005D440E" w:rsidRDefault="0016634F" w:rsidP="00881156">
            <w:pPr>
              <w:spacing w:line="240" w:lineRule="auto"/>
              <w:ind w:firstLine="0"/>
              <w:jc w:val="center"/>
              <w:rPr>
                <w:rFonts w:eastAsia="Times New Roman" w:cs="Times New Roman"/>
                <w:b/>
                <w:color w:val="000000"/>
                <w:sz w:val="20"/>
                <w:szCs w:val="20"/>
              </w:rPr>
            </w:pPr>
            <w:proofErr w:type="gramStart"/>
            <w:r w:rsidRPr="005D440E">
              <w:rPr>
                <w:b/>
              </w:rPr>
              <w:t>( 90</w:t>
            </w:r>
            <w:proofErr w:type="gramEnd"/>
            <w:r w:rsidRPr="005D440E">
              <w:rPr>
                <w:b/>
              </w:rPr>
              <w:t>%)</w:t>
            </w:r>
          </w:p>
        </w:tc>
        <w:tc>
          <w:tcPr>
            <w:tcW w:w="2700" w:type="dxa"/>
            <w:tcBorders>
              <w:top w:val="nil"/>
              <w:left w:val="nil"/>
              <w:bottom w:val="single" w:sz="4" w:space="0" w:color="auto"/>
              <w:right w:val="nil"/>
            </w:tcBorders>
            <w:shd w:val="clear" w:color="auto" w:fill="auto"/>
            <w:noWrap/>
            <w:hideMark/>
          </w:tcPr>
          <w:p w14:paraId="1F47468D" w14:textId="235032C0" w:rsidR="0016634F" w:rsidRPr="0016634F" w:rsidRDefault="0016634F" w:rsidP="00881156">
            <w:pPr>
              <w:spacing w:line="240" w:lineRule="auto"/>
              <w:ind w:firstLine="0"/>
              <w:jc w:val="center"/>
              <w:rPr>
                <w:rFonts w:eastAsia="Times New Roman" w:cs="Times New Roman"/>
                <w:b/>
                <w:bCs/>
                <w:color w:val="000000"/>
                <w:sz w:val="20"/>
                <w:szCs w:val="20"/>
              </w:rPr>
            </w:pPr>
            <w:proofErr w:type="gramStart"/>
            <w:r w:rsidRPr="005D440E">
              <w:rPr>
                <w:b/>
              </w:rPr>
              <w:t>( 93</w:t>
            </w:r>
            <w:proofErr w:type="gramEnd"/>
            <w:r w:rsidRPr="005D440E">
              <w:rPr>
                <w:b/>
              </w:rPr>
              <w:t>%)</w:t>
            </w:r>
          </w:p>
        </w:tc>
      </w:tr>
      <w:tr w:rsidR="007F602D" w:rsidRPr="001E0327" w14:paraId="721034EE" w14:textId="77777777" w:rsidTr="007F602D">
        <w:trPr>
          <w:trHeight w:val="288"/>
          <w:jc w:val="center"/>
        </w:trPr>
        <w:tc>
          <w:tcPr>
            <w:tcW w:w="9563" w:type="dxa"/>
            <w:gridSpan w:val="3"/>
            <w:tcBorders>
              <w:top w:val="single" w:sz="4" w:space="0" w:color="auto"/>
              <w:left w:val="nil"/>
              <w:bottom w:val="nil"/>
              <w:right w:val="nil"/>
            </w:tcBorders>
            <w:shd w:val="clear" w:color="auto" w:fill="auto"/>
            <w:vAlign w:val="center"/>
          </w:tcPr>
          <w:p w14:paraId="774A223B" w14:textId="73DDA95A" w:rsidR="007F602D" w:rsidRPr="00CA459A" w:rsidRDefault="007F602D" w:rsidP="001E7781">
            <w:pPr>
              <w:spacing w:line="240" w:lineRule="auto"/>
              <w:ind w:firstLine="0"/>
            </w:pPr>
            <w:r>
              <w:rPr>
                <w:rFonts w:eastAsia="Times New Roman" w:cs="Times New Roman"/>
                <w:i/>
                <w:color w:val="000000"/>
              </w:rPr>
              <w:t>The other c</w:t>
            </w:r>
            <w:r w:rsidRPr="005D440E">
              <w:rPr>
                <w:rFonts w:eastAsia="Times New Roman" w:cs="Times New Roman"/>
                <w:i/>
                <w:color w:val="000000"/>
              </w:rPr>
              <w:t xml:space="preserve">ustomer </w:t>
            </w:r>
            <w:r>
              <w:rPr>
                <w:rFonts w:eastAsia="Times New Roman" w:cs="Times New Roman"/>
                <w:i/>
                <w:color w:val="000000"/>
              </w:rPr>
              <w:t>behavior variable (no interactions with the satisfaction variables)</w:t>
            </w:r>
          </w:p>
        </w:tc>
      </w:tr>
      <w:tr w:rsidR="0016634F" w:rsidRPr="001E0327" w14:paraId="06B42438" w14:textId="77777777" w:rsidTr="007F602D">
        <w:trPr>
          <w:trHeight w:val="305"/>
          <w:jc w:val="center"/>
        </w:trPr>
        <w:tc>
          <w:tcPr>
            <w:tcW w:w="4883" w:type="dxa"/>
            <w:vMerge w:val="restart"/>
            <w:tcBorders>
              <w:top w:val="nil"/>
              <w:left w:val="nil"/>
              <w:bottom w:val="nil"/>
              <w:right w:val="nil"/>
            </w:tcBorders>
            <w:shd w:val="clear" w:color="auto" w:fill="auto"/>
            <w:vAlign w:val="center"/>
          </w:tcPr>
          <w:p w14:paraId="473F29CE" w14:textId="6E57223B" w:rsidR="0016634F" w:rsidRDefault="0016634F" w:rsidP="005D440E">
            <w:pPr>
              <w:spacing w:line="240" w:lineRule="auto"/>
              <w:ind w:left="342" w:firstLine="0"/>
              <w:jc w:val="left"/>
              <w:rPr>
                <w:rFonts w:eastAsia="Times New Roman" w:cs="Times New Roman"/>
                <w:color w:val="000000"/>
              </w:rPr>
            </w:pPr>
            <w:r>
              <w:rPr>
                <w:rFonts w:eastAsia="Times New Roman" w:cs="Times New Roman"/>
                <w:color w:val="000000"/>
              </w:rPr>
              <w:t>Total number of banking/investment accounts</w:t>
            </w:r>
            <w:r w:rsidR="00D14EC9">
              <w:rPr>
                <w:rFonts w:eastAsia="Times New Roman" w:cs="Times New Roman"/>
                <w:color w:val="000000"/>
              </w:rPr>
              <w:t xml:space="preserve"> (</w:t>
            </w:r>
            <w:r w:rsidR="00D14EC9" w:rsidRPr="00D14EC9">
              <w:rPr>
                <w:rFonts w:eastAsia="Times New Roman" w:cs="Times New Roman"/>
                <w:i/>
                <w:color w:val="000000"/>
              </w:rPr>
              <w:t>KNOWLEDGE</w:t>
            </w:r>
            <w:r w:rsidR="00D14EC9">
              <w:rPr>
                <w:rFonts w:eastAsia="Times New Roman" w:cs="Times New Roman"/>
                <w:color w:val="000000"/>
              </w:rPr>
              <w:t>)</w:t>
            </w:r>
          </w:p>
        </w:tc>
        <w:tc>
          <w:tcPr>
            <w:tcW w:w="1980" w:type="dxa"/>
            <w:tcBorders>
              <w:top w:val="nil"/>
              <w:left w:val="nil"/>
              <w:bottom w:val="nil"/>
              <w:right w:val="nil"/>
            </w:tcBorders>
            <w:shd w:val="clear" w:color="auto" w:fill="auto"/>
            <w:noWrap/>
          </w:tcPr>
          <w:p w14:paraId="5D338D90" w14:textId="77E12E3F" w:rsidR="0016634F" w:rsidRPr="005D440E" w:rsidRDefault="0016634F" w:rsidP="00881156">
            <w:pPr>
              <w:spacing w:line="240" w:lineRule="auto"/>
              <w:ind w:firstLine="0"/>
              <w:jc w:val="center"/>
              <w:rPr>
                <w:b/>
              </w:rPr>
            </w:pPr>
            <w:r w:rsidRPr="005D440E">
              <w:rPr>
                <w:b/>
              </w:rPr>
              <w:t xml:space="preserve"> 1.028</w:t>
            </w:r>
          </w:p>
        </w:tc>
        <w:tc>
          <w:tcPr>
            <w:tcW w:w="2700" w:type="dxa"/>
            <w:tcBorders>
              <w:top w:val="nil"/>
              <w:left w:val="nil"/>
              <w:bottom w:val="nil"/>
              <w:right w:val="nil"/>
            </w:tcBorders>
            <w:shd w:val="clear" w:color="auto" w:fill="auto"/>
            <w:noWrap/>
          </w:tcPr>
          <w:p w14:paraId="1DCAC354" w14:textId="75F76F20" w:rsidR="0016634F" w:rsidRPr="005D440E" w:rsidRDefault="0016634F" w:rsidP="00881156">
            <w:pPr>
              <w:spacing w:line="240" w:lineRule="auto"/>
              <w:ind w:firstLine="0"/>
              <w:jc w:val="center"/>
              <w:rPr>
                <w:b/>
              </w:rPr>
            </w:pPr>
            <w:r w:rsidRPr="005D440E">
              <w:rPr>
                <w:b/>
              </w:rPr>
              <w:t xml:space="preserve"> 0.269</w:t>
            </w:r>
          </w:p>
        </w:tc>
      </w:tr>
      <w:tr w:rsidR="0016634F" w:rsidRPr="001E0327" w14:paraId="1E6D9CEF" w14:textId="77777777" w:rsidTr="007F602D">
        <w:trPr>
          <w:trHeight w:val="305"/>
          <w:jc w:val="center"/>
        </w:trPr>
        <w:tc>
          <w:tcPr>
            <w:tcW w:w="4883" w:type="dxa"/>
            <w:vMerge/>
            <w:tcBorders>
              <w:top w:val="nil"/>
              <w:left w:val="nil"/>
              <w:bottom w:val="single" w:sz="12" w:space="0" w:color="auto"/>
              <w:right w:val="nil"/>
            </w:tcBorders>
            <w:shd w:val="clear" w:color="auto" w:fill="auto"/>
            <w:vAlign w:val="center"/>
          </w:tcPr>
          <w:p w14:paraId="47DE1C62" w14:textId="7664EE1D" w:rsidR="0016634F" w:rsidRDefault="0016634F" w:rsidP="005D440E">
            <w:pPr>
              <w:spacing w:line="240" w:lineRule="auto"/>
              <w:ind w:left="342" w:firstLine="0"/>
              <w:jc w:val="left"/>
              <w:rPr>
                <w:rFonts w:eastAsia="Times New Roman" w:cs="Times New Roman"/>
                <w:color w:val="000000"/>
              </w:rPr>
            </w:pPr>
          </w:p>
        </w:tc>
        <w:tc>
          <w:tcPr>
            <w:tcW w:w="1980" w:type="dxa"/>
            <w:tcBorders>
              <w:top w:val="nil"/>
              <w:left w:val="nil"/>
              <w:bottom w:val="single" w:sz="12" w:space="0" w:color="auto"/>
              <w:right w:val="nil"/>
            </w:tcBorders>
            <w:shd w:val="clear" w:color="auto" w:fill="auto"/>
            <w:noWrap/>
          </w:tcPr>
          <w:p w14:paraId="2EF3C39A" w14:textId="323AD9F9" w:rsidR="0016634F" w:rsidRPr="005D440E" w:rsidRDefault="0016634F" w:rsidP="00881156">
            <w:pPr>
              <w:spacing w:line="240" w:lineRule="auto"/>
              <w:ind w:firstLine="0"/>
              <w:jc w:val="center"/>
              <w:rPr>
                <w:b/>
              </w:rPr>
            </w:pPr>
            <w:r w:rsidRPr="005D440E">
              <w:rPr>
                <w:b/>
              </w:rPr>
              <w:t>(100%)</w:t>
            </w:r>
          </w:p>
        </w:tc>
        <w:tc>
          <w:tcPr>
            <w:tcW w:w="2700" w:type="dxa"/>
            <w:tcBorders>
              <w:top w:val="nil"/>
              <w:left w:val="nil"/>
              <w:bottom w:val="single" w:sz="12" w:space="0" w:color="auto"/>
              <w:right w:val="nil"/>
            </w:tcBorders>
            <w:shd w:val="clear" w:color="auto" w:fill="auto"/>
            <w:noWrap/>
          </w:tcPr>
          <w:p w14:paraId="58A3C947" w14:textId="366D0A00" w:rsidR="0016634F" w:rsidRPr="005D440E" w:rsidRDefault="0016634F" w:rsidP="00881156">
            <w:pPr>
              <w:spacing w:line="240" w:lineRule="auto"/>
              <w:ind w:firstLine="0"/>
              <w:jc w:val="center"/>
              <w:rPr>
                <w:b/>
              </w:rPr>
            </w:pPr>
            <w:proofErr w:type="gramStart"/>
            <w:r w:rsidRPr="005D440E">
              <w:rPr>
                <w:b/>
              </w:rPr>
              <w:t>( 99</w:t>
            </w:r>
            <w:proofErr w:type="gramEnd"/>
            <w:r w:rsidRPr="005D440E">
              <w:rPr>
                <w:b/>
              </w:rPr>
              <w:t>%)</w:t>
            </w:r>
          </w:p>
        </w:tc>
      </w:tr>
    </w:tbl>
    <w:p w14:paraId="0D0EF9F9" w14:textId="77777777" w:rsidR="00793F55" w:rsidRDefault="00793F55" w:rsidP="007F602D">
      <w:pPr>
        <w:pStyle w:val="Caption"/>
      </w:pPr>
    </w:p>
    <w:p w14:paraId="6006037F" w14:textId="7638918B" w:rsidR="001C259E" w:rsidRDefault="001C259E" w:rsidP="007F602D">
      <w:pPr>
        <w:pStyle w:val="Caption"/>
      </w:pPr>
      <w:r>
        <w:t xml:space="preserve">Table </w:t>
      </w:r>
      <w:fldSimple w:instr=" SEQ Table \* ARABIC ">
        <w:r w:rsidR="00DA6AA6">
          <w:rPr>
            <w:noProof/>
          </w:rPr>
          <w:t>6</w:t>
        </w:r>
      </w:fldSimple>
      <w:r>
        <w:t xml:space="preserve"> Estimation results for the selection model</w:t>
      </w:r>
    </w:p>
    <w:tbl>
      <w:tblPr>
        <w:tblW w:w="5745" w:type="dxa"/>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3400"/>
        <w:gridCol w:w="996"/>
        <w:gridCol w:w="1349"/>
      </w:tblGrid>
      <w:tr w:rsidR="00890187" w:rsidRPr="00890187" w14:paraId="1A7674A5" w14:textId="77777777" w:rsidTr="00EA3786">
        <w:trPr>
          <w:trHeight w:val="448"/>
          <w:jc w:val="center"/>
        </w:trPr>
        <w:tc>
          <w:tcPr>
            <w:tcW w:w="3400" w:type="dxa"/>
            <w:tcBorders>
              <w:top w:val="single" w:sz="12" w:space="0" w:color="auto"/>
            </w:tcBorders>
            <w:noWrap/>
          </w:tcPr>
          <w:p w14:paraId="5016CE26" w14:textId="77777777" w:rsidR="00890187" w:rsidRPr="00890187" w:rsidRDefault="00890187" w:rsidP="00890187">
            <w:pPr>
              <w:pStyle w:val="Table"/>
            </w:pPr>
          </w:p>
        </w:tc>
        <w:tc>
          <w:tcPr>
            <w:tcW w:w="2345" w:type="dxa"/>
            <w:gridSpan w:val="2"/>
            <w:tcBorders>
              <w:top w:val="single" w:sz="12" w:space="0" w:color="auto"/>
            </w:tcBorders>
            <w:noWrap/>
            <w:vAlign w:val="center"/>
          </w:tcPr>
          <w:p w14:paraId="15EF5AAE" w14:textId="77777777" w:rsidR="00890187" w:rsidRPr="00890187" w:rsidRDefault="00890187" w:rsidP="00890187">
            <w:pPr>
              <w:pStyle w:val="Table"/>
              <w:jc w:val="center"/>
            </w:pPr>
            <w:r w:rsidRPr="00890187">
              <w:rPr>
                <w:rFonts w:hint="eastAsia"/>
              </w:rPr>
              <w:t>Use the same company</w:t>
            </w:r>
          </w:p>
        </w:tc>
      </w:tr>
      <w:tr w:rsidR="00EA3786" w:rsidRPr="00890187" w14:paraId="6DAE3875" w14:textId="77777777" w:rsidTr="005D440E">
        <w:trPr>
          <w:trHeight w:val="325"/>
          <w:jc w:val="center"/>
        </w:trPr>
        <w:tc>
          <w:tcPr>
            <w:tcW w:w="3400" w:type="dxa"/>
            <w:tcBorders>
              <w:bottom w:val="nil"/>
            </w:tcBorders>
            <w:noWrap/>
            <w:vAlign w:val="center"/>
            <w:hideMark/>
          </w:tcPr>
          <w:p w14:paraId="4D659098" w14:textId="77777777" w:rsidR="00EA3786" w:rsidRPr="00890187" w:rsidRDefault="00EA3786" w:rsidP="00890187">
            <w:pPr>
              <w:pStyle w:val="Table"/>
              <w:ind w:firstLine="138"/>
            </w:pPr>
            <w:r w:rsidRPr="00890187">
              <w:rPr>
                <w:rFonts w:hint="eastAsia"/>
              </w:rPr>
              <w:t>I</w:t>
            </w:r>
            <w:r w:rsidRPr="00890187">
              <w:t>ntercept</w:t>
            </w:r>
          </w:p>
        </w:tc>
        <w:tc>
          <w:tcPr>
            <w:tcW w:w="996" w:type="dxa"/>
            <w:tcBorders>
              <w:bottom w:val="nil"/>
              <w:right w:val="nil"/>
            </w:tcBorders>
            <w:noWrap/>
            <w:hideMark/>
          </w:tcPr>
          <w:p w14:paraId="4C68E8F7" w14:textId="73347808" w:rsidR="00EA3786" w:rsidRPr="00890187" w:rsidRDefault="00EA3786" w:rsidP="00890187">
            <w:pPr>
              <w:pStyle w:val="Table"/>
              <w:jc w:val="right"/>
            </w:pPr>
            <w:r w:rsidRPr="00CC786F">
              <w:t>-0.681</w:t>
            </w:r>
          </w:p>
        </w:tc>
        <w:tc>
          <w:tcPr>
            <w:tcW w:w="1349" w:type="dxa"/>
            <w:tcBorders>
              <w:left w:val="nil"/>
              <w:bottom w:val="nil"/>
            </w:tcBorders>
            <w:noWrap/>
            <w:hideMark/>
          </w:tcPr>
          <w:p w14:paraId="6FBE2C16" w14:textId="3EEDB262" w:rsidR="00EA3786" w:rsidRPr="00890187" w:rsidRDefault="00EA3786" w:rsidP="00890187">
            <w:pPr>
              <w:pStyle w:val="Table"/>
              <w:jc w:val="center"/>
            </w:pPr>
            <w:proofErr w:type="gramStart"/>
            <w:r w:rsidRPr="00CC786F">
              <w:t>( 19</w:t>
            </w:r>
            <w:proofErr w:type="gramEnd"/>
            <w:r w:rsidRPr="00CC786F">
              <w:t>%)</w:t>
            </w:r>
          </w:p>
        </w:tc>
      </w:tr>
      <w:tr w:rsidR="00EA3786" w:rsidRPr="00890187" w14:paraId="1B8B6C20" w14:textId="77777777" w:rsidTr="005D440E">
        <w:trPr>
          <w:trHeight w:val="325"/>
          <w:jc w:val="center"/>
        </w:trPr>
        <w:tc>
          <w:tcPr>
            <w:tcW w:w="3400" w:type="dxa"/>
            <w:tcBorders>
              <w:top w:val="nil"/>
              <w:bottom w:val="nil"/>
            </w:tcBorders>
            <w:noWrap/>
            <w:vAlign w:val="center"/>
            <w:hideMark/>
          </w:tcPr>
          <w:p w14:paraId="4FB8D312" w14:textId="77777777" w:rsidR="00EA3786" w:rsidRPr="00890187" w:rsidRDefault="00EA3786" w:rsidP="00890187">
            <w:pPr>
              <w:pStyle w:val="Table"/>
              <w:ind w:firstLine="138"/>
              <w:rPr>
                <w:bCs/>
              </w:rPr>
            </w:pPr>
            <w:r w:rsidRPr="00890187">
              <w:rPr>
                <w:bCs/>
              </w:rPr>
              <w:t>Age</w:t>
            </w:r>
            <w:r w:rsidRPr="00890187">
              <w:rPr>
                <w:rFonts w:hint="eastAsia"/>
                <w:bCs/>
              </w:rPr>
              <w:t>/10</w:t>
            </w:r>
          </w:p>
        </w:tc>
        <w:tc>
          <w:tcPr>
            <w:tcW w:w="996" w:type="dxa"/>
            <w:tcBorders>
              <w:top w:val="nil"/>
              <w:bottom w:val="nil"/>
              <w:right w:val="nil"/>
            </w:tcBorders>
            <w:noWrap/>
            <w:hideMark/>
          </w:tcPr>
          <w:p w14:paraId="0086290B" w14:textId="3FE12D99" w:rsidR="00EA3786" w:rsidRPr="00EA3786" w:rsidRDefault="00EA3786" w:rsidP="00890187">
            <w:pPr>
              <w:pStyle w:val="Table"/>
              <w:jc w:val="right"/>
              <w:rPr>
                <w:b/>
                <w:bCs/>
              </w:rPr>
            </w:pPr>
            <w:r w:rsidRPr="005D440E">
              <w:rPr>
                <w:b/>
              </w:rPr>
              <w:t xml:space="preserve"> 0.067</w:t>
            </w:r>
          </w:p>
        </w:tc>
        <w:tc>
          <w:tcPr>
            <w:tcW w:w="1349" w:type="dxa"/>
            <w:tcBorders>
              <w:top w:val="nil"/>
              <w:left w:val="nil"/>
              <w:bottom w:val="nil"/>
            </w:tcBorders>
            <w:noWrap/>
            <w:hideMark/>
          </w:tcPr>
          <w:p w14:paraId="35E133C2" w14:textId="3C9F11D0" w:rsidR="00EA3786" w:rsidRPr="005D440E" w:rsidRDefault="00EA3786" w:rsidP="00B75044">
            <w:pPr>
              <w:pStyle w:val="Table"/>
              <w:tabs>
                <w:tab w:val="left" w:pos="889"/>
              </w:tabs>
              <w:jc w:val="center"/>
              <w:rPr>
                <w:b/>
                <w:bCs/>
              </w:rPr>
            </w:pPr>
            <w:proofErr w:type="gramStart"/>
            <w:r w:rsidRPr="005D440E">
              <w:rPr>
                <w:b/>
              </w:rPr>
              <w:t>( 93</w:t>
            </w:r>
            <w:proofErr w:type="gramEnd"/>
            <w:r w:rsidRPr="005D440E">
              <w:rPr>
                <w:b/>
              </w:rPr>
              <w:t>%)</w:t>
            </w:r>
          </w:p>
        </w:tc>
      </w:tr>
      <w:tr w:rsidR="00EA3786" w:rsidRPr="00890187" w14:paraId="5F7E366D" w14:textId="77777777" w:rsidTr="005D440E">
        <w:trPr>
          <w:trHeight w:val="325"/>
          <w:jc w:val="center"/>
        </w:trPr>
        <w:tc>
          <w:tcPr>
            <w:tcW w:w="3400" w:type="dxa"/>
            <w:tcBorders>
              <w:top w:val="nil"/>
              <w:bottom w:val="nil"/>
            </w:tcBorders>
            <w:noWrap/>
            <w:vAlign w:val="center"/>
            <w:hideMark/>
          </w:tcPr>
          <w:p w14:paraId="4EBFD3FA" w14:textId="77777777" w:rsidR="00EA3786" w:rsidRPr="00890187" w:rsidRDefault="00EA3786" w:rsidP="00890187">
            <w:pPr>
              <w:pStyle w:val="Table"/>
              <w:ind w:firstLine="138"/>
              <w:rPr>
                <w:bCs/>
              </w:rPr>
            </w:pPr>
            <w:r w:rsidRPr="00890187">
              <w:rPr>
                <w:rFonts w:hint="eastAsia"/>
                <w:bCs/>
              </w:rPr>
              <w:t>No kids</w:t>
            </w:r>
          </w:p>
        </w:tc>
        <w:tc>
          <w:tcPr>
            <w:tcW w:w="996" w:type="dxa"/>
            <w:tcBorders>
              <w:top w:val="nil"/>
              <w:bottom w:val="nil"/>
              <w:right w:val="nil"/>
            </w:tcBorders>
            <w:noWrap/>
            <w:hideMark/>
          </w:tcPr>
          <w:p w14:paraId="3033FB2F" w14:textId="3D7B1A20" w:rsidR="00EA3786" w:rsidRPr="00EA3786" w:rsidRDefault="00EA3786" w:rsidP="00890187">
            <w:pPr>
              <w:pStyle w:val="Table"/>
              <w:jc w:val="right"/>
              <w:rPr>
                <w:b/>
                <w:bCs/>
              </w:rPr>
            </w:pPr>
            <w:r w:rsidRPr="005D440E">
              <w:rPr>
                <w:b/>
              </w:rPr>
              <w:t xml:space="preserve"> 0.407</w:t>
            </w:r>
          </w:p>
        </w:tc>
        <w:tc>
          <w:tcPr>
            <w:tcW w:w="1349" w:type="dxa"/>
            <w:tcBorders>
              <w:top w:val="nil"/>
              <w:left w:val="nil"/>
              <w:bottom w:val="nil"/>
            </w:tcBorders>
            <w:noWrap/>
            <w:hideMark/>
          </w:tcPr>
          <w:p w14:paraId="5537F9FD" w14:textId="36A614FE" w:rsidR="00EA3786" w:rsidRPr="005D440E" w:rsidRDefault="00EA3786" w:rsidP="00890187">
            <w:pPr>
              <w:pStyle w:val="Table"/>
              <w:jc w:val="center"/>
              <w:rPr>
                <w:b/>
                <w:bCs/>
              </w:rPr>
            </w:pPr>
            <w:r w:rsidRPr="005D440E">
              <w:rPr>
                <w:b/>
              </w:rPr>
              <w:t>(100%)</w:t>
            </w:r>
          </w:p>
        </w:tc>
      </w:tr>
      <w:tr w:rsidR="00EA3786" w:rsidRPr="00890187" w14:paraId="09BBCF03" w14:textId="77777777" w:rsidTr="005D440E">
        <w:trPr>
          <w:trHeight w:val="325"/>
          <w:jc w:val="center"/>
        </w:trPr>
        <w:tc>
          <w:tcPr>
            <w:tcW w:w="3400" w:type="dxa"/>
            <w:tcBorders>
              <w:top w:val="nil"/>
            </w:tcBorders>
            <w:noWrap/>
            <w:vAlign w:val="center"/>
            <w:hideMark/>
          </w:tcPr>
          <w:p w14:paraId="07FAD36F" w14:textId="77777777" w:rsidR="00EA3786" w:rsidRPr="00890187" w:rsidRDefault="00EA3786" w:rsidP="00890187">
            <w:pPr>
              <w:pStyle w:val="Table"/>
              <w:ind w:firstLine="138"/>
              <w:rPr>
                <w:bCs/>
              </w:rPr>
            </w:pPr>
            <w:r w:rsidRPr="00890187">
              <w:rPr>
                <w:rFonts w:hint="eastAsia"/>
                <w:bCs/>
              </w:rPr>
              <w:t>Go online frequently</w:t>
            </w:r>
          </w:p>
        </w:tc>
        <w:tc>
          <w:tcPr>
            <w:tcW w:w="996" w:type="dxa"/>
            <w:tcBorders>
              <w:top w:val="nil"/>
              <w:right w:val="nil"/>
            </w:tcBorders>
            <w:noWrap/>
            <w:hideMark/>
          </w:tcPr>
          <w:p w14:paraId="3C8E0904" w14:textId="1C80262C" w:rsidR="00EA3786" w:rsidRPr="00EA3786" w:rsidRDefault="00EA3786" w:rsidP="00890187">
            <w:pPr>
              <w:pStyle w:val="Table"/>
              <w:jc w:val="right"/>
              <w:rPr>
                <w:b/>
                <w:bCs/>
              </w:rPr>
            </w:pPr>
            <w:r w:rsidRPr="005D440E">
              <w:rPr>
                <w:b/>
              </w:rPr>
              <w:t>0.117</w:t>
            </w:r>
          </w:p>
        </w:tc>
        <w:tc>
          <w:tcPr>
            <w:tcW w:w="1349" w:type="dxa"/>
            <w:tcBorders>
              <w:top w:val="nil"/>
              <w:left w:val="nil"/>
            </w:tcBorders>
            <w:noWrap/>
            <w:hideMark/>
          </w:tcPr>
          <w:p w14:paraId="2FFCA111" w14:textId="7B452DEA" w:rsidR="00EA3786" w:rsidRPr="005D440E" w:rsidRDefault="00EA3786" w:rsidP="00890187">
            <w:pPr>
              <w:pStyle w:val="Table"/>
              <w:jc w:val="center"/>
              <w:rPr>
                <w:b/>
                <w:bCs/>
              </w:rPr>
            </w:pPr>
            <w:r w:rsidRPr="005D440E">
              <w:rPr>
                <w:b/>
              </w:rPr>
              <w:t>(91%)</w:t>
            </w:r>
          </w:p>
        </w:tc>
      </w:tr>
      <w:tr w:rsidR="00EA3786" w:rsidRPr="00890187" w14:paraId="03CEA172" w14:textId="77777777" w:rsidTr="005D440E">
        <w:trPr>
          <w:trHeight w:val="325"/>
          <w:jc w:val="center"/>
        </w:trPr>
        <w:tc>
          <w:tcPr>
            <w:tcW w:w="3400" w:type="dxa"/>
            <w:tcBorders>
              <w:bottom w:val="nil"/>
            </w:tcBorders>
            <w:noWrap/>
            <w:vAlign w:val="center"/>
            <w:hideMark/>
          </w:tcPr>
          <w:p w14:paraId="050164A9" w14:textId="77777777" w:rsidR="00EA3786" w:rsidRPr="00890187" w:rsidRDefault="00EA3786" w:rsidP="00890187">
            <w:pPr>
              <w:pStyle w:val="Table"/>
              <w:ind w:firstLine="138"/>
              <w:rPr>
                <w:bCs/>
              </w:rPr>
            </w:pPr>
            <w:r w:rsidRPr="00890187">
              <w:rPr>
                <w:bCs/>
              </w:rPr>
              <w:t>“</w:t>
            </w:r>
            <w:r w:rsidRPr="00890187">
              <w:rPr>
                <w:rFonts w:hint="eastAsia"/>
                <w:bCs/>
              </w:rPr>
              <w:t>Technology is important to me</w:t>
            </w:r>
            <w:r w:rsidRPr="00890187">
              <w:rPr>
                <w:bCs/>
              </w:rPr>
              <w:t>”</w:t>
            </w:r>
            <w:r w:rsidRPr="00890187">
              <w:rPr>
                <w:rFonts w:hint="eastAsia"/>
                <w:bCs/>
              </w:rPr>
              <w:t xml:space="preserve"> </w:t>
            </w:r>
          </w:p>
        </w:tc>
        <w:tc>
          <w:tcPr>
            <w:tcW w:w="996" w:type="dxa"/>
            <w:tcBorders>
              <w:bottom w:val="nil"/>
              <w:right w:val="nil"/>
            </w:tcBorders>
            <w:noWrap/>
            <w:hideMark/>
          </w:tcPr>
          <w:p w14:paraId="217F4E36" w14:textId="27FF523C" w:rsidR="00EA3786" w:rsidRPr="00EA3786" w:rsidRDefault="00EA3786" w:rsidP="00890187">
            <w:pPr>
              <w:pStyle w:val="Table"/>
              <w:jc w:val="right"/>
              <w:rPr>
                <w:b/>
                <w:bCs/>
              </w:rPr>
            </w:pPr>
            <w:r w:rsidRPr="005D440E">
              <w:rPr>
                <w:b/>
              </w:rPr>
              <w:t>-0.937</w:t>
            </w:r>
          </w:p>
        </w:tc>
        <w:tc>
          <w:tcPr>
            <w:tcW w:w="1349" w:type="dxa"/>
            <w:tcBorders>
              <w:left w:val="nil"/>
              <w:bottom w:val="nil"/>
            </w:tcBorders>
            <w:noWrap/>
            <w:hideMark/>
          </w:tcPr>
          <w:p w14:paraId="2BE8248B" w14:textId="090294C0" w:rsidR="00EA3786" w:rsidRPr="005D440E" w:rsidRDefault="00EA3786" w:rsidP="00890187">
            <w:pPr>
              <w:pStyle w:val="Table"/>
              <w:jc w:val="center"/>
              <w:rPr>
                <w:b/>
                <w:bCs/>
              </w:rPr>
            </w:pPr>
            <w:r w:rsidRPr="005D440E">
              <w:rPr>
                <w:b/>
              </w:rPr>
              <w:t>(0%)</w:t>
            </w:r>
          </w:p>
        </w:tc>
      </w:tr>
      <w:tr w:rsidR="00EA3786" w:rsidRPr="00890187" w14:paraId="14403DEC" w14:textId="77777777" w:rsidTr="005D440E">
        <w:trPr>
          <w:trHeight w:val="325"/>
          <w:jc w:val="center"/>
        </w:trPr>
        <w:tc>
          <w:tcPr>
            <w:tcW w:w="3400" w:type="dxa"/>
            <w:tcBorders>
              <w:top w:val="nil"/>
              <w:bottom w:val="nil"/>
            </w:tcBorders>
            <w:noWrap/>
            <w:vAlign w:val="center"/>
            <w:hideMark/>
          </w:tcPr>
          <w:p w14:paraId="291447B1" w14:textId="77777777" w:rsidR="00EA3786" w:rsidRPr="00890187" w:rsidRDefault="00EA3786" w:rsidP="00890187">
            <w:pPr>
              <w:pStyle w:val="Table"/>
              <w:ind w:firstLine="138"/>
              <w:rPr>
                <w:bCs/>
              </w:rPr>
            </w:pPr>
            <w:r w:rsidRPr="00890187">
              <w:rPr>
                <w:bCs/>
              </w:rPr>
              <w:t>“</w:t>
            </w:r>
            <w:r w:rsidRPr="00890187">
              <w:rPr>
                <w:rFonts w:hint="eastAsia"/>
                <w:bCs/>
              </w:rPr>
              <w:t>Life is to have fun</w:t>
            </w:r>
            <w:r w:rsidRPr="00890187">
              <w:rPr>
                <w:bCs/>
              </w:rPr>
              <w:t>”</w:t>
            </w:r>
          </w:p>
        </w:tc>
        <w:tc>
          <w:tcPr>
            <w:tcW w:w="996" w:type="dxa"/>
            <w:tcBorders>
              <w:top w:val="nil"/>
              <w:bottom w:val="nil"/>
              <w:right w:val="nil"/>
            </w:tcBorders>
            <w:noWrap/>
            <w:hideMark/>
          </w:tcPr>
          <w:p w14:paraId="0A0F0A66" w14:textId="43115222" w:rsidR="00EA3786" w:rsidRPr="00EA3786" w:rsidRDefault="00EA3786" w:rsidP="00890187">
            <w:pPr>
              <w:pStyle w:val="Table"/>
              <w:jc w:val="right"/>
              <w:rPr>
                <w:b/>
                <w:bCs/>
              </w:rPr>
            </w:pPr>
            <w:r w:rsidRPr="005D440E">
              <w:rPr>
                <w:b/>
              </w:rPr>
              <w:t>-0.822</w:t>
            </w:r>
          </w:p>
        </w:tc>
        <w:tc>
          <w:tcPr>
            <w:tcW w:w="1349" w:type="dxa"/>
            <w:tcBorders>
              <w:top w:val="nil"/>
              <w:left w:val="nil"/>
              <w:bottom w:val="nil"/>
            </w:tcBorders>
            <w:noWrap/>
            <w:hideMark/>
          </w:tcPr>
          <w:p w14:paraId="7E0EAE43" w14:textId="0A88A7AA" w:rsidR="00EA3786" w:rsidRPr="005D440E" w:rsidRDefault="00EA3786" w:rsidP="00890187">
            <w:pPr>
              <w:pStyle w:val="Table"/>
              <w:jc w:val="center"/>
              <w:rPr>
                <w:b/>
                <w:bCs/>
              </w:rPr>
            </w:pPr>
            <w:r w:rsidRPr="005D440E">
              <w:rPr>
                <w:b/>
              </w:rPr>
              <w:t>(0%)</w:t>
            </w:r>
          </w:p>
        </w:tc>
      </w:tr>
      <w:tr w:rsidR="00EA3786" w:rsidRPr="00890187" w14:paraId="79A37B56" w14:textId="77777777" w:rsidTr="005D440E">
        <w:trPr>
          <w:trHeight w:val="325"/>
          <w:jc w:val="center"/>
        </w:trPr>
        <w:tc>
          <w:tcPr>
            <w:tcW w:w="3400" w:type="dxa"/>
            <w:tcBorders>
              <w:top w:val="nil"/>
              <w:bottom w:val="single" w:sz="12" w:space="0" w:color="auto"/>
            </w:tcBorders>
            <w:noWrap/>
            <w:vAlign w:val="center"/>
            <w:hideMark/>
          </w:tcPr>
          <w:p w14:paraId="7F944AB1" w14:textId="77777777" w:rsidR="00EA3786" w:rsidRPr="00890187" w:rsidRDefault="00EA3786" w:rsidP="00890187">
            <w:pPr>
              <w:pStyle w:val="Table"/>
              <w:ind w:firstLine="138"/>
              <w:rPr>
                <w:bCs/>
              </w:rPr>
            </w:pPr>
            <w:r w:rsidRPr="00890187">
              <w:rPr>
                <w:bCs/>
              </w:rPr>
              <w:t>“</w:t>
            </w:r>
            <w:r w:rsidRPr="00890187">
              <w:rPr>
                <w:rFonts w:hint="eastAsia"/>
                <w:bCs/>
              </w:rPr>
              <w:t>Family is very important</w:t>
            </w:r>
            <w:r w:rsidRPr="00890187">
              <w:rPr>
                <w:bCs/>
              </w:rPr>
              <w:t>”</w:t>
            </w:r>
            <w:r w:rsidRPr="00890187">
              <w:rPr>
                <w:rFonts w:hint="eastAsia"/>
                <w:bCs/>
              </w:rPr>
              <w:t xml:space="preserve"> </w:t>
            </w:r>
          </w:p>
        </w:tc>
        <w:tc>
          <w:tcPr>
            <w:tcW w:w="996" w:type="dxa"/>
            <w:tcBorders>
              <w:top w:val="nil"/>
              <w:bottom w:val="single" w:sz="12" w:space="0" w:color="auto"/>
              <w:right w:val="nil"/>
            </w:tcBorders>
            <w:noWrap/>
            <w:hideMark/>
          </w:tcPr>
          <w:p w14:paraId="77025ED6" w14:textId="3794D8E9" w:rsidR="00EA3786" w:rsidRPr="00EA3786" w:rsidRDefault="00EA3786" w:rsidP="00890187">
            <w:pPr>
              <w:pStyle w:val="Table"/>
              <w:jc w:val="right"/>
              <w:rPr>
                <w:b/>
                <w:bCs/>
              </w:rPr>
            </w:pPr>
            <w:r w:rsidRPr="005D440E">
              <w:rPr>
                <w:b/>
              </w:rPr>
              <w:t>0.053</w:t>
            </w:r>
          </w:p>
        </w:tc>
        <w:tc>
          <w:tcPr>
            <w:tcW w:w="1349" w:type="dxa"/>
            <w:tcBorders>
              <w:top w:val="nil"/>
              <w:left w:val="nil"/>
              <w:bottom w:val="single" w:sz="12" w:space="0" w:color="auto"/>
            </w:tcBorders>
            <w:noWrap/>
            <w:hideMark/>
          </w:tcPr>
          <w:p w14:paraId="30FD1F38" w14:textId="6452264E" w:rsidR="00EA3786" w:rsidRPr="005D440E" w:rsidRDefault="00EA3786" w:rsidP="00890187">
            <w:pPr>
              <w:pStyle w:val="Table"/>
              <w:jc w:val="center"/>
              <w:rPr>
                <w:b/>
                <w:bCs/>
              </w:rPr>
            </w:pPr>
            <w:r w:rsidRPr="005D440E">
              <w:rPr>
                <w:b/>
              </w:rPr>
              <w:t>(96%)</w:t>
            </w:r>
          </w:p>
        </w:tc>
      </w:tr>
    </w:tbl>
    <w:p w14:paraId="0A016676" w14:textId="05B0EC65" w:rsidR="0006483D" w:rsidRDefault="0006483D" w:rsidP="00DE4427">
      <w:pPr>
        <w:pStyle w:val="Caption"/>
        <w:jc w:val="both"/>
      </w:pPr>
    </w:p>
    <w:p w14:paraId="6B0DE7F2" w14:textId="77777777" w:rsidR="00355F46" w:rsidRDefault="00355F46" w:rsidP="00355F46"/>
    <w:p w14:paraId="0F881FC2" w14:textId="77777777" w:rsidR="00355F46" w:rsidRDefault="00355F46" w:rsidP="00355F46"/>
    <w:p w14:paraId="74371E3B" w14:textId="018FA597" w:rsidR="00355F46" w:rsidRDefault="00355F46">
      <w:pPr>
        <w:spacing w:after="200" w:line="276" w:lineRule="auto"/>
        <w:ind w:firstLine="0"/>
        <w:jc w:val="left"/>
      </w:pPr>
      <w:r>
        <w:br w:type="page"/>
      </w:r>
    </w:p>
    <w:p w14:paraId="347EEF8E" w14:textId="77777777" w:rsidR="00355F46" w:rsidRPr="00355F46" w:rsidRDefault="00355F46" w:rsidP="00355F46">
      <w:pPr>
        <w:ind w:firstLine="0"/>
        <w:jc w:val="center"/>
        <w:rPr>
          <w:rFonts w:eastAsia="SimSun" w:cs="Times New Roman"/>
          <w:u w:val="single"/>
        </w:rPr>
      </w:pPr>
      <w:r w:rsidRPr="00355F46">
        <w:rPr>
          <w:rFonts w:eastAsia="SimSun" w:cs="Times New Roman"/>
          <w:u w:val="single"/>
        </w:rPr>
        <w:lastRenderedPageBreak/>
        <w:t>Web Appendix: The Gibbs Sampler to Estimate the Model Parameters</w:t>
      </w:r>
    </w:p>
    <w:p w14:paraId="04B8E525" w14:textId="77777777" w:rsidR="00355F46" w:rsidRPr="00355F46" w:rsidRDefault="00890FE0" w:rsidP="00355F46">
      <w:pPr>
        <w:numPr>
          <w:ilvl w:val="6"/>
          <w:numId w:val="2"/>
        </w:numPr>
        <w:tabs>
          <w:tab w:val="left" w:pos="360"/>
        </w:tabs>
        <w:spacing w:after="120" w:line="240" w:lineRule="auto"/>
        <w:contextualSpacing/>
        <w:jc w:val="left"/>
        <w:rPr>
          <w:rFonts w:eastAsia="SimSun" w:cs="Times New Roman"/>
        </w:rPr>
      </w:pPr>
      <m:oMath>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m:t>
                </m:r>
              </m:sub>
            </m:sSub>
            <m:r>
              <w:rPr>
                <w:rFonts w:ascii="Cambria Math" w:eastAsia="SimSun" w:hAnsi="Cambria Math" w:cs="Times New Roman"/>
              </w:rPr>
              <m:t>|∙</m:t>
            </m:r>
          </m:e>
        </m:d>
      </m:oMath>
      <w:r w:rsidR="00355F46" w:rsidRPr="00355F46">
        <w:rPr>
          <w:rFonts w:eastAsia="SimSun" w:cs="Times New Roman"/>
        </w:rPr>
        <w:t xml:space="preserve"> draw the latent values </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m:t>
            </m:r>
          </m:sub>
        </m:sSub>
      </m:oMath>
      <w:r w:rsidR="00355F46" w:rsidRPr="00355F46">
        <w:rPr>
          <w:rFonts w:eastAsia="SimSun" w:cs="Times New Roman"/>
        </w:rPr>
        <w:t xml:space="preserve">, for the two categories simultaneously conditional on all other model parameters.Knowing the full covariance matrix </w:t>
      </w:r>
      <m:oMath>
        <m:r>
          <m:rPr>
            <m:sty m:val="p"/>
          </m:rPr>
          <w:rPr>
            <w:rFonts w:ascii="Cambria Math" w:eastAsia="SimSun" w:hAnsi="Cambria Math" w:cs="Times New Roman"/>
          </w:rPr>
          <m:t>Σ</m:t>
        </m:r>
      </m:oMath>
      <w:r w:rsidR="00355F46" w:rsidRPr="00355F46">
        <w:rPr>
          <w:rFonts w:eastAsia="SimSun" w:cs="Times New Roman"/>
        </w:rPr>
        <w:t xml:space="preserve"> among the three error terms, which is </w:t>
      </w:r>
    </w:p>
    <w:p w14:paraId="443B65A7" w14:textId="77777777" w:rsidR="00355F46" w:rsidRPr="00355F46" w:rsidRDefault="00890FE0" w:rsidP="00355F46">
      <w:pPr>
        <w:ind w:firstLine="0"/>
        <w:rPr>
          <w:rFonts w:eastAsia="SimSun" w:cs="Times New Roman"/>
        </w:rPr>
      </w:pPr>
      <m:oMathPara>
        <m:oMath>
          <m:d>
            <m:dPr>
              <m:begChr m:val="{"/>
              <m:endChr m:val="}"/>
              <m:ctrlPr>
                <w:rPr>
                  <w:rFonts w:ascii="Cambria Math" w:eastAsia="SimSun" w:hAnsi="Cambria Math" w:cs="Times New Roman"/>
                  <w:i/>
                </w:rPr>
              </m:ctrlPr>
            </m:dPr>
            <m:e>
              <m:m>
                <m:mPr>
                  <m:mcs>
                    <m:mc>
                      <m:mcPr>
                        <m:count m:val="1"/>
                        <m:mcJc m:val="center"/>
                      </m:mcPr>
                    </m:mc>
                  </m:mcs>
                  <m:ctrlPr>
                    <w:rPr>
                      <w:rFonts w:ascii="Cambria Math" w:eastAsia="SimSun" w:hAnsi="Cambria Math" w:cs="Times New Roman"/>
                      <w:i/>
                    </w:rPr>
                  </m:ctrlPr>
                </m:mPr>
                <m:m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ϵ</m:t>
                            </m:r>
                          </m:e>
                          <m:sub>
                            <m:r>
                              <w:rPr>
                                <w:rFonts w:ascii="Cambria Math" w:eastAsia="SimSun" w:hAnsi="Cambria Math" w:cs="Times New Roman"/>
                              </w:rPr>
                              <m:t>ifc</m:t>
                            </m:r>
                          </m:sub>
                        </m:sSub>
                      </m:e>
                    </m:d>
                  </m:e>
                </m:mr>
                <m:m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u</m:t>
                            </m:r>
                          </m:e>
                          <m:sub>
                            <m:r>
                              <w:rPr>
                                <w:rFonts w:ascii="Cambria Math" w:eastAsia="SimSun" w:hAnsi="Cambria Math" w:cs="Times New Roman"/>
                              </w:rPr>
                              <m:t>i</m:t>
                            </m:r>
                          </m:sub>
                        </m:sSub>
                      </m:e>
                    </m:d>
                  </m:e>
                </m:mr>
              </m:m>
            </m:e>
          </m:d>
          <m:r>
            <w:rPr>
              <w:rFonts w:ascii="Cambria Math" w:eastAsia="SimSun" w:hAnsi="Cambria Math" w:cs="Times New Roman"/>
            </w:rPr>
            <m:t>~N</m:t>
          </m:r>
          <m:d>
            <m:dPr>
              <m:ctrlPr>
                <w:rPr>
                  <w:rFonts w:ascii="Cambria Math" w:eastAsia="SimSun" w:hAnsi="Cambria Math" w:cs="Times New Roman"/>
                  <w:i/>
                </w:rPr>
              </m:ctrlPr>
            </m:dPr>
            <m:e>
              <m:r>
                <w:rPr>
                  <w:rFonts w:ascii="Cambria Math" w:eastAsia="SimSun" w:hAnsi="Cambria Math" w:cs="Times New Roman"/>
                </w:rPr>
                <m:t>0,</m:t>
              </m:r>
              <m:r>
                <m:rPr>
                  <m:sty m:val="p"/>
                </m:rPr>
                <w:rPr>
                  <w:rFonts w:ascii="Cambria Math" w:eastAsia="SimSun" w:hAnsi="Cambria Math" w:cs="Times New Roman"/>
                </w:rPr>
                <m:t>Σ</m:t>
              </m:r>
            </m:e>
          </m:d>
          <m:r>
            <w:rPr>
              <w:rFonts w:ascii="Cambria Math" w:eastAsia="SimSun" w:hAnsi="Cambria Math" w:cs="Times New Roman"/>
            </w:rPr>
            <m:t>, for c=1,2</m:t>
          </m:r>
        </m:oMath>
      </m:oMathPara>
    </w:p>
    <w:p w14:paraId="35B78DC3" w14:textId="77777777" w:rsidR="00355F46" w:rsidRPr="00355F46" w:rsidRDefault="00355F46" w:rsidP="00355F46">
      <w:pPr>
        <w:tabs>
          <w:tab w:val="left" w:pos="360"/>
        </w:tabs>
        <w:spacing w:line="240" w:lineRule="auto"/>
        <w:ind w:firstLine="0"/>
        <w:rPr>
          <w:rFonts w:eastAsia="SimSun" w:cs="Times New Roman"/>
        </w:rPr>
      </w:pPr>
      <w:proofErr w:type="gramStart"/>
      <w:r w:rsidRPr="00355F46">
        <w:rPr>
          <w:rFonts w:eastAsia="SimSun" w:cs="Times New Roman"/>
        </w:rPr>
        <w:t>we</w:t>
      </w:r>
      <w:proofErr w:type="gramEnd"/>
      <w:r w:rsidRPr="00355F46">
        <w:rPr>
          <w:rFonts w:eastAsia="SimSun" w:cs="Times New Roman"/>
        </w:rPr>
        <w:t xml:space="preserve"> can derive the conditional covariance matrix of </w:t>
      </w:r>
      <m:oMath>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ϵ|μ</m:t>
            </m:r>
          </m:sub>
        </m:sSub>
        <m:r>
          <w:rPr>
            <w:rFonts w:ascii="Cambria Math" w:eastAsia="SimSun" w:hAnsi="Cambria Math" w:cs="Times New Roman"/>
          </w:rPr>
          <m:t>=var</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ϵ</m:t>
                    </m:r>
                  </m:e>
                  <m:sub>
                    <m:r>
                      <w:rPr>
                        <w:rFonts w:ascii="Cambria Math" w:eastAsia="SimSun" w:hAnsi="Cambria Math" w:cs="Times New Roman"/>
                      </w:rPr>
                      <m:t>ifc=1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ϵ</m:t>
                    </m:r>
                  </m:e>
                  <m:sub>
                    <m:r>
                      <w:rPr>
                        <w:rFonts w:ascii="Cambria Math" w:eastAsia="SimSun" w:hAnsi="Cambria Math" w:cs="Times New Roman"/>
                      </w:rPr>
                      <m:t>ifc=2</m:t>
                    </m:r>
                  </m:sub>
                </m:sSub>
              </m:e>
            </m:d>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u</m:t>
                </m:r>
              </m:e>
              <m:sub>
                <m:r>
                  <w:rPr>
                    <w:rFonts w:ascii="Cambria Math" w:eastAsia="SimSun" w:hAnsi="Cambria Math" w:cs="Times New Roman"/>
                  </w:rPr>
                  <m:t>i</m:t>
                </m:r>
              </m:sub>
            </m:sSub>
          </m:e>
        </m:d>
        <m: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ϵϵ</m:t>
            </m:r>
          </m:sub>
        </m:sSub>
        <m: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Σ</m:t>
            </m:r>
            <m:ctrlPr>
              <w:rPr>
                <w:rFonts w:ascii="Cambria Math" w:eastAsia="SimSun" w:hAnsi="Cambria Math" w:cs="Times New Roman"/>
                <w:i/>
              </w:rPr>
            </m:ctrlPr>
          </m:e>
          <m:sub>
            <m:r>
              <w:rPr>
                <w:rFonts w:ascii="Cambria Math" w:eastAsia="SimSun" w:hAnsi="Cambria Math" w:cs="Times New Roman"/>
              </w:rPr>
              <m:t>ϵμ</m:t>
            </m:r>
          </m:sub>
        </m:sSub>
        <m:sSubSup>
          <m:sSubSupPr>
            <m:ctrlPr>
              <w:rPr>
                <w:rFonts w:ascii="Cambria Math" w:eastAsia="SimSun" w:hAnsi="Cambria Math" w:cs="Times New Roman"/>
                <w:i/>
              </w:rPr>
            </m:ctrlPr>
          </m:sSubSupPr>
          <m:e>
            <m:r>
              <m:rPr>
                <m:sty m:val="p"/>
              </m:rPr>
              <w:rPr>
                <w:rFonts w:ascii="Cambria Math" w:eastAsia="SimSun" w:hAnsi="Cambria Math" w:cs="Times New Roman"/>
              </w:rPr>
              <m:t>Σ</m:t>
            </m:r>
            <m:ctrlPr>
              <w:rPr>
                <w:rFonts w:ascii="Cambria Math" w:eastAsia="SimSun" w:hAnsi="Cambria Math" w:cs="Times New Roman"/>
              </w:rPr>
            </m:ctrlPr>
          </m:e>
          <m:sub>
            <m:r>
              <w:rPr>
                <w:rFonts w:ascii="Cambria Math" w:eastAsia="SimSun" w:hAnsi="Cambria Math" w:cs="Times New Roman"/>
              </w:rPr>
              <m:t>μμ</m:t>
            </m:r>
            <m:ctrlPr>
              <w:rPr>
                <w:rFonts w:ascii="Cambria Math" w:eastAsia="SimSun" w:hAnsi="Cambria Math" w:cs="Times New Roman"/>
              </w:rPr>
            </m:ctrlPr>
          </m:sub>
          <m:sup>
            <m:r>
              <w:rPr>
                <w:rFonts w:ascii="Cambria Math" w:eastAsia="SimSun" w:hAnsi="Cambria Math" w:cs="Times New Roman"/>
              </w:rPr>
              <m:t>-1</m:t>
            </m:r>
          </m:sup>
        </m:sSubSup>
        <m:sSub>
          <m:sSubPr>
            <m:ctrlPr>
              <w:rPr>
                <w:rFonts w:ascii="Cambria Math" w:eastAsia="SimSun" w:hAnsi="Cambria Math" w:cs="Times New Roman"/>
              </w:rPr>
            </m:ctrlPr>
          </m:sSubPr>
          <m:e>
            <m:r>
              <m:rPr>
                <m:sty m:val="p"/>
              </m:rPr>
              <w:rPr>
                <w:rFonts w:ascii="Cambria Math" w:eastAsia="SimSun" w:hAnsi="Cambria Math" w:cs="Times New Roman"/>
              </w:rPr>
              <m:t>Σ</m:t>
            </m:r>
            <m:ctrlPr>
              <w:rPr>
                <w:rFonts w:ascii="Cambria Math" w:eastAsia="SimSun" w:hAnsi="Cambria Math" w:cs="Times New Roman"/>
                <w:i/>
              </w:rPr>
            </m:ctrlPr>
          </m:e>
          <m:sub>
            <m:r>
              <w:rPr>
                <w:rFonts w:ascii="Cambria Math" w:eastAsia="SimSun" w:hAnsi="Cambria Math" w:cs="Times New Roman"/>
              </w:rPr>
              <m:t>μϵ</m:t>
            </m:r>
          </m:sub>
        </m:sSub>
      </m:oMath>
      <w:r w:rsidRPr="00355F46">
        <w:rPr>
          <w:rFonts w:eastAsia="SimSun" w:cs="Times New Roman"/>
        </w:rPr>
        <w:t xml:space="preserve">. </w:t>
      </w:r>
    </w:p>
    <w:p w14:paraId="5DC6405D" w14:textId="77777777" w:rsidR="00355F46" w:rsidRPr="00355F46" w:rsidRDefault="00355F46" w:rsidP="00355F46">
      <w:pPr>
        <w:tabs>
          <w:tab w:val="left" w:pos="360"/>
        </w:tabs>
        <w:spacing w:line="240" w:lineRule="auto"/>
        <w:ind w:firstLine="0"/>
        <w:rPr>
          <w:rFonts w:eastAsia="SimSun" w:cs="Times New Roman"/>
        </w:rPr>
      </w:pPr>
    </w:p>
    <w:p w14:paraId="19A0176A" w14:textId="77777777" w:rsidR="00355F46" w:rsidRPr="00355F46" w:rsidRDefault="00355F46" w:rsidP="00355F46">
      <w:pPr>
        <w:tabs>
          <w:tab w:val="left" w:pos="360"/>
        </w:tabs>
        <w:spacing w:line="240" w:lineRule="auto"/>
        <w:ind w:firstLine="0"/>
        <w:rPr>
          <w:rFonts w:eastAsia="SimSun" w:cs="Times New Roman"/>
        </w:rPr>
      </w:pPr>
      <w:r w:rsidRPr="00355F46">
        <w:rPr>
          <w:rFonts w:eastAsia="SimSun" w:cs="Times New Roman"/>
        </w:rPr>
        <w:t>In this equation,</w:t>
      </w:r>
    </w:p>
    <w:p w14:paraId="2DAEF901" w14:textId="77777777" w:rsidR="00355F46" w:rsidRPr="00355F46" w:rsidRDefault="00355F46" w:rsidP="00355F46">
      <w:pPr>
        <w:tabs>
          <w:tab w:val="left" w:pos="360"/>
        </w:tabs>
        <w:ind w:firstLine="0"/>
        <w:rPr>
          <w:rFonts w:eastAsia="SimSun" w:cs="Times New Roman"/>
        </w:rPr>
      </w:pPr>
      <m:oMathPara>
        <m:oMath>
          <m:r>
            <m:rPr>
              <m:sty m:val="p"/>
            </m:rPr>
            <w:rPr>
              <w:rFonts w:ascii="Cambria Math" w:eastAsia="SimSun" w:hAnsi="Cambria Math" w:cs="Times New Roman"/>
            </w:rPr>
            <m:t>Σ=</m:t>
          </m:r>
          <m:d>
            <m:dPr>
              <m:begChr m:val="["/>
              <m:endChr m:val="]"/>
              <m:ctrlPr>
                <w:rPr>
                  <w:rFonts w:ascii="Cambria Math" w:eastAsia="SimSun" w:hAnsi="Cambria Math" w:cs="Times New Roman"/>
                </w:rPr>
              </m:ctrlPr>
            </m:dPr>
            <m:e>
              <m:m>
                <m:mPr>
                  <m:mcs>
                    <m:mc>
                      <m:mcPr>
                        <m:count m:val="2"/>
                        <m:mcJc m:val="center"/>
                      </m:mcPr>
                    </m:mc>
                  </m:mcs>
                  <m:ctrlPr>
                    <w:rPr>
                      <w:rFonts w:ascii="Cambria Math" w:eastAsia="SimSun" w:hAnsi="Cambria Math" w:cs="Times New Roman"/>
                      <w:i/>
                    </w:rPr>
                  </m:ctrlPr>
                </m:mPr>
                <m:mr>
                  <m:e>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ϵϵ</m:t>
                        </m:r>
                      </m:sub>
                    </m:sSub>
                  </m:e>
                  <m:e>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ϵμ</m:t>
                        </m:r>
                      </m:sub>
                    </m:sSub>
                  </m:e>
                </m:mr>
                <m:mr>
                  <m:e>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μϵ</m:t>
                        </m:r>
                      </m:sub>
                    </m:sSub>
                  </m:e>
                  <m:e>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μμ</m:t>
                        </m:r>
                      </m:sub>
                    </m:sSub>
                  </m:e>
                </m:mr>
              </m:m>
            </m:e>
          </m:d>
        </m:oMath>
      </m:oMathPara>
    </w:p>
    <w:p w14:paraId="2C935762" w14:textId="77777777" w:rsidR="00355F46" w:rsidRPr="00355F46" w:rsidRDefault="00355F46" w:rsidP="00355F46">
      <w:pPr>
        <w:tabs>
          <w:tab w:val="left" w:pos="360"/>
        </w:tabs>
        <w:ind w:firstLine="0"/>
        <w:rPr>
          <w:rFonts w:eastAsia="SimSun" w:cs="Times New Roman"/>
        </w:rPr>
      </w:pPr>
      <w:proofErr w:type="gramStart"/>
      <w:r w:rsidRPr="00355F46">
        <w:rPr>
          <w:rFonts w:eastAsia="SimSun" w:cs="Times New Roman"/>
        </w:rPr>
        <w:t>where</w:t>
      </w:r>
      <w:proofErr w:type="gramEnd"/>
      <w:r w:rsidRPr="00355F46">
        <w:rPr>
          <w:rFonts w:eastAsia="SimSun" w:cs="Times New Roman"/>
        </w:rPr>
        <w:t xml:space="preserve"> </w:t>
      </w:r>
      <m:oMath>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ϵϵ</m:t>
            </m:r>
          </m:sub>
        </m:sSub>
      </m:oMath>
      <w:r w:rsidRPr="00355F46">
        <w:rPr>
          <w:rFonts w:eastAsia="SimSun" w:cs="Times New Roman"/>
        </w:rPr>
        <w:t xml:space="preserve"> is a 2x2 matrix, with the diagonals constrained to be 1, and </w:t>
      </w:r>
      <m:oMath>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μμ</m:t>
            </m:r>
          </m:sub>
        </m:sSub>
      </m:oMath>
      <w:r w:rsidRPr="00355F46">
        <w:rPr>
          <w:rFonts w:eastAsia="SimSun" w:cs="Times New Roman"/>
        </w:rPr>
        <w:t xml:space="preserve"> takes the value of 1. </w:t>
      </w:r>
    </w:p>
    <w:p w14:paraId="2B8C1109" w14:textId="77777777" w:rsidR="00355F46" w:rsidRPr="00355F46" w:rsidRDefault="00355F46" w:rsidP="00355F46">
      <w:pPr>
        <w:tabs>
          <w:tab w:val="left" w:pos="360"/>
        </w:tabs>
        <w:spacing w:line="240" w:lineRule="auto"/>
        <w:ind w:firstLine="0"/>
        <w:rPr>
          <w:rFonts w:eastAsia="SimSun" w:cs="Times New Roman"/>
        </w:rPr>
      </w:pPr>
      <w:r w:rsidRPr="00355F46">
        <w:rPr>
          <w:rFonts w:eastAsia="SimSun" w:cs="Times New Roman"/>
        </w:rPr>
        <w:t xml:space="preserve">With the conditional covariance matrix </w:t>
      </w:r>
      <m:oMath>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ϵ|μ</m:t>
            </m:r>
          </m:sub>
        </m:sSub>
      </m:oMath>
      <w:r w:rsidRPr="00355F46">
        <w:rPr>
          <w:rFonts w:eastAsia="SimSun" w:cs="Times New Roman"/>
        </w:rPr>
        <w:t xml:space="preserve"> and the conditional mean of </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it</m:t>
            </m:r>
          </m:sub>
        </m:sSub>
      </m:oMath>
      <w:r w:rsidRPr="00355F46">
        <w:rPr>
          <w:rFonts w:eastAsia="SimSun" w:cs="Times New Roman"/>
        </w:rPr>
        <w:t xml:space="preserve"> for both categories, we can simulate the values of </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it</m:t>
            </m:r>
          </m:sub>
        </m:sSub>
      </m:oMath>
      <w:r w:rsidRPr="00355F46">
        <w:rPr>
          <w:rFonts w:eastAsia="SimSun" w:cs="Times New Roman"/>
        </w:rPr>
        <w:t xml:space="preserve"> from truncated normal distribution. The truncation depends on the value of the </w:t>
      </w:r>
      <w:proofErr w:type="gramStart"/>
      <w:r w:rsidRPr="00355F46">
        <w:rPr>
          <w:rFonts w:eastAsia="SimSun" w:cs="Times New Roman"/>
        </w:rPr>
        <w:t xml:space="preserve">corresponding </w:t>
      </w:r>
      <w:proofErr w:type="gramEnd"/>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it</m:t>
            </m:r>
          </m:sub>
        </m:sSub>
      </m:oMath>
      <w:r w:rsidRPr="00355F46">
        <w:rPr>
          <w:rFonts w:eastAsia="SimSun" w:cs="Times New Roman"/>
        </w:rPr>
        <w:t>.</w:t>
      </w:r>
    </w:p>
    <w:p w14:paraId="37765638" w14:textId="77777777" w:rsidR="00355F46" w:rsidRPr="00355F46" w:rsidRDefault="00355F46" w:rsidP="00355F46">
      <w:pPr>
        <w:tabs>
          <w:tab w:val="left" w:pos="360"/>
        </w:tabs>
        <w:spacing w:line="240" w:lineRule="auto"/>
        <w:ind w:firstLine="0"/>
        <w:rPr>
          <w:rFonts w:eastAsia="SimSun" w:cs="Times New Roman"/>
        </w:rPr>
      </w:pPr>
    </w:p>
    <w:p w14:paraId="51D674EA" w14:textId="77777777" w:rsidR="00355F46" w:rsidRPr="00355F46" w:rsidRDefault="00890FE0" w:rsidP="00355F46">
      <w:pPr>
        <w:numPr>
          <w:ilvl w:val="6"/>
          <w:numId w:val="2"/>
        </w:numPr>
        <w:tabs>
          <w:tab w:val="left" w:pos="360"/>
        </w:tabs>
        <w:spacing w:after="120" w:line="240" w:lineRule="auto"/>
        <w:contextualSpacing/>
        <w:jc w:val="left"/>
        <w:rPr>
          <w:rFonts w:eastAsia="SimSun" w:cs="Times New Roman"/>
        </w:rPr>
      </w:pPr>
      <m:oMath>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r>
              <w:rPr>
                <w:rFonts w:ascii="Cambria Math" w:eastAsia="SimSun" w:hAnsi="Cambria Math" w:cs="Times New Roman"/>
              </w:rPr>
              <m:t>|∙</m:t>
            </m:r>
          </m:e>
        </m:d>
      </m:oMath>
      <w:r w:rsidR="00355F46" w:rsidRPr="00355F46">
        <w:rPr>
          <w:rFonts w:eastAsia="SimSun" w:cs="Times New Roman"/>
        </w:rPr>
        <w:t xml:space="preserve"> simulate the latent values </w:t>
      </w:r>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00355F46" w:rsidRPr="00355F46">
        <w:rPr>
          <w:rFonts w:eastAsia="SimSun" w:cs="Times New Roman"/>
        </w:rPr>
        <w:t>, as in equation (3)</w:t>
      </w:r>
    </w:p>
    <w:p w14:paraId="2B50154B" w14:textId="77777777" w:rsidR="00355F46" w:rsidRPr="00355F46" w:rsidRDefault="00355F46" w:rsidP="00355F46">
      <w:pPr>
        <w:tabs>
          <w:tab w:val="left" w:pos="360"/>
        </w:tabs>
        <w:spacing w:after="120" w:line="240" w:lineRule="auto"/>
        <w:ind w:firstLine="0"/>
        <w:contextualSpacing/>
        <w:rPr>
          <w:rFonts w:eastAsia="SimSun" w:cs="Times New Roman"/>
        </w:rPr>
      </w:pPr>
    </w:p>
    <w:p w14:paraId="3A4DA162" w14:textId="77777777" w:rsidR="00355F46" w:rsidRPr="00355F46" w:rsidRDefault="00355F46" w:rsidP="00355F46">
      <w:pPr>
        <w:tabs>
          <w:tab w:val="left" w:pos="360"/>
        </w:tabs>
        <w:spacing w:before="120" w:after="120" w:line="240" w:lineRule="auto"/>
        <w:rPr>
          <w:rFonts w:eastAsia="SimSun" w:cs="Times New Roman"/>
        </w:rPr>
      </w:pPr>
      <w:r w:rsidRPr="00355F46">
        <w:rPr>
          <w:rFonts w:eastAsia="SimSun" w:cs="Times New Roman"/>
        </w:rPr>
        <w:t xml:space="preserve">As </w:t>
      </w:r>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xml:space="preserve"> enters both parts of the full likelihood function, including the likelihood related with the decision on stay vs. switching; and the likelihood related with the decision of using the same vs. different companies for the two services. In the first model, </w:t>
      </w:r>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xml:space="preserve"> enters the two dimensional Binary Probit model on the right hand side of the equation, and the likelihood function is </w:t>
      </w:r>
    </w:p>
    <w:p w14:paraId="4F34FCD9" w14:textId="77777777" w:rsidR="00355F46" w:rsidRPr="00355F46" w:rsidRDefault="00890FE0" w:rsidP="00355F46">
      <w:pPr>
        <w:tabs>
          <w:tab w:val="left" w:pos="360"/>
        </w:tabs>
        <w:spacing w:before="120" w:after="120" w:line="240" w:lineRule="auto"/>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m:t>
              </m:r>
            </m:sub>
          </m:sSub>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e>
          </m:d>
          <m:r>
            <w:rPr>
              <w:rFonts w:ascii="Cambria Math" w:eastAsia="SimSun" w:hAnsi="Cambria Math" w:cs="Times New Roman"/>
            </w:rPr>
            <m:t>~N</m:t>
          </m:r>
          <m:d>
            <m:dPr>
              <m:ctrlPr>
                <w:rPr>
                  <w:rFonts w:ascii="Cambria Math" w:eastAsia="SimSun" w:hAnsi="Cambria Math" w:cs="Times New Roman"/>
                  <w:i/>
                </w:rPr>
              </m:ctrlPr>
            </m:dPr>
            <m:e>
              <m:r>
                <w:rPr>
                  <w:rFonts w:ascii="Cambria Math" w:eastAsia="SimSun" w:hAnsi="Cambria Math" w:cs="Times New Roman"/>
                </w:rPr>
                <m:t>0,</m:t>
              </m:r>
              <m:sSub>
                <m:sSubPr>
                  <m:ctrlPr>
                    <w:rPr>
                      <w:rFonts w:ascii="Cambria Math" w:eastAsia="SimSun" w:hAnsi="Cambria Math" w:cs="Times New Roman"/>
                    </w:rPr>
                  </m:ctrlPr>
                </m:sSubPr>
                <m:e>
                  <m:r>
                    <m:rPr>
                      <m:sty m:val="p"/>
                    </m:rPr>
                    <w:rPr>
                      <w:rFonts w:ascii="Cambria Math" w:eastAsia="SimSun" w:hAnsi="Cambria Math" w:cs="Times New Roman"/>
                    </w:rPr>
                    <m:t>Σ</m:t>
                  </m:r>
                </m:e>
                <m:sub>
                  <m:r>
                    <w:rPr>
                      <w:rFonts w:ascii="Cambria Math" w:eastAsia="SimSun" w:hAnsi="Cambria Math" w:cs="Times New Roman"/>
                    </w:rPr>
                    <m:t>ϵ|μ</m:t>
                  </m:r>
                </m:sub>
              </m:sSub>
            </m:e>
          </m:d>
        </m:oMath>
      </m:oMathPara>
    </w:p>
    <w:p w14:paraId="3ED4FF47" w14:textId="77777777" w:rsidR="00355F46" w:rsidRPr="00355F46" w:rsidRDefault="00355F46" w:rsidP="00355F46">
      <w:pPr>
        <w:tabs>
          <w:tab w:val="left" w:pos="360"/>
        </w:tabs>
        <w:spacing w:before="120" w:line="240" w:lineRule="auto"/>
        <w:ind w:firstLine="0"/>
        <w:rPr>
          <w:rFonts w:eastAsia="SimSun" w:cs="Times New Roman"/>
        </w:rPr>
      </w:pPr>
      <w:r w:rsidRPr="00355F46">
        <w:rPr>
          <w:rFonts w:eastAsia="SimSun" w:cs="Times New Roman"/>
        </w:rPr>
        <w:t xml:space="preserve">In this specification, </w:t>
      </w: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m:t>
            </m:r>
          </m:sub>
        </m:sSub>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e>
        </m:d>
      </m:oMath>
      <w:r w:rsidRPr="00355F46">
        <w:rPr>
          <w:rFonts w:eastAsia="SimSun" w:cs="Times New Roman"/>
        </w:rPr>
        <w:t xml:space="preserve"> refers to the specification in equation (2), which is a function </w:t>
      </w:r>
      <w:proofErr w:type="gramStart"/>
      <w:r w:rsidRPr="00355F46">
        <w:rPr>
          <w:rFonts w:eastAsia="SimSun" w:cs="Times New Roman"/>
        </w:rPr>
        <w:t xml:space="preserve">of </w:t>
      </w:r>
      <w:proofErr w:type="gramEnd"/>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xml:space="preserve">. </w:t>
      </w:r>
    </w:p>
    <w:p w14:paraId="0C521698" w14:textId="77777777" w:rsidR="00355F46" w:rsidRPr="00355F46" w:rsidRDefault="00355F46" w:rsidP="00355F46">
      <w:pPr>
        <w:tabs>
          <w:tab w:val="left" w:pos="360"/>
        </w:tabs>
        <w:spacing w:before="120" w:after="120" w:line="240" w:lineRule="auto"/>
        <w:ind w:firstLine="0"/>
        <w:rPr>
          <w:rFonts w:eastAsia="SimSun" w:cs="Times New Roman"/>
        </w:rPr>
      </w:pPr>
      <w:r w:rsidRPr="00355F46">
        <w:rPr>
          <w:rFonts w:eastAsia="SimSun" w:cs="Times New Roman"/>
        </w:rPr>
        <w:t xml:space="preserve">In the second model, </w:t>
      </w:r>
      <m:oMath>
        <m:sSub>
          <m:sSubPr>
            <m:ctrlPr>
              <w:rPr>
                <w:rFonts w:ascii="Cambria Math" w:eastAsia="SimSun" w:hAnsi="Cambria Math" w:cs="Times New Roman"/>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xml:space="preserve"> enters the selection model on the left hand side of the equation, and the likelihood function is a combination of: </w:t>
      </w:r>
    </w:p>
    <w:p w14:paraId="443989DA" w14:textId="77777777" w:rsidR="00355F46" w:rsidRPr="00355F46" w:rsidRDefault="00890FE0" w:rsidP="00355F46">
      <w:pPr>
        <w:tabs>
          <w:tab w:val="left" w:pos="360"/>
        </w:tabs>
        <w:spacing w:before="120" w:after="120" w:line="240" w:lineRule="auto"/>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i</m:t>
              </m:r>
            </m:sub>
          </m:sSub>
          <m:r>
            <w:rPr>
              <w:rFonts w:ascii="Cambria Math" w:eastAsia="SimSun" w:hAnsi="Cambria Math" w:cs="Times New Roman"/>
            </w:rPr>
            <m:t>ρ~N</m:t>
          </m:r>
          <m:d>
            <m:dPr>
              <m:ctrlPr>
                <w:rPr>
                  <w:rFonts w:ascii="Cambria Math" w:eastAsia="SimSun" w:hAnsi="Cambria Math" w:cs="Times New Roman"/>
                  <w:i/>
                </w:rPr>
              </m:ctrlPr>
            </m:dPr>
            <m:e>
              <m:r>
                <w:rPr>
                  <w:rFonts w:ascii="Cambria Math" w:eastAsia="SimSun" w:hAnsi="Cambria Math" w:cs="Times New Roman"/>
                </w:rPr>
                <m:t>0,1</m:t>
              </m:r>
            </m:e>
          </m:d>
        </m:oMath>
      </m:oMathPara>
    </w:p>
    <w:p w14:paraId="6E6A58B8" w14:textId="77777777" w:rsidR="00355F46" w:rsidRPr="00355F46" w:rsidRDefault="00355F46" w:rsidP="00355F46">
      <w:pPr>
        <w:ind w:firstLine="0"/>
        <w:rPr>
          <w:rFonts w:eastAsia="SimSun" w:cs="Times New Roman"/>
        </w:rPr>
      </w:pPr>
      <m:oMathPara>
        <m:oMath>
          <m:r>
            <w:rPr>
              <w:rFonts w:ascii="Cambria Math" w:eastAsia="SimSun" w:hAnsi="Cambria Math" w:cs="Times New Roman"/>
            </w:rPr>
            <m:t>Prob</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r>
                <w:rPr>
                  <w:rFonts w:ascii="Cambria Math" w:eastAsia="SimSun" w:hAnsi="Cambria Math" w:cs="Times New Roman"/>
                </w:rPr>
                <m:t>=1|</m:t>
              </m:r>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i</m:t>
                  </m:r>
                </m:sub>
              </m:sSub>
            </m:e>
          </m:d>
          <m:r>
            <w:rPr>
              <w:rFonts w:ascii="Cambria Math" w:eastAsia="SimSun" w:hAnsi="Cambria Math" w:cs="Times New Roman"/>
            </w:rPr>
            <m:t>=Prob</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r>
                <w:rPr>
                  <w:rFonts w:ascii="Cambria Math" w:eastAsia="SimSun" w:hAnsi="Cambria Math" w:cs="Times New Roman"/>
                </w:rPr>
                <m:t>&gt;0|</m:t>
              </m:r>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i</m:t>
                  </m:r>
                </m:sub>
              </m:sSub>
            </m:e>
          </m:d>
        </m:oMath>
      </m:oMathPara>
    </w:p>
    <w:p w14:paraId="00DA7399" w14:textId="77777777" w:rsidR="00355F46" w:rsidRPr="00355F46" w:rsidRDefault="00355F46" w:rsidP="00355F46">
      <w:pPr>
        <w:tabs>
          <w:tab w:val="left" w:pos="360"/>
        </w:tabs>
        <w:spacing w:before="120" w:after="120" w:line="240" w:lineRule="auto"/>
        <w:ind w:firstLine="0"/>
        <w:rPr>
          <w:rFonts w:eastAsia="SimSun" w:cs="Times New Roman"/>
        </w:rPr>
      </w:pPr>
      <w:r w:rsidRPr="00355F46">
        <w:rPr>
          <w:rFonts w:eastAsia="SimSun" w:cs="Times New Roman"/>
        </w:rPr>
        <w:t xml:space="preserve">This is a truncated normal with mean 0, variance 1, and the truncation is determined by the value </w:t>
      </w:r>
      <w:proofErr w:type="gramStart"/>
      <w:r w:rsidRPr="00355F46">
        <w:rPr>
          <w:rFonts w:eastAsia="SimSun" w:cs="Times New Roman"/>
        </w:rPr>
        <w:t xml:space="preserve">of </w:t>
      </w:r>
      <w:proofErr w:type="gramEnd"/>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xml:space="preserve">. </w:t>
      </w:r>
    </w:p>
    <w:p w14:paraId="579165A9" w14:textId="77777777" w:rsidR="00355F46" w:rsidRPr="00355F46" w:rsidRDefault="00355F46" w:rsidP="00355F46">
      <w:pPr>
        <w:tabs>
          <w:tab w:val="left" w:pos="360"/>
        </w:tabs>
        <w:spacing w:before="120" w:after="120" w:line="240" w:lineRule="auto"/>
        <w:ind w:firstLine="0"/>
        <w:contextualSpacing/>
        <w:rPr>
          <w:rFonts w:eastAsia="SimSun" w:cs="Times New Roman"/>
        </w:rPr>
      </w:pPr>
    </w:p>
    <w:p w14:paraId="7FF5DD42" w14:textId="77777777" w:rsidR="00355F46" w:rsidRPr="00355F46" w:rsidRDefault="00890FE0" w:rsidP="00355F46">
      <w:pPr>
        <w:numPr>
          <w:ilvl w:val="6"/>
          <w:numId w:val="2"/>
        </w:numPr>
        <w:tabs>
          <w:tab w:val="left" w:pos="360"/>
        </w:tabs>
        <w:spacing w:after="120" w:line="240" w:lineRule="auto"/>
        <w:contextualSpacing/>
        <w:jc w:val="left"/>
        <w:rPr>
          <w:rFonts w:eastAsia="SimSun" w:cs="Times New Roman"/>
        </w:rPr>
      </w:pPr>
      <m:oMath>
        <m:d>
          <m:dPr>
            <m:begChr m:val="["/>
            <m:endChr m:val="]"/>
            <m:ctrlPr>
              <w:rPr>
                <w:rFonts w:ascii="Cambria Math" w:eastAsia="SimSun" w:hAnsi="Cambria Math" w:cs="Times New Roman"/>
              </w:rPr>
            </m:ctrlPr>
          </m:dPr>
          <m:e>
            <m:r>
              <m:rPr>
                <m:sty m:val="p"/>
              </m:rPr>
              <w:rPr>
                <w:rFonts w:ascii="Cambria Math" w:eastAsia="SimSun" w:hAnsi="Cambria Math" w:cs="Times New Roman"/>
              </w:rPr>
              <m:t>Σ|∙</m:t>
            </m:r>
          </m:e>
        </m:d>
      </m:oMath>
      <w:r w:rsidR="00355F46" w:rsidRPr="00355F46">
        <w:rPr>
          <w:rFonts w:eastAsia="SimSun" w:cs="Times New Roman"/>
        </w:rPr>
        <w:t xml:space="preserve"> draw the covariance matrix of all the three error terms, including </w:t>
      </w:r>
      <m:oMath>
        <m:sSub>
          <m:sSubPr>
            <m:ctrlPr>
              <w:rPr>
                <w:rFonts w:ascii="Cambria Math" w:eastAsia="SimSun" w:hAnsi="Cambria Math" w:cs="Times New Roman"/>
                <w:i/>
              </w:rPr>
            </m:ctrlPr>
          </m:sSubPr>
          <m:e>
            <m:r>
              <w:rPr>
                <w:rFonts w:ascii="Cambria Math" w:eastAsia="SimSun" w:hAnsi="Cambria Math" w:cs="Times New Roman"/>
              </w:rPr>
              <m:t>ϵ</m:t>
            </m:r>
          </m:e>
          <m:sub>
            <m:r>
              <w:rPr>
                <w:rFonts w:ascii="Cambria Math" w:eastAsia="SimSun" w:hAnsi="Cambria Math" w:cs="Times New Roman"/>
              </w:rPr>
              <m:t>ifc=1</m:t>
            </m:r>
          </m:sub>
        </m:sSub>
      </m:oMath>
      <w:r w:rsidR="00355F46" w:rsidRPr="00355F46">
        <w:rPr>
          <w:rFonts w:eastAsia="SimSun" w:cs="Times New Roman"/>
        </w:rPr>
        <w:t xml:space="preserve">, </w:t>
      </w:r>
      <m:oMath>
        <m:sSub>
          <m:sSubPr>
            <m:ctrlPr>
              <w:rPr>
                <w:rFonts w:ascii="Cambria Math" w:eastAsia="SimSun" w:hAnsi="Cambria Math" w:cs="Times New Roman"/>
                <w:i/>
              </w:rPr>
            </m:ctrlPr>
          </m:sSubPr>
          <m:e>
            <m:r>
              <w:rPr>
                <w:rFonts w:ascii="Cambria Math" w:eastAsia="SimSun" w:hAnsi="Cambria Math" w:cs="Times New Roman"/>
              </w:rPr>
              <m:t>ϵ</m:t>
            </m:r>
          </m:e>
          <m:sub>
            <m:r>
              <w:rPr>
                <w:rFonts w:ascii="Cambria Math" w:eastAsia="SimSun" w:hAnsi="Cambria Math" w:cs="Times New Roman"/>
              </w:rPr>
              <m:t>ifc=2</m:t>
            </m:r>
          </m:sub>
        </m:sSub>
      </m:oMath>
      <w:r w:rsidR="00355F46" w:rsidRPr="00355F46">
        <w:rPr>
          <w:rFonts w:eastAsia="SimSun" w:cs="Times New Roman"/>
        </w:rPr>
        <w:t xml:space="preserve"> and </w:t>
      </w:r>
      <m:oMath>
        <m:sSub>
          <m:sSubPr>
            <m:ctrlPr>
              <w:rPr>
                <w:rFonts w:ascii="Cambria Math" w:eastAsia="SimSun" w:hAnsi="Cambria Math" w:cs="Times New Roman"/>
                <w:i/>
              </w:rPr>
            </m:ctrlPr>
          </m:sSubPr>
          <m:e>
            <m:r>
              <w:rPr>
                <w:rFonts w:ascii="Cambria Math" w:eastAsia="SimSun" w:hAnsi="Cambria Math" w:cs="Times New Roman"/>
              </w:rPr>
              <m:t>u</m:t>
            </m:r>
          </m:e>
          <m:sub>
            <m:r>
              <w:rPr>
                <w:rFonts w:ascii="Cambria Math" w:eastAsia="SimSun" w:hAnsi="Cambria Math" w:cs="Times New Roman"/>
              </w:rPr>
              <m:t>i</m:t>
            </m:r>
          </m:sub>
        </m:sSub>
      </m:oMath>
    </w:p>
    <w:p w14:paraId="1636229E" w14:textId="77777777" w:rsidR="00355F46" w:rsidRPr="00355F46" w:rsidRDefault="00355F46" w:rsidP="00355F46">
      <w:pPr>
        <w:tabs>
          <w:tab w:val="left" w:pos="360"/>
        </w:tabs>
        <w:spacing w:after="120" w:line="240" w:lineRule="auto"/>
        <w:ind w:firstLine="0"/>
        <w:contextualSpacing/>
        <w:rPr>
          <w:rFonts w:eastAsia="SimSun" w:cs="Times New Roman"/>
        </w:rPr>
      </w:pPr>
    </w:p>
    <w:p w14:paraId="35DAC1C5" w14:textId="77777777" w:rsidR="00355F46" w:rsidRPr="00355F46" w:rsidRDefault="00355F46" w:rsidP="00355F46">
      <w:pPr>
        <w:tabs>
          <w:tab w:val="left" w:pos="360"/>
        </w:tabs>
        <w:spacing w:before="120" w:after="120" w:line="240" w:lineRule="auto"/>
        <w:ind w:firstLine="0"/>
        <w:rPr>
          <w:rFonts w:eastAsia="SimSun" w:cs="Times New Roman"/>
        </w:rPr>
      </w:pPr>
      <w:r w:rsidRPr="00355F46">
        <w:rPr>
          <w:rFonts w:eastAsia="SimSun" w:cs="Times New Roman"/>
        </w:rPr>
        <w:t>With a conjugate prior, this is just a simulation from an inverted-</w:t>
      </w:r>
      <w:proofErr w:type="spellStart"/>
      <w:r w:rsidRPr="00355F46">
        <w:rPr>
          <w:rFonts w:eastAsia="SimSun" w:cs="Times New Roman"/>
        </w:rPr>
        <w:t>Wishart</w:t>
      </w:r>
      <w:proofErr w:type="spellEnd"/>
      <w:r w:rsidRPr="00355F46">
        <w:rPr>
          <w:rFonts w:eastAsia="SimSun" w:cs="Times New Roman"/>
        </w:rPr>
        <w:t xml:space="preserve"> distribution. As discussed in the paper, for identification purposes, we constrained the diagonals of this matrix to be 1, therefore, we need to rescale the simulated values of </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m:t>
            </m:r>
          </m:sub>
        </m:sSub>
      </m:oMath>
      <w:r w:rsidRPr="00355F46">
        <w:rPr>
          <w:rFonts w:eastAsia="SimSun" w:cs="Times New Roman"/>
        </w:rPr>
        <w:t xml:space="preserve"> </w:t>
      </w:r>
      <w:proofErr w:type="gramStart"/>
      <w:r w:rsidRPr="00355F46">
        <w:rPr>
          <w:rFonts w:eastAsia="SimSun" w:cs="Times New Roman"/>
        </w:rPr>
        <w:t xml:space="preserve">and </w:t>
      </w:r>
      <w:proofErr w:type="gramEnd"/>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xml:space="preserve">, based on the estimated diagonals in </w:t>
      </w:r>
      <m:oMath>
        <m:r>
          <m:rPr>
            <m:sty m:val="p"/>
          </m:rPr>
          <w:rPr>
            <w:rFonts w:ascii="Cambria Math" w:eastAsia="SimSun" w:hAnsi="Cambria Math" w:cs="Times New Roman"/>
          </w:rPr>
          <m:t>Σ</m:t>
        </m:r>
      </m:oMath>
      <w:r w:rsidRPr="00355F46">
        <w:rPr>
          <w:rFonts w:eastAsia="SimSun" w:cs="Times New Roman"/>
        </w:rPr>
        <w:t xml:space="preserve">. </w:t>
      </w:r>
      <w:proofErr w:type="gramStart"/>
      <w:r w:rsidRPr="00355F46">
        <w:rPr>
          <w:rFonts w:eastAsia="SimSun" w:cs="Times New Roman"/>
        </w:rPr>
        <w:t xml:space="preserve">Using </w:t>
      </w:r>
      <w:proofErr w:type="gramEnd"/>
      <m:oMath>
        <m:sSub>
          <m:sSubPr>
            <m:ctrlPr>
              <w:rPr>
                <w:rFonts w:ascii="Cambria Math" w:eastAsia="SimSun" w:hAnsi="Cambria Math" w:cs="Times New Roman"/>
                <w:i/>
              </w:rPr>
            </m:ctrlPr>
          </m:sSubPr>
          <m:e>
            <m:r>
              <w:rPr>
                <w:rFonts w:ascii="Cambria Math" w:eastAsia="SimSun" w:hAnsi="Cambria Math" w:cs="Times New Roman"/>
              </w:rPr>
              <m:t>σ</m:t>
            </m:r>
          </m:e>
          <m:sub>
            <m:r>
              <w:rPr>
                <w:rFonts w:ascii="Cambria Math" w:eastAsia="SimSun" w:hAnsi="Cambria Math" w:cs="Times New Roman"/>
              </w:rPr>
              <m:t>11</m:t>
            </m:r>
          </m:sub>
        </m:sSub>
      </m:oMath>
      <w:r w:rsidRPr="00355F46">
        <w:rPr>
          <w:rFonts w:eastAsia="SimSun" w:cs="Times New Roman"/>
        </w:rPr>
        <w:t xml:space="preserve">, </w:t>
      </w:r>
      <m:oMath>
        <m:sSub>
          <m:sSubPr>
            <m:ctrlPr>
              <w:rPr>
                <w:rFonts w:ascii="Cambria Math" w:eastAsia="SimSun" w:hAnsi="Cambria Math" w:cs="Times New Roman"/>
                <w:i/>
              </w:rPr>
            </m:ctrlPr>
          </m:sSubPr>
          <m:e>
            <m:r>
              <w:rPr>
                <w:rFonts w:ascii="Cambria Math" w:eastAsia="SimSun" w:hAnsi="Cambria Math" w:cs="Times New Roman"/>
              </w:rPr>
              <m:t>σ</m:t>
            </m:r>
          </m:e>
          <m:sub>
            <m:r>
              <w:rPr>
                <w:rFonts w:ascii="Cambria Math" w:eastAsia="SimSun" w:hAnsi="Cambria Math" w:cs="Times New Roman"/>
              </w:rPr>
              <m:t>22</m:t>
            </m:r>
          </m:sub>
        </m:sSub>
      </m:oMath>
      <w:r w:rsidRPr="00355F46">
        <w:rPr>
          <w:rFonts w:eastAsia="SimSun" w:cs="Times New Roman"/>
        </w:rPr>
        <w:t xml:space="preserve"> and </w:t>
      </w:r>
      <m:oMath>
        <m:sSub>
          <m:sSubPr>
            <m:ctrlPr>
              <w:rPr>
                <w:rFonts w:ascii="Cambria Math" w:eastAsia="SimSun" w:hAnsi="Cambria Math" w:cs="Times New Roman"/>
                <w:i/>
              </w:rPr>
            </m:ctrlPr>
          </m:sSubPr>
          <m:e>
            <m:r>
              <w:rPr>
                <w:rFonts w:ascii="Cambria Math" w:eastAsia="SimSun" w:hAnsi="Cambria Math" w:cs="Times New Roman"/>
              </w:rPr>
              <m:t>σ</m:t>
            </m:r>
          </m:e>
          <m:sub>
            <m:r>
              <w:rPr>
                <w:rFonts w:ascii="Cambria Math" w:eastAsia="SimSun" w:hAnsi="Cambria Math" w:cs="Times New Roman"/>
              </w:rPr>
              <m:t>33</m:t>
            </m:r>
          </m:sub>
        </m:sSub>
      </m:oMath>
      <w:r w:rsidRPr="00355F46">
        <w:rPr>
          <w:rFonts w:eastAsia="SimSun" w:cs="Times New Roman"/>
        </w:rPr>
        <w:t xml:space="preserve"> to denote the values of the diagonal, we need to calculate</w:t>
      </w:r>
    </w:p>
    <w:p w14:paraId="24486927" w14:textId="77777777" w:rsidR="00355F46" w:rsidRPr="00355F46" w:rsidRDefault="00890FE0" w:rsidP="00355F46">
      <w:pPr>
        <w:tabs>
          <w:tab w:val="left" w:pos="360"/>
        </w:tabs>
        <w:spacing w:before="120" w:after="120" w:line="240" w:lineRule="auto"/>
        <w:rPr>
          <w:rFonts w:eastAsia="SimSun" w:cs="Times New Roman"/>
        </w:rPr>
      </w:pPr>
      <m:oMathPara>
        <m:oMath>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i1</m:t>
                  </m:r>
                </m:sub>
              </m:sSub>
            </m:e>
          </m:acc>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i1</m:t>
                  </m:r>
                </m:sub>
              </m:sSub>
            </m:num>
            <m:den>
              <m:sSub>
                <m:sSubPr>
                  <m:ctrlPr>
                    <w:rPr>
                      <w:rFonts w:ascii="Cambria Math" w:eastAsia="SimSun" w:hAnsi="Cambria Math" w:cs="Times New Roman"/>
                      <w:i/>
                    </w:rPr>
                  </m:ctrlPr>
                </m:sSubPr>
                <m:e>
                  <m:r>
                    <w:rPr>
                      <w:rFonts w:ascii="Cambria Math" w:eastAsia="SimSun" w:hAnsi="Cambria Math" w:cs="Times New Roman"/>
                    </w:rPr>
                    <m:t>σ</m:t>
                  </m:r>
                </m:e>
                <m:sub>
                  <m:r>
                    <w:rPr>
                      <w:rFonts w:ascii="Cambria Math" w:eastAsia="SimSun" w:hAnsi="Cambria Math" w:cs="Times New Roman"/>
                    </w:rPr>
                    <m:t>11</m:t>
                  </m:r>
                </m:sub>
              </m:sSub>
            </m:den>
          </m:f>
          <m:r>
            <w:rPr>
              <w:rFonts w:ascii="Cambria Math" w:eastAsia="SimSun" w:hAnsi="Cambria Math" w:cs="Times New Roman"/>
            </w:rPr>
            <m:t>,</m:t>
          </m:r>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i2</m:t>
                  </m:r>
                </m:sub>
              </m:sSub>
            </m:e>
          </m:acc>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i2</m:t>
                  </m:r>
                </m:sub>
              </m:sSub>
            </m:num>
            <m:den>
              <m:sSub>
                <m:sSubPr>
                  <m:ctrlPr>
                    <w:rPr>
                      <w:rFonts w:ascii="Cambria Math" w:eastAsia="SimSun" w:hAnsi="Cambria Math" w:cs="Times New Roman"/>
                      <w:i/>
                    </w:rPr>
                  </m:ctrlPr>
                </m:sSubPr>
                <m:e>
                  <m:r>
                    <w:rPr>
                      <w:rFonts w:ascii="Cambria Math" w:eastAsia="SimSun" w:hAnsi="Cambria Math" w:cs="Times New Roman"/>
                    </w:rPr>
                    <m:t>σ</m:t>
                  </m:r>
                </m:e>
                <m:sub>
                  <m:r>
                    <w:rPr>
                      <w:rFonts w:ascii="Cambria Math" w:eastAsia="SimSun" w:hAnsi="Cambria Math" w:cs="Times New Roman"/>
                    </w:rPr>
                    <m:t>22</m:t>
                  </m:r>
                </m:sub>
              </m:sSub>
            </m:den>
          </m:f>
          <m:r>
            <w:rPr>
              <w:rFonts w:ascii="Cambria Math" w:eastAsia="SimSun" w:hAnsi="Cambria Math" w:cs="Times New Roman"/>
            </w:rPr>
            <m:t>,</m:t>
          </m:r>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e>
          </m:acc>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num>
            <m:den>
              <m:sSub>
                <m:sSubPr>
                  <m:ctrlPr>
                    <w:rPr>
                      <w:rFonts w:ascii="Cambria Math" w:eastAsia="SimSun" w:hAnsi="Cambria Math" w:cs="Times New Roman"/>
                      <w:i/>
                    </w:rPr>
                  </m:ctrlPr>
                </m:sSubPr>
                <m:e>
                  <m:r>
                    <w:rPr>
                      <w:rFonts w:ascii="Cambria Math" w:eastAsia="SimSun" w:hAnsi="Cambria Math" w:cs="Times New Roman"/>
                    </w:rPr>
                    <m:t>σ</m:t>
                  </m:r>
                </m:e>
                <m:sub>
                  <m:r>
                    <w:rPr>
                      <w:rFonts w:ascii="Cambria Math" w:eastAsia="SimSun" w:hAnsi="Cambria Math" w:cs="Times New Roman"/>
                    </w:rPr>
                    <m:t>33</m:t>
                  </m:r>
                </m:sub>
              </m:sSub>
            </m:den>
          </m:f>
        </m:oMath>
      </m:oMathPara>
    </w:p>
    <w:p w14:paraId="08F6B4B2" w14:textId="77777777" w:rsidR="00355F46" w:rsidRPr="00355F46" w:rsidRDefault="00355F46" w:rsidP="00355F46">
      <w:pPr>
        <w:tabs>
          <w:tab w:val="left" w:pos="360"/>
        </w:tabs>
        <w:spacing w:after="120" w:line="240" w:lineRule="auto"/>
        <w:ind w:firstLine="0"/>
        <w:contextualSpacing/>
        <w:rPr>
          <w:rFonts w:eastAsia="SimSun" w:cs="Times New Roman"/>
        </w:rPr>
      </w:pPr>
    </w:p>
    <w:p w14:paraId="7B7EB4A0" w14:textId="77777777" w:rsidR="00355F46" w:rsidRPr="00355F46" w:rsidRDefault="00890FE0" w:rsidP="00355F46">
      <w:pPr>
        <w:numPr>
          <w:ilvl w:val="6"/>
          <w:numId w:val="2"/>
        </w:numPr>
        <w:tabs>
          <w:tab w:val="left" w:pos="360"/>
        </w:tabs>
        <w:spacing w:after="120" w:line="240" w:lineRule="auto"/>
        <w:contextualSpacing/>
        <w:jc w:val="left"/>
        <w:rPr>
          <w:rFonts w:eastAsia="SimSun" w:cs="Times New Roman"/>
        </w:rPr>
      </w:pPr>
      <m:oMath>
        <m:d>
          <m:dPr>
            <m:begChr m:val="["/>
            <m:endChr m:val="]"/>
            <m:ctrlPr>
              <w:rPr>
                <w:rFonts w:ascii="Cambria Math" w:eastAsia="SimSun" w:hAnsi="Cambria Math" w:cs="Times New Roman"/>
                <w:i/>
              </w:rPr>
            </m:ctrlPr>
          </m:dPr>
          <m:e>
            <m:r>
              <w:rPr>
                <w:rFonts w:ascii="Cambria Math" w:eastAsia="SimSun" w:hAnsi="Cambria Math" w:cs="Times New Roman"/>
              </w:rPr>
              <m:t>β|∙</m:t>
            </m:r>
          </m:e>
        </m:d>
      </m:oMath>
      <w:r w:rsidR="00355F46" w:rsidRPr="00355F46">
        <w:rPr>
          <w:rFonts w:eastAsia="SimSun" w:cs="Times New Roman"/>
        </w:rPr>
        <w:t xml:space="preserve"> </w:t>
      </w:r>
      <w:proofErr w:type="gramStart"/>
      <w:r w:rsidR="00355F46" w:rsidRPr="00355F46">
        <w:rPr>
          <w:rFonts w:eastAsia="SimSun" w:cs="Times New Roman"/>
        </w:rPr>
        <w:t>draw</w:t>
      </w:r>
      <w:proofErr w:type="gramEnd"/>
      <w:r w:rsidR="00355F46" w:rsidRPr="00355F46">
        <w:rPr>
          <w:rFonts w:eastAsia="SimSun" w:cs="Times New Roman"/>
        </w:rPr>
        <w:t xml:space="preserve"> the model parameter in the stay/switch model. </w:t>
      </w:r>
    </w:p>
    <w:p w14:paraId="46E46585" w14:textId="77777777" w:rsidR="00355F46" w:rsidRPr="00355F46" w:rsidRDefault="00355F46" w:rsidP="00355F46">
      <w:pPr>
        <w:tabs>
          <w:tab w:val="left" w:pos="360"/>
        </w:tabs>
        <w:spacing w:after="120" w:line="240" w:lineRule="auto"/>
        <w:ind w:firstLine="0"/>
        <w:contextualSpacing/>
        <w:rPr>
          <w:rFonts w:eastAsia="SimSun" w:cs="Times New Roman"/>
        </w:rPr>
      </w:pPr>
    </w:p>
    <w:p w14:paraId="431781D9" w14:textId="77777777" w:rsidR="00355F46" w:rsidRPr="00355F46" w:rsidRDefault="00355F46" w:rsidP="00355F46">
      <w:pPr>
        <w:tabs>
          <w:tab w:val="left" w:pos="360"/>
        </w:tabs>
        <w:spacing w:before="120" w:after="120" w:line="240" w:lineRule="auto"/>
        <w:ind w:firstLine="0"/>
        <w:rPr>
          <w:rFonts w:eastAsia="SimSun" w:cs="Times New Roman"/>
        </w:rPr>
      </w:pPr>
      <w:r w:rsidRPr="00355F46">
        <w:rPr>
          <w:rFonts w:eastAsia="SimSun" w:cs="Times New Roman"/>
        </w:rPr>
        <w:lastRenderedPageBreak/>
        <w:t xml:space="preserve">With a conjugate prior, this is a simulation from multi-variant Normal posterior distribution, as in a regular multi-dimensional regression model with multi-variant normal error terms. The value of the dependent variable, however, needs to be calculated. In particular, we need to subtract the firm-category specific intercept, and the conditional means of the error term, due to the fact that we estimate these parameters conditional on the error terms from the selection model, i.e. knowing the values </w:t>
      </w:r>
      <w:proofErr w:type="gramStart"/>
      <w:r w:rsidRPr="00355F46">
        <w:rPr>
          <w:rFonts w:eastAsia="SimSun" w:cs="Times New Roman"/>
        </w:rPr>
        <w:t xml:space="preserve">of </w:t>
      </w:r>
      <w:proofErr w:type="gramEnd"/>
      <m:oMath>
        <m:sSub>
          <m:sSubPr>
            <m:ctrlPr>
              <w:rPr>
                <w:rFonts w:ascii="Cambria Math" w:eastAsia="SimSun" w:hAnsi="Cambria Math" w:cs="Times New Roman"/>
                <w:i/>
              </w:rPr>
            </m:ctrlPr>
          </m:sSubPr>
          <m:e>
            <m:r>
              <w:rPr>
                <w:rFonts w:ascii="Cambria Math" w:eastAsia="SimSun" w:hAnsi="Cambria Math" w:cs="Times New Roman"/>
              </w:rPr>
              <m:t>u</m:t>
            </m:r>
          </m:e>
          <m:sub>
            <m:r>
              <w:rPr>
                <w:rFonts w:ascii="Cambria Math" w:eastAsia="SimSun" w:hAnsi="Cambria Math" w:cs="Times New Roman"/>
              </w:rPr>
              <m:t>i</m:t>
            </m:r>
          </m:sub>
        </m:sSub>
      </m:oMath>
      <w:r w:rsidRPr="00355F46">
        <w:rPr>
          <w:rFonts w:eastAsia="SimSun" w:cs="Times New Roman"/>
        </w:rPr>
        <w:t xml:space="preserve">. </w:t>
      </w:r>
    </w:p>
    <w:p w14:paraId="77DD3633" w14:textId="77777777" w:rsidR="00355F46" w:rsidRPr="00355F46" w:rsidRDefault="00890FE0" w:rsidP="00355F46">
      <w:pPr>
        <w:numPr>
          <w:ilvl w:val="6"/>
          <w:numId w:val="2"/>
        </w:numPr>
        <w:tabs>
          <w:tab w:val="left" w:pos="360"/>
        </w:tabs>
        <w:spacing w:after="120" w:line="240" w:lineRule="auto"/>
        <w:contextualSpacing/>
        <w:jc w:val="left"/>
        <w:rPr>
          <w:rFonts w:eastAsia="SimSun" w:cs="Times New Roman"/>
        </w:rPr>
      </w:pPr>
      <m:oMath>
        <m:d>
          <m:dPr>
            <m:begChr m:val="["/>
            <m:endChr m:val="]"/>
            <m:ctrlPr>
              <w:rPr>
                <w:rFonts w:ascii="Cambria Math" w:eastAsia="SimSun" w:hAnsi="Cambria Math" w:cs="Times New Roman"/>
                <w:i/>
              </w:rPr>
            </m:ctrlPr>
          </m:dPr>
          <m:e>
            <m:r>
              <w:rPr>
                <w:rFonts w:ascii="Cambria Math" w:eastAsia="SimSun" w:hAnsi="Cambria Math" w:cs="Times New Roman"/>
              </w:rPr>
              <m:t>α|∙</m:t>
            </m:r>
          </m:e>
        </m:d>
      </m:oMath>
      <w:r w:rsidR="00355F46" w:rsidRPr="00355F46">
        <w:rPr>
          <w:rFonts w:eastAsia="SimSun" w:cs="Times New Roman"/>
        </w:rPr>
        <w:t xml:space="preserve"> draw the intercepts in the stay/switch model</w:t>
      </w:r>
    </w:p>
    <w:p w14:paraId="7C753098" w14:textId="77777777" w:rsidR="00355F46" w:rsidRPr="00355F46" w:rsidRDefault="00355F46" w:rsidP="00355F46">
      <w:pPr>
        <w:tabs>
          <w:tab w:val="left" w:pos="360"/>
        </w:tabs>
        <w:spacing w:after="120" w:line="240" w:lineRule="auto"/>
        <w:ind w:firstLine="0"/>
        <w:contextualSpacing/>
        <w:rPr>
          <w:rFonts w:eastAsia="SimSun" w:cs="Times New Roman"/>
        </w:rPr>
      </w:pPr>
    </w:p>
    <w:p w14:paraId="36D630FA" w14:textId="77777777" w:rsidR="00355F46" w:rsidRPr="00355F46" w:rsidRDefault="00355F46" w:rsidP="00355F46">
      <w:pPr>
        <w:tabs>
          <w:tab w:val="left" w:pos="360"/>
        </w:tabs>
        <w:spacing w:after="120" w:line="240" w:lineRule="auto"/>
        <w:contextualSpacing/>
        <w:rPr>
          <w:rFonts w:eastAsia="SimSun" w:cs="Times New Roman"/>
        </w:rPr>
      </w:pPr>
      <w:r w:rsidRPr="00355F46">
        <w:rPr>
          <w:rFonts w:eastAsia="SimSun" w:cs="Times New Roman"/>
        </w:rPr>
        <w:t xml:space="preserve">The simulation draw in this step is very similar to that in the step of </w:t>
      </w:r>
      <w:proofErr w:type="gramStart"/>
      <w:r w:rsidRPr="00355F46">
        <w:rPr>
          <w:rFonts w:eastAsia="SimSun" w:cs="Times New Roman"/>
        </w:rPr>
        <w:t xml:space="preserve">obtaining </w:t>
      </w:r>
      <w:proofErr w:type="gramEnd"/>
      <m:oMath>
        <m:r>
          <w:rPr>
            <w:rFonts w:ascii="Cambria Math" w:eastAsia="SimSun" w:hAnsi="Cambria Math" w:cs="Times New Roman"/>
          </w:rPr>
          <m:t>β</m:t>
        </m:r>
      </m:oMath>
      <w:r w:rsidRPr="00355F46">
        <w:rPr>
          <w:rFonts w:eastAsia="SimSun" w:cs="Times New Roman"/>
        </w:rPr>
        <w:t xml:space="preserve">.  </w:t>
      </w:r>
    </w:p>
    <w:p w14:paraId="5221C71A" w14:textId="77777777" w:rsidR="00355F46" w:rsidRPr="00355F46" w:rsidRDefault="00355F46" w:rsidP="00355F46">
      <w:pPr>
        <w:tabs>
          <w:tab w:val="left" w:pos="360"/>
        </w:tabs>
        <w:spacing w:after="120" w:line="240" w:lineRule="auto"/>
        <w:contextualSpacing/>
        <w:rPr>
          <w:rFonts w:eastAsia="SimSun" w:cs="Times New Roman"/>
        </w:rPr>
      </w:pPr>
    </w:p>
    <w:p w14:paraId="74E019F1" w14:textId="77777777" w:rsidR="00355F46" w:rsidRPr="00355F46" w:rsidRDefault="00890FE0" w:rsidP="00355F46">
      <w:pPr>
        <w:numPr>
          <w:ilvl w:val="6"/>
          <w:numId w:val="2"/>
        </w:numPr>
        <w:tabs>
          <w:tab w:val="left" w:pos="360"/>
        </w:tabs>
        <w:spacing w:after="120" w:line="240" w:lineRule="auto"/>
        <w:contextualSpacing/>
        <w:jc w:val="left"/>
        <w:rPr>
          <w:rFonts w:eastAsia="SimSun" w:cs="Times New Roman"/>
        </w:rPr>
      </w:pPr>
      <m:oMath>
        <m:d>
          <m:dPr>
            <m:begChr m:val="["/>
            <m:endChr m:val="]"/>
            <m:ctrlPr>
              <w:rPr>
                <w:rFonts w:ascii="Cambria Math" w:eastAsia="SimSun" w:hAnsi="Cambria Math" w:cs="Times New Roman"/>
                <w:i/>
              </w:rPr>
            </m:ctrlPr>
          </m:dPr>
          <m:e>
            <m:r>
              <w:rPr>
                <w:rFonts w:ascii="Cambria Math" w:eastAsia="SimSun" w:hAnsi="Cambria Math" w:cs="Times New Roman"/>
              </w:rPr>
              <m:t>ρ|∙</m:t>
            </m:r>
          </m:e>
        </m:d>
      </m:oMath>
      <w:r w:rsidR="00355F46" w:rsidRPr="00355F46">
        <w:rPr>
          <w:rFonts w:eastAsia="SimSun" w:cs="Times New Roman"/>
        </w:rPr>
        <w:t xml:space="preserve"> </w:t>
      </w:r>
      <w:proofErr w:type="gramStart"/>
      <w:r w:rsidR="00355F46" w:rsidRPr="00355F46">
        <w:rPr>
          <w:rFonts w:eastAsia="SimSun" w:cs="Times New Roman"/>
        </w:rPr>
        <w:t>draw</w:t>
      </w:r>
      <w:proofErr w:type="gramEnd"/>
      <w:r w:rsidR="00355F46" w:rsidRPr="00355F46">
        <w:rPr>
          <w:rFonts w:eastAsia="SimSun" w:cs="Times New Roman"/>
        </w:rPr>
        <w:t xml:space="preserve"> the parameters from the selection model, as in equation (3). </w:t>
      </w:r>
    </w:p>
    <w:p w14:paraId="54502929" w14:textId="77777777" w:rsidR="00355F46" w:rsidRPr="00355F46" w:rsidRDefault="00355F46" w:rsidP="00355F46">
      <w:pPr>
        <w:tabs>
          <w:tab w:val="left" w:pos="360"/>
        </w:tabs>
        <w:spacing w:after="120" w:line="240" w:lineRule="auto"/>
        <w:ind w:firstLine="0"/>
        <w:contextualSpacing/>
        <w:rPr>
          <w:rFonts w:eastAsia="SimSun" w:cs="Times New Roman"/>
        </w:rPr>
      </w:pPr>
      <w:r w:rsidRPr="00355F46">
        <w:rPr>
          <w:rFonts w:eastAsia="SimSun" w:cs="Times New Roman"/>
        </w:rPr>
        <w:t xml:space="preserve">Knowing the latent value </w:t>
      </w:r>
      <w:proofErr w:type="gramStart"/>
      <w:r w:rsidRPr="00355F46">
        <w:rPr>
          <w:rFonts w:eastAsia="SimSun" w:cs="Times New Roman"/>
        </w:rPr>
        <w:t xml:space="preserve">of </w:t>
      </w:r>
      <w:proofErr w:type="gramEnd"/>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i</m:t>
            </m:r>
          </m:sub>
        </m:sSub>
      </m:oMath>
      <w:r w:rsidRPr="00355F46">
        <w:rPr>
          <w:rFonts w:eastAsia="SimSun" w:cs="Times New Roman"/>
        </w:rPr>
        <w:t>, and the variance of the error term being constrained to be 1, this step is the same as simulating from a single dimension regression model.</w:t>
      </w:r>
    </w:p>
    <w:p w14:paraId="2247F86A" w14:textId="77777777" w:rsidR="00355F46" w:rsidRPr="00355F46" w:rsidRDefault="00355F46" w:rsidP="00355F46">
      <w:pPr>
        <w:spacing w:after="160" w:line="259" w:lineRule="auto"/>
        <w:ind w:firstLine="0"/>
        <w:jc w:val="left"/>
        <w:rPr>
          <w:rFonts w:eastAsia="SimSun" w:cs="Times New Roman"/>
        </w:rPr>
      </w:pPr>
    </w:p>
    <w:p w14:paraId="7ED0318C" w14:textId="77777777" w:rsidR="00355F46" w:rsidRPr="00355F46" w:rsidRDefault="00355F46" w:rsidP="00355F46"/>
    <w:sectPr w:rsidR="00355F46" w:rsidRPr="00355F46" w:rsidSect="00500D4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1A4FE" w14:textId="77777777" w:rsidR="00890FE0" w:rsidRDefault="00890FE0" w:rsidP="00373C81">
      <w:pPr>
        <w:spacing w:line="240" w:lineRule="auto"/>
      </w:pPr>
      <w:r>
        <w:separator/>
      </w:r>
    </w:p>
  </w:endnote>
  <w:endnote w:type="continuationSeparator" w:id="0">
    <w:p w14:paraId="4661F43B" w14:textId="77777777" w:rsidR="00890FE0" w:rsidRDefault="00890FE0" w:rsidP="00373C81">
      <w:pPr>
        <w:spacing w:line="240" w:lineRule="auto"/>
      </w:pPr>
      <w:r>
        <w:continuationSeparator/>
      </w:r>
    </w:p>
  </w:endnote>
  <w:endnote w:type="continuationNotice" w:id="1">
    <w:p w14:paraId="4D1F8F83" w14:textId="77777777" w:rsidR="00890FE0" w:rsidRDefault="00890F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597994"/>
      <w:docPartObj>
        <w:docPartGallery w:val="Page Numbers (Bottom of Page)"/>
        <w:docPartUnique/>
      </w:docPartObj>
    </w:sdtPr>
    <w:sdtEndPr>
      <w:rPr>
        <w:noProof/>
      </w:rPr>
    </w:sdtEndPr>
    <w:sdtContent>
      <w:p w14:paraId="1EC372F8" w14:textId="6347E23C" w:rsidR="00355F46" w:rsidRDefault="00355F46">
        <w:pPr>
          <w:pStyle w:val="Footer"/>
          <w:jc w:val="right"/>
        </w:pPr>
        <w:r>
          <w:fldChar w:fldCharType="begin"/>
        </w:r>
        <w:r>
          <w:instrText xml:space="preserve"> PAGE   \* MERGEFORMAT </w:instrText>
        </w:r>
        <w:r>
          <w:fldChar w:fldCharType="separate"/>
        </w:r>
        <w:r w:rsidR="00DA6AA6">
          <w:rPr>
            <w:noProof/>
          </w:rPr>
          <w:t>21</w:t>
        </w:r>
        <w:r>
          <w:rPr>
            <w:noProof/>
          </w:rPr>
          <w:fldChar w:fldCharType="end"/>
        </w:r>
      </w:p>
    </w:sdtContent>
  </w:sdt>
  <w:p w14:paraId="10022A37" w14:textId="77777777" w:rsidR="00355F46" w:rsidRDefault="00355F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557209"/>
      <w:docPartObj>
        <w:docPartGallery w:val="Page Numbers (Bottom of Page)"/>
        <w:docPartUnique/>
      </w:docPartObj>
    </w:sdtPr>
    <w:sdtEndPr>
      <w:rPr>
        <w:noProof/>
      </w:rPr>
    </w:sdtEndPr>
    <w:sdtContent>
      <w:p w14:paraId="708EC32C" w14:textId="1D51B04B" w:rsidR="00355F46" w:rsidRDefault="00355F46">
        <w:pPr>
          <w:pStyle w:val="Footer"/>
          <w:jc w:val="right"/>
        </w:pPr>
        <w:r>
          <w:fldChar w:fldCharType="begin"/>
        </w:r>
        <w:r>
          <w:instrText xml:space="preserve"> PAGE   \* MERGEFORMAT </w:instrText>
        </w:r>
        <w:r>
          <w:fldChar w:fldCharType="separate"/>
        </w:r>
        <w:r w:rsidR="00DA6AA6">
          <w:rPr>
            <w:noProof/>
          </w:rPr>
          <w:t>1</w:t>
        </w:r>
        <w:r>
          <w:rPr>
            <w:noProof/>
          </w:rPr>
          <w:fldChar w:fldCharType="end"/>
        </w:r>
      </w:p>
    </w:sdtContent>
  </w:sdt>
  <w:p w14:paraId="5BDBDA82" w14:textId="77777777" w:rsidR="00355F46" w:rsidRDefault="00355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22692" w14:textId="77777777" w:rsidR="00890FE0" w:rsidRDefault="00890FE0" w:rsidP="00373C81">
      <w:pPr>
        <w:spacing w:line="240" w:lineRule="auto"/>
      </w:pPr>
      <w:r>
        <w:separator/>
      </w:r>
    </w:p>
  </w:footnote>
  <w:footnote w:type="continuationSeparator" w:id="0">
    <w:p w14:paraId="3DCF89C8" w14:textId="77777777" w:rsidR="00890FE0" w:rsidRDefault="00890FE0" w:rsidP="00373C81">
      <w:pPr>
        <w:spacing w:line="240" w:lineRule="auto"/>
      </w:pPr>
      <w:r>
        <w:continuationSeparator/>
      </w:r>
    </w:p>
  </w:footnote>
  <w:footnote w:type="continuationNotice" w:id="1">
    <w:p w14:paraId="49F20BD4" w14:textId="77777777" w:rsidR="00890FE0" w:rsidRDefault="00890FE0">
      <w:pPr>
        <w:spacing w:line="240" w:lineRule="auto"/>
      </w:pPr>
    </w:p>
  </w:footnote>
  <w:footnote w:id="2">
    <w:p w14:paraId="2182AFCB" w14:textId="77777777" w:rsidR="00114C95" w:rsidRDefault="00114C95" w:rsidP="00114C95">
      <w:pPr>
        <w:pStyle w:val="Footnote"/>
      </w:pPr>
      <w:r>
        <w:rPr>
          <w:rStyle w:val="FootnoteReference"/>
        </w:rPr>
        <w:footnoteRef/>
      </w:r>
      <w:r>
        <w:t xml:space="preserve"> Xiaojing Dong is Associate Professor in Marketing at </w:t>
      </w:r>
      <w:proofErr w:type="spellStart"/>
      <w:r>
        <w:t>Leavey</w:t>
      </w:r>
      <w:proofErr w:type="spellEnd"/>
      <w:r>
        <w:t xml:space="preserve"> School of Business, Santa Clara University, </w:t>
      </w:r>
      <w:hyperlink r:id="rId1" w:history="1">
        <w:r w:rsidRPr="0055724C">
          <w:rPr>
            <w:rStyle w:val="Hyperlink"/>
          </w:rPr>
          <w:t>xdong1@scu.edu</w:t>
        </w:r>
      </w:hyperlink>
      <w:r>
        <w:rPr>
          <w:rStyle w:val="Hyperlink"/>
        </w:rPr>
        <w:t xml:space="preserve">. </w:t>
      </w:r>
      <w:r>
        <w:t xml:space="preserve">Pradeep K. </w:t>
      </w:r>
      <w:proofErr w:type="spellStart"/>
      <w:r>
        <w:t>Chintagunta</w:t>
      </w:r>
      <w:proofErr w:type="spellEnd"/>
      <w:r>
        <w:t xml:space="preserve"> is Joseph T. and Bernice S. Lewis Distinguished Service Professor of Marketing at Booth School of Business, University of Chicago, </w:t>
      </w:r>
      <w:hyperlink r:id="rId2" w:history="1">
        <w:r w:rsidRPr="0055724C">
          <w:rPr>
            <w:rStyle w:val="Hyperlink"/>
          </w:rPr>
          <w:t>Pradeep.Chintagunta@chicagobooth.edu</w:t>
        </w:r>
      </w:hyperlink>
      <w:r>
        <w:t xml:space="preserve">. </w:t>
      </w:r>
      <w:proofErr w:type="spellStart"/>
      <w:r>
        <w:t>Chintagunta</w:t>
      </w:r>
      <w:proofErr w:type="spellEnd"/>
      <w:r>
        <w:t xml:space="preserve"> thanks the Kilts Center of Marketing at the University of Chicago for financial support and the Graduate School of Business, Stanford University where part of this project was completed. The authors would like to thank K. </w:t>
      </w:r>
      <w:proofErr w:type="spellStart"/>
      <w:r>
        <w:t>Sudhir</w:t>
      </w:r>
      <w:proofErr w:type="spellEnd"/>
      <w:r>
        <w:t xml:space="preserve"> whose discussion with one of the authors triggered this research. The authors also thank Thomas Otters, Elisabeth </w:t>
      </w:r>
      <w:proofErr w:type="spellStart"/>
      <w:r>
        <w:t>Honka</w:t>
      </w:r>
      <w:proofErr w:type="spellEnd"/>
      <w:r>
        <w:t>, seminar participants at Santa Clara University, participants at the 2012 Marketing Science Conference in Boston, MA, participants at the 2013 UT Dallas Frontiers of Research in Marketing. Comments from the EIC, AE and two reviewers at Marketing Science are also gratefully acknowledged.</w:t>
      </w:r>
    </w:p>
  </w:footnote>
  <w:footnote w:id="3">
    <w:p w14:paraId="1124A409" w14:textId="77777777" w:rsidR="00355F46" w:rsidRDefault="00355F46" w:rsidP="002B537F">
      <w:pPr>
        <w:pStyle w:val="FootnoteText"/>
        <w:ind w:firstLine="0"/>
      </w:pPr>
      <w:r>
        <w:rPr>
          <w:rStyle w:val="FootnoteReference"/>
        </w:rPr>
        <w:footnoteRef/>
      </w:r>
      <w:r>
        <w:t xml:space="preserve"> Note that this effect is distinct from the notion of assimilation and contrast that has been recognized as a plausible mechanism for understanding (dis)satisfaction and product ratings since the work by </w:t>
      </w:r>
      <w:proofErr w:type="spellStart"/>
      <w:r>
        <w:t>Hovland</w:t>
      </w:r>
      <w:proofErr w:type="spellEnd"/>
      <w:r>
        <w:t xml:space="preserve"> et al (1957).</w:t>
      </w:r>
    </w:p>
  </w:footnote>
  <w:footnote w:id="4">
    <w:p w14:paraId="2A6B2CDA" w14:textId="351A3833" w:rsidR="00355F46" w:rsidRDefault="00355F46" w:rsidP="00504B85">
      <w:pPr>
        <w:pStyle w:val="FootnoteText"/>
        <w:ind w:firstLine="0"/>
      </w:pPr>
      <w:r>
        <w:rPr>
          <w:rStyle w:val="FootnoteReference"/>
        </w:rPr>
        <w:footnoteRef/>
      </w:r>
      <w:r>
        <w:t xml:space="preserve"> All of the information in the data is related to the primary company for each service. The data does not record the information regarding other companies for the same respondent in the same category. This limits our ability to study how satisfaction levels at non-primary companies influence retention decisions at the primary company. In addition, due to the lack of satisfactions with other companies, it is unlikely that we are capturing “should” expectations and more likely to be reflecting “will” expectations in our satisfaction measure (</w:t>
      </w:r>
      <w:proofErr w:type="spellStart"/>
      <w:r>
        <w:t>Boulding</w:t>
      </w:r>
      <w:proofErr w:type="spellEnd"/>
      <w:r>
        <w:t xml:space="preserve"> et al. 1993). </w:t>
      </w:r>
    </w:p>
  </w:footnote>
  <w:footnote w:id="5">
    <w:p w14:paraId="15E77DEE" w14:textId="4CD486D5" w:rsidR="00355F46" w:rsidRDefault="00355F46" w:rsidP="003C75E9">
      <w:pPr>
        <w:pStyle w:val="FootnoteText"/>
        <w:ind w:firstLine="0"/>
      </w:pPr>
      <w:r>
        <w:rPr>
          <w:rStyle w:val="FootnoteReference"/>
        </w:rPr>
        <w:footnoteRef/>
      </w:r>
      <w:r>
        <w:t xml:space="preserve"> The satisfaction scores are measured </w:t>
      </w:r>
      <w:r w:rsidRPr="003C75E9">
        <w:t xml:space="preserve">on a 5-point scale. We treat the bottom 2 as </w:t>
      </w:r>
      <w:r>
        <w:t>“</w:t>
      </w:r>
      <w:r w:rsidRPr="003C75E9">
        <w:t>negative</w:t>
      </w:r>
      <w:r>
        <w:t>”</w:t>
      </w:r>
      <w:r w:rsidRPr="003C75E9">
        <w:t xml:space="preserve"> satisfaction, the top 2 as </w:t>
      </w:r>
      <w:r>
        <w:t>“</w:t>
      </w:r>
      <w:r w:rsidRPr="003C75E9">
        <w:t>positive</w:t>
      </w:r>
      <w:r>
        <w:t>”</w:t>
      </w:r>
      <w:r w:rsidRPr="003C75E9">
        <w:t xml:space="preserve"> satisfaction and the mid-point as neutral. In principle we can estimate a “fixed effect” or a parameter for each level; however preliminary analyses suggest</w:t>
      </w:r>
      <w:r>
        <w:t xml:space="preserve">ed that </w:t>
      </w:r>
      <w:r w:rsidRPr="003C75E9">
        <w:t xml:space="preserve">3 levels </w:t>
      </w:r>
      <w:r>
        <w:t>sufficed</w:t>
      </w:r>
      <w:r w:rsidRPr="003C75E9">
        <w:t>.</w:t>
      </w:r>
    </w:p>
  </w:footnote>
  <w:footnote w:id="6">
    <w:p w14:paraId="5F60303D" w14:textId="70B7D1E0" w:rsidR="00355F46" w:rsidRDefault="00355F46" w:rsidP="00C4233A">
      <w:pPr>
        <w:pStyle w:val="FootnoteText"/>
        <w:ind w:firstLine="0"/>
      </w:pPr>
      <w:r>
        <w:rPr>
          <w:rStyle w:val="FootnoteReference"/>
        </w:rPr>
        <w:footnoteRef/>
      </w:r>
      <w:r>
        <w:t xml:space="preserve"> While not reported here, our raw data provide prima facie evidence (available from authors) for satisfaction spillovers across categories and differential effects for those customers with the same provider across categories.</w:t>
      </w:r>
    </w:p>
  </w:footnote>
  <w:footnote w:id="7">
    <w:p w14:paraId="36F9268F" w14:textId="428F07FD" w:rsidR="00355F46" w:rsidRDefault="00355F46" w:rsidP="00FA1792">
      <w:pPr>
        <w:pStyle w:val="FootnoteText"/>
        <w:ind w:firstLine="0"/>
      </w:pPr>
      <w:r>
        <w:rPr>
          <w:rStyle w:val="FootnoteReference"/>
        </w:rPr>
        <w:footnoteRef/>
      </w:r>
      <w:r>
        <w:t xml:space="preserve"> Allowing </w:t>
      </w:r>
      <m:oMath>
        <m:sSub>
          <m:sSubPr>
            <m:ctrlPr>
              <w:rPr>
                <w:rFonts w:ascii="Cambria Math" w:hAnsi="Cambria Math"/>
                <w:i/>
              </w:rPr>
            </m:ctrlPr>
          </m:sSubPr>
          <m:e>
            <m:r>
              <w:rPr>
                <w:rFonts w:ascii="Cambria Math" w:hAnsi="Cambria Math"/>
              </w:rPr>
              <m:t>ϵ</m:t>
            </m:r>
          </m:e>
          <m:sub>
            <m:r>
              <w:rPr>
                <w:rFonts w:ascii="Cambria Math" w:hAnsi="Cambria Math"/>
              </w:rPr>
              <m:t>ifc</m:t>
            </m:r>
          </m:sub>
        </m:sSub>
      </m:oMath>
      <w:r>
        <w:t xml:space="preserve"> to be correlated across the categories gave a correlation of -0.04 (</w:t>
      </w:r>
      <w:proofErr w:type="gramStart"/>
      <w:r>
        <w:t>std</w:t>
      </w:r>
      <w:proofErr w:type="gramEnd"/>
      <w:r>
        <w:t xml:space="preserve"> error=0.07) so we set it to 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8F6"/>
    <w:multiLevelType w:val="multilevel"/>
    <w:tmpl w:val="D784A334"/>
    <w:name w:val="EquNumber"/>
    <w:styleLink w:val="Equationnumber"/>
    <w:lvl w:ilvl="0">
      <w:start w:val="1"/>
      <w:numFmt w:val="decimal"/>
      <w:lvlText w:val="(%1)"/>
      <w:lvlJc w:val="left"/>
      <w:pPr>
        <w:ind w:left="360" w:hanging="360"/>
      </w:pPr>
      <w:rPr>
        <w:rFonts w:ascii="Calibri" w:hAnsi="Calibri"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13847EE"/>
    <w:multiLevelType w:val="hybridMultilevel"/>
    <w:tmpl w:val="E1BC99C4"/>
    <w:lvl w:ilvl="0" w:tplc="E5B4D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F043D9"/>
    <w:multiLevelType w:val="hybridMultilevel"/>
    <w:tmpl w:val="5408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05FB2"/>
    <w:multiLevelType w:val="hybridMultilevel"/>
    <w:tmpl w:val="D074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73D6F"/>
    <w:multiLevelType w:val="hybridMultilevel"/>
    <w:tmpl w:val="1838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B6669"/>
    <w:multiLevelType w:val="hybridMultilevel"/>
    <w:tmpl w:val="1626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23C4C"/>
    <w:multiLevelType w:val="hybridMultilevel"/>
    <w:tmpl w:val="1FA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C1019"/>
    <w:multiLevelType w:val="hybridMultilevel"/>
    <w:tmpl w:val="CDF0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41A3B"/>
    <w:multiLevelType w:val="multilevel"/>
    <w:tmpl w:val="DEBC9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FB63A4"/>
    <w:multiLevelType w:val="hybridMultilevel"/>
    <w:tmpl w:val="A704D2D2"/>
    <w:lvl w:ilvl="0" w:tplc="E3DE7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3B7C04"/>
    <w:multiLevelType w:val="hybridMultilevel"/>
    <w:tmpl w:val="0446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4387C"/>
    <w:multiLevelType w:val="hybridMultilevel"/>
    <w:tmpl w:val="BE46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4276C"/>
    <w:multiLevelType w:val="hybridMultilevel"/>
    <w:tmpl w:val="9EC4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52859"/>
    <w:multiLevelType w:val="hybridMultilevel"/>
    <w:tmpl w:val="109C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A08C0"/>
    <w:multiLevelType w:val="hybridMultilevel"/>
    <w:tmpl w:val="C88A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27418"/>
    <w:multiLevelType w:val="hybridMultilevel"/>
    <w:tmpl w:val="3C82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177EA"/>
    <w:multiLevelType w:val="hybridMultilevel"/>
    <w:tmpl w:val="DE38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D445BB"/>
    <w:multiLevelType w:val="hybridMultilevel"/>
    <w:tmpl w:val="107E2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52171"/>
    <w:multiLevelType w:val="hybridMultilevel"/>
    <w:tmpl w:val="B4C68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457053"/>
    <w:multiLevelType w:val="hybridMultilevel"/>
    <w:tmpl w:val="BC06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005CF0"/>
    <w:multiLevelType w:val="multilevel"/>
    <w:tmpl w:val="AE7A22C0"/>
    <w:styleLink w:val="NumEquation"/>
    <w:lvl w:ilvl="0">
      <w:start w:val="1"/>
      <w:numFmt w:val="decimal"/>
      <w:suff w:val="nothing"/>
      <w:lvlText w:val="(%1)"/>
      <w:lvlJc w:val="left"/>
      <w:pPr>
        <w:ind w:left="0" w:firstLine="0"/>
      </w:pPr>
      <w:rPr>
        <w:rFonts w:ascii="Calibri" w:hAnsi="Calibri" w:hint="default"/>
        <w:sz w:val="22"/>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27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nsid w:val="50EA6952"/>
    <w:multiLevelType w:val="hybridMultilevel"/>
    <w:tmpl w:val="6A387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172866"/>
    <w:multiLevelType w:val="multilevel"/>
    <w:tmpl w:val="A4FCFB5A"/>
    <w:lvl w:ilvl="0">
      <w:start w:val="1"/>
      <w:numFmt w:val="decimal"/>
      <w:suff w:val="nothing"/>
      <w:lvlText w:val="(%1)"/>
      <w:lvlJc w:val="left"/>
      <w:pPr>
        <w:ind w:left="0" w:firstLine="0"/>
      </w:pPr>
      <w:rPr>
        <w:rFonts w:ascii="Calibri" w:hAnsi="Calibri" w:hint="default"/>
        <w:sz w:val="22"/>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51394354"/>
    <w:multiLevelType w:val="hybridMultilevel"/>
    <w:tmpl w:val="B4C68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B6715"/>
    <w:multiLevelType w:val="hybridMultilevel"/>
    <w:tmpl w:val="A04C27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560431A4"/>
    <w:multiLevelType w:val="hybridMultilevel"/>
    <w:tmpl w:val="73EED3AA"/>
    <w:lvl w:ilvl="0" w:tplc="0409000F">
      <w:start w:val="1"/>
      <w:numFmt w:val="decimal"/>
      <w:lvlText w:val="%1."/>
      <w:lvlJc w:val="left"/>
      <w:pPr>
        <w:ind w:left="6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EA28BC"/>
    <w:multiLevelType w:val="hybridMultilevel"/>
    <w:tmpl w:val="9EC4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ED525D"/>
    <w:multiLevelType w:val="multilevel"/>
    <w:tmpl w:val="A4FCFB5A"/>
    <w:lvl w:ilvl="0">
      <w:start w:val="1"/>
      <w:numFmt w:val="decimal"/>
      <w:suff w:val="nothing"/>
      <w:lvlText w:val="(%1)"/>
      <w:lvlJc w:val="left"/>
      <w:pPr>
        <w:ind w:left="0" w:firstLine="0"/>
      </w:pPr>
      <w:rPr>
        <w:rFonts w:ascii="Calibri" w:hAnsi="Calibri" w:hint="default"/>
        <w:sz w:val="22"/>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nsid w:val="596F535E"/>
    <w:multiLevelType w:val="hybridMultilevel"/>
    <w:tmpl w:val="3458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7B6F28"/>
    <w:multiLevelType w:val="hybridMultilevel"/>
    <w:tmpl w:val="D4A2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D84092"/>
    <w:multiLevelType w:val="hybridMultilevel"/>
    <w:tmpl w:val="B4C68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F71C40"/>
    <w:multiLevelType w:val="hybridMultilevel"/>
    <w:tmpl w:val="D45E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92D73"/>
    <w:multiLevelType w:val="hybridMultilevel"/>
    <w:tmpl w:val="A704D2D2"/>
    <w:lvl w:ilvl="0" w:tplc="E3DE7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41797D"/>
    <w:multiLevelType w:val="hybridMultilevel"/>
    <w:tmpl w:val="E142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293E5F"/>
    <w:multiLevelType w:val="hybridMultilevel"/>
    <w:tmpl w:val="FC50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A509DC"/>
    <w:multiLevelType w:val="hybridMultilevel"/>
    <w:tmpl w:val="EBDA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1D22AF"/>
    <w:multiLevelType w:val="hybridMultilevel"/>
    <w:tmpl w:val="A704D2D2"/>
    <w:lvl w:ilvl="0" w:tplc="E3DE7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0"/>
    <w:lvlOverride w:ilvl="0">
      <w:lvl w:ilvl="0">
        <w:start w:val="1"/>
        <w:numFmt w:val="decimal"/>
        <w:suff w:val="nothing"/>
        <w:lvlText w:val="(%1)"/>
        <w:lvlJc w:val="left"/>
        <w:pPr>
          <w:ind w:left="0" w:firstLine="0"/>
        </w:pPr>
        <w:rPr>
          <w:rFonts w:ascii="Times New Roman" w:hAnsi="Times New Roman" w:cs="Times New Roman" w:hint="default"/>
          <w:sz w:val="22"/>
        </w:rPr>
      </w:lvl>
    </w:lvlOverride>
  </w:num>
  <w:num w:numId="3">
    <w:abstractNumId w:val="29"/>
  </w:num>
  <w:num w:numId="4">
    <w:abstractNumId w:val="25"/>
  </w:num>
  <w:num w:numId="5">
    <w:abstractNumId w:val="15"/>
  </w:num>
  <w:num w:numId="6">
    <w:abstractNumId w:val="19"/>
  </w:num>
  <w:num w:numId="7">
    <w:abstractNumId w:val="34"/>
  </w:num>
  <w:num w:numId="8">
    <w:abstractNumId w:val="13"/>
  </w:num>
  <w:num w:numId="9">
    <w:abstractNumId w:val="7"/>
  </w:num>
  <w:num w:numId="10">
    <w:abstractNumId w:val="11"/>
  </w:num>
  <w:num w:numId="11">
    <w:abstractNumId w:val="4"/>
  </w:num>
  <w:num w:numId="12">
    <w:abstractNumId w:val="33"/>
  </w:num>
  <w:num w:numId="13">
    <w:abstractNumId w:val="22"/>
  </w:num>
  <w:num w:numId="14">
    <w:abstractNumId w:val="35"/>
  </w:num>
  <w:num w:numId="15">
    <w:abstractNumId w:val="31"/>
  </w:num>
  <w:num w:numId="16">
    <w:abstractNumId w:val="2"/>
  </w:num>
  <w:num w:numId="17">
    <w:abstractNumId w:val="20"/>
    <w:lvlOverride w:ilvl="0">
      <w:lvl w:ilvl="0">
        <w:start w:val="1"/>
        <w:numFmt w:val="decimal"/>
        <w:suff w:val="nothing"/>
        <w:lvlText w:val="(%1)"/>
        <w:lvlJc w:val="left"/>
        <w:pPr>
          <w:ind w:left="0" w:firstLine="0"/>
        </w:pPr>
        <w:rPr>
          <w:rFonts w:ascii="Times New Roman" w:hAnsi="Times New Roman" w:cs="Times New Roman" w:hint="default"/>
          <w:sz w:val="22"/>
        </w:rPr>
      </w:lvl>
    </w:lvlOverride>
  </w:num>
  <w:num w:numId="18">
    <w:abstractNumId w:val="27"/>
  </w:num>
  <w:num w:numId="19">
    <w:abstractNumId w:val="28"/>
  </w:num>
  <w:num w:numId="20">
    <w:abstractNumId w:val="17"/>
  </w:num>
  <w:num w:numId="21">
    <w:abstractNumId w:val="18"/>
  </w:num>
  <w:num w:numId="22">
    <w:abstractNumId w:val="23"/>
  </w:num>
  <w:num w:numId="23">
    <w:abstractNumId w:val="30"/>
  </w:num>
  <w:num w:numId="24">
    <w:abstractNumId w:val="26"/>
  </w:num>
  <w:num w:numId="25">
    <w:abstractNumId w:val="3"/>
  </w:num>
  <w:num w:numId="26">
    <w:abstractNumId w:val="5"/>
  </w:num>
  <w:num w:numId="27">
    <w:abstractNumId w:val="32"/>
  </w:num>
  <w:num w:numId="28">
    <w:abstractNumId w:val="36"/>
  </w:num>
  <w:num w:numId="29">
    <w:abstractNumId w:val="1"/>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12"/>
  </w:num>
  <w:num w:numId="33">
    <w:abstractNumId w:val="20"/>
  </w:num>
  <w:num w:numId="34">
    <w:abstractNumId w:val="20"/>
    <w:lvlOverride w:ilvl="0">
      <w:lvl w:ilvl="0">
        <w:start w:val="1"/>
        <w:numFmt w:val="decimal"/>
        <w:suff w:val="nothing"/>
        <w:lvlText w:val="(%1)"/>
        <w:lvlJc w:val="left"/>
        <w:pPr>
          <w:ind w:left="0" w:firstLine="0"/>
        </w:pPr>
        <w:rPr>
          <w:rFonts w:ascii="Calibri" w:hAnsi="Calibri" w:hint="default"/>
          <w:sz w:val="22"/>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5">
    <w:abstractNumId w:val="0"/>
  </w:num>
  <w:num w:numId="36">
    <w:abstractNumId w:val="16"/>
  </w:num>
  <w:num w:numId="37">
    <w:abstractNumId w:val="20"/>
    <w:lvlOverride w:ilvl="0">
      <w:lvl w:ilvl="0">
        <w:start w:val="1"/>
        <w:numFmt w:val="decimal"/>
        <w:suff w:val="nothing"/>
        <w:lvlText w:val="(%1)"/>
        <w:lvlJc w:val="left"/>
        <w:pPr>
          <w:ind w:left="0" w:firstLine="0"/>
        </w:pPr>
        <w:rPr>
          <w:rFonts w:ascii="Times New Roman" w:hAnsi="Times New Roman" w:cs="Times New Roman" w:hint="default"/>
          <w:sz w:val="22"/>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8">
    <w:abstractNumId w:val="20"/>
    <w:lvlOverride w:ilvl="0">
      <w:lvl w:ilvl="0">
        <w:start w:val="1"/>
        <w:numFmt w:val="decimal"/>
        <w:suff w:val="nothing"/>
        <w:lvlText w:val="(%1)"/>
        <w:lvlJc w:val="left"/>
        <w:pPr>
          <w:ind w:left="0" w:firstLine="0"/>
        </w:pPr>
        <w:rPr>
          <w:rFonts w:ascii="Times New Roman" w:hAnsi="Times New Roman" w:cs="Times New Roman" w:hint="default"/>
          <w:sz w:val="22"/>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9">
    <w:abstractNumId w:val="20"/>
    <w:lvlOverride w:ilvl="0">
      <w:lvl w:ilvl="0">
        <w:start w:val="1"/>
        <w:numFmt w:val="decimal"/>
        <w:suff w:val="nothing"/>
        <w:lvlText w:val="(%1)"/>
        <w:lvlJc w:val="left"/>
        <w:pPr>
          <w:ind w:left="0" w:firstLine="0"/>
        </w:pPr>
        <w:rPr>
          <w:rFonts w:ascii="Times New Roman" w:hAnsi="Times New Roman" w:cs="Times New Roman" w:hint="default"/>
          <w:sz w:val="22"/>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40">
    <w:abstractNumId w:val="10"/>
  </w:num>
  <w:num w:numId="41">
    <w:abstractNumId w:val="14"/>
  </w:num>
  <w:num w:numId="42">
    <w:abstractNumId w:val="2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J Marketing Researc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zfx5d9s995dwefdwq5vt9oaefxs2d2tr5x&quot;&gt;satisfaction&lt;record-ids&gt;&lt;item&gt;7&lt;/item&gt;&lt;/record-ids&gt;&lt;/item&gt;&lt;/Libraries&gt;"/>
  </w:docVars>
  <w:rsids>
    <w:rsidRoot w:val="00373C81"/>
    <w:rsid w:val="00000D6E"/>
    <w:rsid w:val="00001F33"/>
    <w:rsid w:val="00002DB9"/>
    <w:rsid w:val="000038A9"/>
    <w:rsid w:val="00003E43"/>
    <w:rsid w:val="00003EB3"/>
    <w:rsid w:val="000044EB"/>
    <w:rsid w:val="0000558B"/>
    <w:rsid w:val="000055E2"/>
    <w:rsid w:val="00005D9C"/>
    <w:rsid w:val="000071E3"/>
    <w:rsid w:val="0000725F"/>
    <w:rsid w:val="000078D2"/>
    <w:rsid w:val="000103A9"/>
    <w:rsid w:val="000111C0"/>
    <w:rsid w:val="00011A34"/>
    <w:rsid w:val="000122E1"/>
    <w:rsid w:val="0001276C"/>
    <w:rsid w:val="00013063"/>
    <w:rsid w:val="00013726"/>
    <w:rsid w:val="00014338"/>
    <w:rsid w:val="000157DE"/>
    <w:rsid w:val="000165BD"/>
    <w:rsid w:val="00020601"/>
    <w:rsid w:val="00020F29"/>
    <w:rsid w:val="0002334A"/>
    <w:rsid w:val="0002441B"/>
    <w:rsid w:val="00024A33"/>
    <w:rsid w:val="00024C74"/>
    <w:rsid w:val="00024D48"/>
    <w:rsid w:val="000254C1"/>
    <w:rsid w:val="00026041"/>
    <w:rsid w:val="00026488"/>
    <w:rsid w:val="00030B0D"/>
    <w:rsid w:val="0003130A"/>
    <w:rsid w:val="00031D0F"/>
    <w:rsid w:val="00032BAC"/>
    <w:rsid w:val="000341C6"/>
    <w:rsid w:val="000349F4"/>
    <w:rsid w:val="00036319"/>
    <w:rsid w:val="00037523"/>
    <w:rsid w:val="00040256"/>
    <w:rsid w:val="000408DE"/>
    <w:rsid w:val="00041EBA"/>
    <w:rsid w:val="00041F79"/>
    <w:rsid w:val="000425A7"/>
    <w:rsid w:val="0004314A"/>
    <w:rsid w:val="0004319F"/>
    <w:rsid w:val="00044025"/>
    <w:rsid w:val="000443A6"/>
    <w:rsid w:val="00044D54"/>
    <w:rsid w:val="000452FF"/>
    <w:rsid w:val="00045C5B"/>
    <w:rsid w:val="00046618"/>
    <w:rsid w:val="00046E47"/>
    <w:rsid w:val="000471FA"/>
    <w:rsid w:val="00047F32"/>
    <w:rsid w:val="00050970"/>
    <w:rsid w:val="000512CE"/>
    <w:rsid w:val="000519F9"/>
    <w:rsid w:val="00052557"/>
    <w:rsid w:val="00052864"/>
    <w:rsid w:val="000529C9"/>
    <w:rsid w:val="00052A2B"/>
    <w:rsid w:val="000536EE"/>
    <w:rsid w:val="00053840"/>
    <w:rsid w:val="00053E47"/>
    <w:rsid w:val="000547A0"/>
    <w:rsid w:val="00054F43"/>
    <w:rsid w:val="00055173"/>
    <w:rsid w:val="00055C23"/>
    <w:rsid w:val="00057D60"/>
    <w:rsid w:val="00057FB0"/>
    <w:rsid w:val="000607CF"/>
    <w:rsid w:val="00060D6C"/>
    <w:rsid w:val="00060F0E"/>
    <w:rsid w:val="000618D5"/>
    <w:rsid w:val="00061D00"/>
    <w:rsid w:val="00061EDF"/>
    <w:rsid w:val="000623F4"/>
    <w:rsid w:val="00062758"/>
    <w:rsid w:val="000633F9"/>
    <w:rsid w:val="00063BE1"/>
    <w:rsid w:val="0006483D"/>
    <w:rsid w:val="00064B46"/>
    <w:rsid w:val="00064E8D"/>
    <w:rsid w:val="00067B2D"/>
    <w:rsid w:val="00067DB7"/>
    <w:rsid w:val="00070190"/>
    <w:rsid w:val="00071048"/>
    <w:rsid w:val="00072087"/>
    <w:rsid w:val="00072EFD"/>
    <w:rsid w:val="00073FF5"/>
    <w:rsid w:val="00074B97"/>
    <w:rsid w:val="0007555C"/>
    <w:rsid w:val="0007612C"/>
    <w:rsid w:val="00076B34"/>
    <w:rsid w:val="00077A95"/>
    <w:rsid w:val="000802B2"/>
    <w:rsid w:val="000806F0"/>
    <w:rsid w:val="00080C4C"/>
    <w:rsid w:val="00081B35"/>
    <w:rsid w:val="00081C24"/>
    <w:rsid w:val="000837E8"/>
    <w:rsid w:val="000843D0"/>
    <w:rsid w:val="00084DC1"/>
    <w:rsid w:val="00085484"/>
    <w:rsid w:val="0008614D"/>
    <w:rsid w:val="00086AE8"/>
    <w:rsid w:val="00087017"/>
    <w:rsid w:val="0008772B"/>
    <w:rsid w:val="00087A33"/>
    <w:rsid w:val="000903F9"/>
    <w:rsid w:val="00092DA8"/>
    <w:rsid w:val="00094882"/>
    <w:rsid w:val="000949FF"/>
    <w:rsid w:val="00095062"/>
    <w:rsid w:val="00096427"/>
    <w:rsid w:val="00096460"/>
    <w:rsid w:val="00096534"/>
    <w:rsid w:val="00097425"/>
    <w:rsid w:val="000A1AE5"/>
    <w:rsid w:val="000A22B1"/>
    <w:rsid w:val="000A282B"/>
    <w:rsid w:val="000A3446"/>
    <w:rsid w:val="000A3BF6"/>
    <w:rsid w:val="000A47AE"/>
    <w:rsid w:val="000A48B6"/>
    <w:rsid w:val="000A5474"/>
    <w:rsid w:val="000A5DDC"/>
    <w:rsid w:val="000A67D1"/>
    <w:rsid w:val="000A6AC4"/>
    <w:rsid w:val="000A6D8C"/>
    <w:rsid w:val="000A7D8C"/>
    <w:rsid w:val="000A7DC7"/>
    <w:rsid w:val="000B0349"/>
    <w:rsid w:val="000B146F"/>
    <w:rsid w:val="000B225F"/>
    <w:rsid w:val="000B39D6"/>
    <w:rsid w:val="000B3F1D"/>
    <w:rsid w:val="000B46D0"/>
    <w:rsid w:val="000B46F4"/>
    <w:rsid w:val="000B4744"/>
    <w:rsid w:val="000B58A1"/>
    <w:rsid w:val="000B6A8A"/>
    <w:rsid w:val="000B7277"/>
    <w:rsid w:val="000B7545"/>
    <w:rsid w:val="000B7F8D"/>
    <w:rsid w:val="000C05EF"/>
    <w:rsid w:val="000C08F6"/>
    <w:rsid w:val="000C1EA5"/>
    <w:rsid w:val="000C24D2"/>
    <w:rsid w:val="000C35DC"/>
    <w:rsid w:val="000C364B"/>
    <w:rsid w:val="000C365C"/>
    <w:rsid w:val="000C37BD"/>
    <w:rsid w:val="000C4824"/>
    <w:rsid w:val="000C5397"/>
    <w:rsid w:val="000C5EB5"/>
    <w:rsid w:val="000C65E8"/>
    <w:rsid w:val="000C67F6"/>
    <w:rsid w:val="000C6DD5"/>
    <w:rsid w:val="000D00DE"/>
    <w:rsid w:val="000D0E95"/>
    <w:rsid w:val="000D12AE"/>
    <w:rsid w:val="000D1A4F"/>
    <w:rsid w:val="000D1AD3"/>
    <w:rsid w:val="000D1FB8"/>
    <w:rsid w:val="000D44D1"/>
    <w:rsid w:val="000D45D6"/>
    <w:rsid w:val="000D58D6"/>
    <w:rsid w:val="000D6123"/>
    <w:rsid w:val="000D6994"/>
    <w:rsid w:val="000D73F6"/>
    <w:rsid w:val="000D771A"/>
    <w:rsid w:val="000E032A"/>
    <w:rsid w:val="000E0E0C"/>
    <w:rsid w:val="000E1784"/>
    <w:rsid w:val="000E2CA9"/>
    <w:rsid w:val="000E34A7"/>
    <w:rsid w:val="000E3556"/>
    <w:rsid w:val="000E5E26"/>
    <w:rsid w:val="000E6217"/>
    <w:rsid w:val="000E663F"/>
    <w:rsid w:val="000E682B"/>
    <w:rsid w:val="000E6D3B"/>
    <w:rsid w:val="000E76A8"/>
    <w:rsid w:val="000F0463"/>
    <w:rsid w:val="000F0515"/>
    <w:rsid w:val="000F2223"/>
    <w:rsid w:val="000F25C8"/>
    <w:rsid w:val="000F27E4"/>
    <w:rsid w:val="000F2AB6"/>
    <w:rsid w:val="000F3237"/>
    <w:rsid w:val="000F3C37"/>
    <w:rsid w:val="000F449E"/>
    <w:rsid w:val="000F453C"/>
    <w:rsid w:val="000F550F"/>
    <w:rsid w:val="000F6072"/>
    <w:rsid w:val="000F6302"/>
    <w:rsid w:val="000F6B5F"/>
    <w:rsid w:val="000F787E"/>
    <w:rsid w:val="0010055D"/>
    <w:rsid w:val="0010085E"/>
    <w:rsid w:val="00100DDC"/>
    <w:rsid w:val="00100F09"/>
    <w:rsid w:val="001013AF"/>
    <w:rsid w:val="00101E5E"/>
    <w:rsid w:val="00101EEC"/>
    <w:rsid w:val="001020AB"/>
    <w:rsid w:val="0010268C"/>
    <w:rsid w:val="001027F3"/>
    <w:rsid w:val="00103A23"/>
    <w:rsid w:val="00104D6B"/>
    <w:rsid w:val="00105275"/>
    <w:rsid w:val="00107CE8"/>
    <w:rsid w:val="00107DFB"/>
    <w:rsid w:val="0011015A"/>
    <w:rsid w:val="00111379"/>
    <w:rsid w:val="001125D2"/>
    <w:rsid w:val="00112CA9"/>
    <w:rsid w:val="0011498B"/>
    <w:rsid w:val="00114C95"/>
    <w:rsid w:val="00115365"/>
    <w:rsid w:val="00115E70"/>
    <w:rsid w:val="00116476"/>
    <w:rsid w:val="00116A9D"/>
    <w:rsid w:val="00117AA2"/>
    <w:rsid w:val="00117CDA"/>
    <w:rsid w:val="00117FC3"/>
    <w:rsid w:val="001206E5"/>
    <w:rsid w:val="00120956"/>
    <w:rsid w:val="00121B49"/>
    <w:rsid w:val="00121E1C"/>
    <w:rsid w:val="001225C3"/>
    <w:rsid w:val="00123AEE"/>
    <w:rsid w:val="00123C0D"/>
    <w:rsid w:val="0012487B"/>
    <w:rsid w:val="00124AFE"/>
    <w:rsid w:val="0012607F"/>
    <w:rsid w:val="00126164"/>
    <w:rsid w:val="00126647"/>
    <w:rsid w:val="0012761F"/>
    <w:rsid w:val="00127C06"/>
    <w:rsid w:val="00127CDF"/>
    <w:rsid w:val="0013041D"/>
    <w:rsid w:val="00130BD4"/>
    <w:rsid w:val="001311CC"/>
    <w:rsid w:val="00131281"/>
    <w:rsid w:val="00131503"/>
    <w:rsid w:val="00134344"/>
    <w:rsid w:val="00134EDF"/>
    <w:rsid w:val="001351A7"/>
    <w:rsid w:val="00135391"/>
    <w:rsid w:val="00135BAE"/>
    <w:rsid w:val="00135BC2"/>
    <w:rsid w:val="00135C26"/>
    <w:rsid w:val="00136FE2"/>
    <w:rsid w:val="001379C0"/>
    <w:rsid w:val="00140458"/>
    <w:rsid w:val="00141812"/>
    <w:rsid w:val="00141D5C"/>
    <w:rsid w:val="00141E99"/>
    <w:rsid w:val="00142733"/>
    <w:rsid w:val="00142A40"/>
    <w:rsid w:val="00142B9A"/>
    <w:rsid w:val="001448DA"/>
    <w:rsid w:val="00144977"/>
    <w:rsid w:val="00144C71"/>
    <w:rsid w:val="001455A0"/>
    <w:rsid w:val="00145DAB"/>
    <w:rsid w:val="00146A13"/>
    <w:rsid w:val="00146AA1"/>
    <w:rsid w:val="0015020B"/>
    <w:rsid w:val="0015040D"/>
    <w:rsid w:val="001513E6"/>
    <w:rsid w:val="001523F1"/>
    <w:rsid w:val="0015323E"/>
    <w:rsid w:val="001536B9"/>
    <w:rsid w:val="001538B0"/>
    <w:rsid w:val="00153A14"/>
    <w:rsid w:val="00154191"/>
    <w:rsid w:val="00154F3A"/>
    <w:rsid w:val="0015599A"/>
    <w:rsid w:val="00155BB7"/>
    <w:rsid w:val="00155CB3"/>
    <w:rsid w:val="00155D96"/>
    <w:rsid w:val="001562C7"/>
    <w:rsid w:val="0015664F"/>
    <w:rsid w:val="00157CBF"/>
    <w:rsid w:val="00160B70"/>
    <w:rsid w:val="001613BD"/>
    <w:rsid w:val="00161A36"/>
    <w:rsid w:val="00161AA5"/>
    <w:rsid w:val="00161E7F"/>
    <w:rsid w:val="00162AB9"/>
    <w:rsid w:val="001632D9"/>
    <w:rsid w:val="001637CA"/>
    <w:rsid w:val="00163A63"/>
    <w:rsid w:val="0016456D"/>
    <w:rsid w:val="001645ED"/>
    <w:rsid w:val="0016634F"/>
    <w:rsid w:val="0017002C"/>
    <w:rsid w:val="00170812"/>
    <w:rsid w:val="00170EC5"/>
    <w:rsid w:val="001727A0"/>
    <w:rsid w:val="001729ED"/>
    <w:rsid w:val="00172E7B"/>
    <w:rsid w:val="00173886"/>
    <w:rsid w:val="00173F3B"/>
    <w:rsid w:val="00173F3D"/>
    <w:rsid w:val="0017405C"/>
    <w:rsid w:val="00174172"/>
    <w:rsid w:val="00175A8E"/>
    <w:rsid w:val="00176478"/>
    <w:rsid w:val="001768B7"/>
    <w:rsid w:val="00176C58"/>
    <w:rsid w:val="001770F6"/>
    <w:rsid w:val="00177468"/>
    <w:rsid w:val="00180008"/>
    <w:rsid w:val="00180347"/>
    <w:rsid w:val="00180799"/>
    <w:rsid w:val="00180B8E"/>
    <w:rsid w:val="0018141E"/>
    <w:rsid w:val="00181678"/>
    <w:rsid w:val="00181FC6"/>
    <w:rsid w:val="00182423"/>
    <w:rsid w:val="00182649"/>
    <w:rsid w:val="00182A1A"/>
    <w:rsid w:val="00183A23"/>
    <w:rsid w:val="00183CC0"/>
    <w:rsid w:val="00184391"/>
    <w:rsid w:val="00184B19"/>
    <w:rsid w:val="0018570E"/>
    <w:rsid w:val="00186024"/>
    <w:rsid w:val="001868EF"/>
    <w:rsid w:val="00186E38"/>
    <w:rsid w:val="00186F3C"/>
    <w:rsid w:val="00187560"/>
    <w:rsid w:val="00187926"/>
    <w:rsid w:val="001908F4"/>
    <w:rsid w:val="00190940"/>
    <w:rsid w:val="00190E70"/>
    <w:rsid w:val="00192DB7"/>
    <w:rsid w:val="0019326D"/>
    <w:rsid w:val="00193323"/>
    <w:rsid w:val="001934F9"/>
    <w:rsid w:val="0019387D"/>
    <w:rsid w:val="001951C9"/>
    <w:rsid w:val="001952B5"/>
    <w:rsid w:val="00195952"/>
    <w:rsid w:val="00196179"/>
    <w:rsid w:val="001961AC"/>
    <w:rsid w:val="00196539"/>
    <w:rsid w:val="001972B8"/>
    <w:rsid w:val="0019737C"/>
    <w:rsid w:val="001A0127"/>
    <w:rsid w:val="001A05F9"/>
    <w:rsid w:val="001A0AE6"/>
    <w:rsid w:val="001A15C9"/>
    <w:rsid w:val="001A1772"/>
    <w:rsid w:val="001A1890"/>
    <w:rsid w:val="001A27EA"/>
    <w:rsid w:val="001A3AF9"/>
    <w:rsid w:val="001A3B01"/>
    <w:rsid w:val="001A5B47"/>
    <w:rsid w:val="001A6E38"/>
    <w:rsid w:val="001A7502"/>
    <w:rsid w:val="001B02A0"/>
    <w:rsid w:val="001B0C5D"/>
    <w:rsid w:val="001B282F"/>
    <w:rsid w:val="001B2A8D"/>
    <w:rsid w:val="001B2FC8"/>
    <w:rsid w:val="001B3330"/>
    <w:rsid w:val="001B34EE"/>
    <w:rsid w:val="001B4038"/>
    <w:rsid w:val="001B456B"/>
    <w:rsid w:val="001B5F8D"/>
    <w:rsid w:val="001B645D"/>
    <w:rsid w:val="001B7887"/>
    <w:rsid w:val="001C024F"/>
    <w:rsid w:val="001C0445"/>
    <w:rsid w:val="001C156F"/>
    <w:rsid w:val="001C15F6"/>
    <w:rsid w:val="001C259E"/>
    <w:rsid w:val="001C383F"/>
    <w:rsid w:val="001C3C94"/>
    <w:rsid w:val="001C467C"/>
    <w:rsid w:val="001C56BB"/>
    <w:rsid w:val="001C59EA"/>
    <w:rsid w:val="001C6167"/>
    <w:rsid w:val="001C630A"/>
    <w:rsid w:val="001C7093"/>
    <w:rsid w:val="001C7CD4"/>
    <w:rsid w:val="001D011E"/>
    <w:rsid w:val="001D1BE8"/>
    <w:rsid w:val="001D261D"/>
    <w:rsid w:val="001D2B02"/>
    <w:rsid w:val="001D2EAC"/>
    <w:rsid w:val="001D3F8F"/>
    <w:rsid w:val="001D4530"/>
    <w:rsid w:val="001D4BE9"/>
    <w:rsid w:val="001D4CFA"/>
    <w:rsid w:val="001D52E9"/>
    <w:rsid w:val="001D59F4"/>
    <w:rsid w:val="001D5A22"/>
    <w:rsid w:val="001D5E9A"/>
    <w:rsid w:val="001D5FDC"/>
    <w:rsid w:val="001D6435"/>
    <w:rsid w:val="001D6547"/>
    <w:rsid w:val="001D73FF"/>
    <w:rsid w:val="001E003D"/>
    <w:rsid w:val="001E0327"/>
    <w:rsid w:val="001E0815"/>
    <w:rsid w:val="001E09A0"/>
    <w:rsid w:val="001E101A"/>
    <w:rsid w:val="001E142E"/>
    <w:rsid w:val="001E1F56"/>
    <w:rsid w:val="001E217A"/>
    <w:rsid w:val="001E2904"/>
    <w:rsid w:val="001E3057"/>
    <w:rsid w:val="001E423E"/>
    <w:rsid w:val="001E4248"/>
    <w:rsid w:val="001E43F0"/>
    <w:rsid w:val="001E49B0"/>
    <w:rsid w:val="001E506F"/>
    <w:rsid w:val="001E5F7E"/>
    <w:rsid w:val="001E7781"/>
    <w:rsid w:val="001E7F17"/>
    <w:rsid w:val="001F115B"/>
    <w:rsid w:val="001F2C2A"/>
    <w:rsid w:val="001F2CBC"/>
    <w:rsid w:val="001F2D8F"/>
    <w:rsid w:val="001F2EF4"/>
    <w:rsid w:val="001F3264"/>
    <w:rsid w:val="001F3AD3"/>
    <w:rsid w:val="001F4B01"/>
    <w:rsid w:val="001F51D7"/>
    <w:rsid w:val="001F583E"/>
    <w:rsid w:val="001F5916"/>
    <w:rsid w:val="001F5A27"/>
    <w:rsid w:val="001F637B"/>
    <w:rsid w:val="001F6D48"/>
    <w:rsid w:val="001F713B"/>
    <w:rsid w:val="001F74B2"/>
    <w:rsid w:val="00200C6C"/>
    <w:rsid w:val="00200E3A"/>
    <w:rsid w:val="002011AE"/>
    <w:rsid w:val="00201543"/>
    <w:rsid w:val="002016CD"/>
    <w:rsid w:val="002019BE"/>
    <w:rsid w:val="0020265E"/>
    <w:rsid w:val="002036B5"/>
    <w:rsid w:val="002037C9"/>
    <w:rsid w:val="00203B78"/>
    <w:rsid w:val="00205621"/>
    <w:rsid w:val="00205D78"/>
    <w:rsid w:val="002060DB"/>
    <w:rsid w:val="0020639D"/>
    <w:rsid w:val="00207004"/>
    <w:rsid w:val="002073A6"/>
    <w:rsid w:val="0021003F"/>
    <w:rsid w:val="00210513"/>
    <w:rsid w:val="002108D3"/>
    <w:rsid w:val="0021110C"/>
    <w:rsid w:val="0021179D"/>
    <w:rsid w:val="0021204D"/>
    <w:rsid w:val="0021235D"/>
    <w:rsid w:val="00212C35"/>
    <w:rsid w:val="00212E96"/>
    <w:rsid w:val="00213C3A"/>
    <w:rsid w:val="00213F27"/>
    <w:rsid w:val="00214734"/>
    <w:rsid w:val="002147A7"/>
    <w:rsid w:val="00215077"/>
    <w:rsid w:val="002156BA"/>
    <w:rsid w:val="002159C7"/>
    <w:rsid w:val="002162AC"/>
    <w:rsid w:val="00216E4C"/>
    <w:rsid w:val="00216F7D"/>
    <w:rsid w:val="00217D87"/>
    <w:rsid w:val="002202D2"/>
    <w:rsid w:val="0022051E"/>
    <w:rsid w:val="00220892"/>
    <w:rsid w:val="00221C4C"/>
    <w:rsid w:val="00222B17"/>
    <w:rsid w:val="00222F99"/>
    <w:rsid w:val="002234B2"/>
    <w:rsid w:val="00223804"/>
    <w:rsid w:val="002238E0"/>
    <w:rsid w:val="002239C0"/>
    <w:rsid w:val="00224316"/>
    <w:rsid w:val="00224FC5"/>
    <w:rsid w:val="00226AFF"/>
    <w:rsid w:val="00226BCC"/>
    <w:rsid w:val="0022721D"/>
    <w:rsid w:val="002272FE"/>
    <w:rsid w:val="0022787C"/>
    <w:rsid w:val="002279DF"/>
    <w:rsid w:val="00227CF2"/>
    <w:rsid w:val="00227DC7"/>
    <w:rsid w:val="00230725"/>
    <w:rsid w:val="00232979"/>
    <w:rsid w:val="00233921"/>
    <w:rsid w:val="00234234"/>
    <w:rsid w:val="0023434F"/>
    <w:rsid w:val="00234FA8"/>
    <w:rsid w:val="00235FB9"/>
    <w:rsid w:val="00236059"/>
    <w:rsid w:val="00237235"/>
    <w:rsid w:val="00240224"/>
    <w:rsid w:val="0024029A"/>
    <w:rsid w:val="00240507"/>
    <w:rsid w:val="002406FF"/>
    <w:rsid w:val="00241A27"/>
    <w:rsid w:val="00241C76"/>
    <w:rsid w:val="00242647"/>
    <w:rsid w:val="00242898"/>
    <w:rsid w:val="00242BCA"/>
    <w:rsid w:val="00242EA3"/>
    <w:rsid w:val="0024322B"/>
    <w:rsid w:val="00243741"/>
    <w:rsid w:val="002438A2"/>
    <w:rsid w:val="00243ABC"/>
    <w:rsid w:val="00243BAF"/>
    <w:rsid w:val="00244E15"/>
    <w:rsid w:val="00244EDF"/>
    <w:rsid w:val="00244F8B"/>
    <w:rsid w:val="0024593A"/>
    <w:rsid w:val="00245A61"/>
    <w:rsid w:val="00245DF8"/>
    <w:rsid w:val="00246216"/>
    <w:rsid w:val="002463EC"/>
    <w:rsid w:val="002464A2"/>
    <w:rsid w:val="00246F24"/>
    <w:rsid w:val="002502C5"/>
    <w:rsid w:val="0025075E"/>
    <w:rsid w:val="00250917"/>
    <w:rsid w:val="00251291"/>
    <w:rsid w:val="002512E7"/>
    <w:rsid w:val="00251C15"/>
    <w:rsid w:val="002532A8"/>
    <w:rsid w:val="00253698"/>
    <w:rsid w:val="00253E0F"/>
    <w:rsid w:val="002541D0"/>
    <w:rsid w:val="00254B0E"/>
    <w:rsid w:val="00255606"/>
    <w:rsid w:val="00255FE3"/>
    <w:rsid w:val="002560E7"/>
    <w:rsid w:val="00257037"/>
    <w:rsid w:val="002579DD"/>
    <w:rsid w:val="00257BFE"/>
    <w:rsid w:val="00257FD5"/>
    <w:rsid w:val="002609EF"/>
    <w:rsid w:val="00261340"/>
    <w:rsid w:val="00262F7E"/>
    <w:rsid w:val="00264789"/>
    <w:rsid w:val="00264AD6"/>
    <w:rsid w:val="002655F1"/>
    <w:rsid w:val="00265966"/>
    <w:rsid w:val="002660A2"/>
    <w:rsid w:val="00266388"/>
    <w:rsid w:val="002702A0"/>
    <w:rsid w:val="002709E8"/>
    <w:rsid w:val="00272593"/>
    <w:rsid w:val="002727FF"/>
    <w:rsid w:val="00272A6D"/>
    <w:rsid w:val="002732D1"/>
    <w:rsid w:val="00273433"/>
    <w:rsid w:val="002743FD"/>
    <w:rsid w:val="0027471E"/>
    <w:rsid w:val="00274C25"/>
    <w:rsid w:val="0027545B"/>
    <w:rsid w:val="00275EFC"/>
    <w:rsid w:val="0027675B"/>
    <w:rsid w:val="00276A1D"/>
    <w:rsid w:val="00276B3E"/>
    <w:rsid w:val="0027778F"/>
    <w:rsid w:val="00277B94"/>
    <w:rsid w:val="00277D23"/>
    <w:rsid w:val="00280194"/>
    <w:rsid w:val="002801EB"/>
    <w:rsid w:val="00280C08"/>
    <w:rsid w:val="00280E93"/>
    <w:rsid w:val="00281704"/>
    <w:rsid w:val="00281EC3"/>
    <w:rsid w:val="0028212F"/>
    <w:rsid w:val="00283A1A"/>
    <w:rsid w:val="00283A4A"/>
    <w:rsid w:val="002844B0"/>
    <w:rsid w:val="002850D8"/>
    <w:rsid w:val="002864A4"/>
    <w:rsid w:val="0029016C"/>
    <w:rsid w:val="00290265"/>
    <w:rsid w:val="00290606"/>
    <w:rsid w:val="00290A12"/>
    <w:rsid w:val="002913C2"/>
    <w:rsid w:val="00291573"/>
    <w:rsid w:val="002919E8"/>
    <w:rsid w:val="00291A08"/>
    <w:rsid w:val="00291D19"/>
    <w:rsid w:val="002920A9"/>
    <w:rsid w:val="0029389C"/>
    <w:rsid w:val="002941A9"/>
    <w:rsid w:val="00294BD9"/>
    <w:rsid w:val="002960FF"/>
    <w:rsid w:val="002962A4"/>
    <w:rsid w:val="0029664B"/>
    <w:rsid w:val="00296B93"/>
    <w:rsid w:val="00296CD1"/>
    <w:rsid w:val="00296DA1"/>
    <w:rsid w:val="00297337"/>
    <w:rsid w:val="002A051D"/>
    <w:rsid w:val="002A1C8A"/>
    <w:rsid w:val="002A330A"/>
    <w:rsid w:val="002A46EF"/>
    <w:rsid w:val="002A489F"/>
    <w:rsid w:val="002A4E2C"/>
    <w:rsid w:val="002A629B"/>
    <w:rsid w:val="002A7B43"/>
    <w:rsid w:val="002B0EF0"/>
    <w:rsid w:val="002B111A"/>
    <w:rsid w:val="002B1200"/>
    <w:rsid w:val="002B18AE"/>
    <w:rsid w:val="002B20B0"/>
    <w:rsid w:val="002B2123"/>
    <w:rsid w:val="002B2D91"/>
    <w:rsid w:val="002B2E77"/>
    <w:rsid w:val="002B481C"/>
    <w:rsid w:val="002B4836"/>
    <w:rsid w:val="002B5235"/>
    <w:rsid w:val="002B537F"/>
    <w:rsid w:val="002B67DF"/>
    <w:rsid w:val="002B6E87"/>
    <w:rsid w:val="002B748C"/>
    <w:rsid w:val="002B7EF7"/>
    <w:rsid w:val="002C0846"/>
    <w:rsid w:val="002C0BAB"/>
    <w:rsid w:val="002C1493"/>
    <w:rsid w:val="002C1497"/>
    <w:rsid w:val="002C2123"/>
    <w:rsid w:val="002C253A"/>
    <w:rsid w:val="002C254A"/>
    <w:rsid w:val="002C2B32"/>
    <w:rsid w:val="002C3041"/>
    <w:rsid w:val="002C3174"/>
    <w:rsid w:val="002C3EA9"/>
    <w:rsid w:val="002C4F84"/>
    <w:rsid w:val="002C52BC"/>
    <w:rsid w:val="002C5AEB"/>
    <w:rsid w:val="002C5BB4"/>
    <w:rsid w:val="002C628F"/>
    <w:rsid w:val="002D33D5"/>
    <w:rsid w:val="002D341E"/>
    <w:rsid w:val="002D3619"/>
    <w:rsid w:val="002D3B93"/>
    <w:rsid w:val="002D3D00"/>
    <w:rsid w:val="002D4287"/>
    <w:rsid w:val="002D44B8"/>
    <w:rsid w:val="002D5832"/>
    <w:rsid w:val="002D6956"/>
    <w:rsid w:val="002D7057"/>
    <w:rsid w:val="002D78C7"/>
    <w:rsid w:val="002E036B"/>
    <w:rsid w:val="002E0A38"/>
    <w:rsid w:val="002E110E"/>
    <w:rsid w:val="002E2163"/>
    <w:rsid w:val="002E3398"/>
    <w:rsid w:val="002E34C6"/>
    <w:rsid w:val="002E34DF"/>
    <w:rsid w:val="002E356C"/>
    <w:rsid w:val="002E35D2"/>
    <w:rsid w:val="002E3868"/>
    <w:rsid w:val="002E3AAD"/>
    <w:rsid w:val="002E3AD6"/>
    <w:rsid w:val="002E52BC"/>
    <w:rsid w:val="002E5DCB"/>
    <w:rsid w:val="002F0503"/>
    <w:rsid w:val="002F1322"/>
    <w:rsid w:val="002F2B8F"/>
    <w:rsid w:val="002F3BE9"/>
    <w:rsid w:val="002F3F9A"/>
    <w:rsid w:val="002F403F"/>
    <w:rsid w:val="002F4C3A"/>
    <w:rsid w:val="002F62A1"/>
    <w:rsid w:val="002F651E"/>
    <w:rsid w:val="002F6ED9"/>
    <w:rsid w:val="002F7FFE"/>
    <w:rsid w:val="0030042A"/>
    <w:rsid w:val="00300C54"/>
    <w:rsid w:val="00301886"/>
    <w:rsid w:val="00302207"/>
    <w:rsid w:val="003026BA"/>
    <w:rsid w:val="00302F47"/>
    <w:rsid w:val="003030BC"/>
    <w:rsid w:val="00303613"/>
    <w:rsid w:val="00303E17"/>
    <w:rsid w:val="00303E8A"/>
    <w:rsid w:val="00304633"/>
    <w:rsid w:val="00304792"/>
    <w:rsid w:val="0030625A"/>
    <w:rsid w:val="0030731E"/>
    <w:rsid w:val="003105B9"/>
    <w:rsid w:val="00310620"/>
    <w:rsid w:val="003113BA"/>
    <w:rsid w:val="00311485"/>
    <w:rsid w:val="003126B3"/>
    <w:rsid w:val="003133CA"/>
    <w:rsid w:val="003135FD"/>
    <w:rsid w:val="00314566"/>
    <w:rsid w:val="003149FC"/>
    <w:rsid w:val="003163F6"/>
    <w:rsid w:val="00316855"/>
    <w:rsid w:val="00316A20"/>
    <w:rsid w:val="00316BAD"/>
    <w:rsid w:val="003207CF"/>
    <w:rsid w:val="003211EA"/>
    <w:rsid w:val="00322077"/>
    <w:rsid w:val="00322685"/>
    <w:rsid w:val="00322D8F"/>
    <w:rsid w:val="00322FB5"/>
    <w:rsid w:val="003242E0"/>
    <w:rsid w:val="00324838"/>
    <w:rsid w:val="00324E96"/>
    <w:rsid w:val="00325112"/>
    <w:rsid w:val="0032559B"/>
    <w:rsid w:val="00325D7C"/>
    <w:rsid w:val="00326650"/>
    <w:rsid w:val="003272DE"/>
    <w:rsid w:val="00330338"/>
    <w:rsid w:val="00330533"/>
    <w:rsid w:val="00330650"/>
    <w:rsid w:val="003307FD"/>
    <w:rsid w:val="00331B3F"/>
    <w:rsid w:val="0033210E"/>
    <w:rsid w:val="00332203"/>
    <w:rsid w:val="003336AC"/>
    <w:rsid w:val="00333D03"/>
    <w:rsid w:val="003343D9"/>
    <w:rsid w:val="00334CC1"/>
    <w:rsid w:val="00334EC7"/>
    <w:rsid w:val="0033510F"/>
    <w:rsid w:val="00335137"/>
    <w:rsid w:val="00335492"/>
    <w:rsid w:val="0033575D"/>
    <w:rsid w:val="00335EE0"/>
    <w:rsid w:val="00336D05"/>
    <w:rsid w:val="00337029"/>
    <w:rsid w:val="003371FB"/>
    <w:rsid w:val="0033722E"/>
    <w:rsid w:val="00337C56"/>
    <w:rsid w:val="00340850"/>
    <w:rsid w:val="0034088E"/>
    <w:rsid w:val="00340949"/>
    <w:rsid w:val="00340C5A"/>
    <w:rsid w:val="00341685"/>
    <w:rsid w:val="00342099"/>
    <w:rsid w:val="00342F7D"/>
    <w:rsid w:val="0034468F"/>
    <w:rsid w:val="00344A2F"/>
    <w:rsid w:val="0034524B"/>
    <w:rsid w:val="00345AF0"/>
    <w:rsid w:val="0034614D"/>
    <w:rsid w:val="0034637A"/>
    <w:rsid w:val="00346CBF"/>
    <w:rsid w:val="003472E8"/>
    <w:rsid w:val="00347AB3"/>
    <w:rsid w:val="003509DE"/>
    <w:rsid w:val="00351E18"/>
    <w:rsid w:val="00352459"/>
    <w:rsid w:val="00352710"/>
    <w:rsid w:val="0035456D"/>
    <w:rsid w:val="00354B44"/>
    <w:rsid w:val="0035539E"/>
    <w:rsid w:val="00355E6C"/>
    <w:rsid w:val="00355F46"/>
    <w:rsid w:val="00356526"/>
    <w:rsid w:val="0035690B"/>
    <w:rsid w:val="00356DA0"/>
    <w:rsid w:val="003606B7"/>
    <w:rsid w:val="00360A2C"/>
    <w:rsid w:val="00360E3C"/>
    <w:rsid w:val="00360F43"/>
    <w:rsid w:val="00361675"/>
    <w:rsid w:val="0036170B"/>
    <w:rsid w:val="00361971"/>
    <w:rsid w:val="003624C4"/>
    <w:rsid w:val="00362F6E"/>
    <w:rsid w:val="00363617"/>
    <w:rsid w:val="00363E2D"/>
    <w:rsid w:val="003645E4"/>
    <w:rsid w:val="003657E4"/>
    <w:rsid w:val="00365CA2"/>
    <w:rsid w:val="00365F19"/>
    <w:rsid w:val="00366532"/>
    <w:rsid w:val="00366AA0"/>
    <w:rsid w:val="003671BA"/>
    <w:rsid w:val="003704F1"/>
    <w:rsid w:val="0037149B"/>
    <w:rsid w:val="00371812"/>
    <w:rsid w:val="00371B53"/>
    <w:rsid w:val="00371F99"/>
    <w:rsid w:val="00372073"/>
    <w:rsid w:val="0037252D"/>
    <w:rsid w:val="00372DF4"/>
    <w:rsid w:val="00373094"/>
    <w:rsid w:val="00373C81"/>
    <w:rsid w:val="003745F0"/>
    <w:rsid w:val="0037474F"/>
    <w:rsid w:val="00375E30"/>
    <w:rsid w:val="003773DD"/>
    <w:rsid w:val="003774BA"/>
    <w:rsid w:val="00380505"/>
    <w:rsid w:val="003808A2"/>
    <w:rsid w:val="00380A20"/>
    <w:rsid w:val="00380AA0"/>
    <w:rsid w:val="00381D99"/>
    <w:rsid w:val="00382FAB"/>
    <w:rsid w:val="00383087"/>
    <w:rsid w:val="003830A9"/>
    <w:rsid w:val="003833D7"/>
    <w:rsid w:val="003834F4"/>
    <w:rsid w:val="003840F9"/>
    <w:rsid w:val="00384E39"/>
    <w:rsid w:val="003869D0"/>
    <w:rsid w:val="00387CA1"/>
    <w:rsid w:val="00387F06"/>
    <w:rsid w:val="0039191C"/>
    <w:rsid w:val="0039227F"/>
    <w:rsid w:val="00392FA7"/>
    <w:rsid w:val="0039342E"/>
    <w:rsid w:val="003944E8"/>
    <w:rsid w:val="00394544"/>
    <w:rsid w:val="00394706"/>
    <w:rsid w:val="003949E3"/>
    <w:rsid w:val="00394C98"/>
    <w:rsid w:val="00394ECE"/>
    <w:rsid w:val="00395001"/>
    <w:rsid w:val="003962D8"/>
    <w:rsid w:val="0039689E"/>
    <w:rsid w:val="00396AE8"/>
    <w:rsid w:val="00397179"/>
    <w:rsid w:val="003971F5"/>
    <w:rsid w:val="00397FC0"/>
    <w:rsid w:val="003A16D1"/>
    <w:rsid w:val="003A1877"/>
    <w:rsid w:val="003A31C5"/>
    <w:rsid w:val="003A3B47"/>
    <w:rsid w:val="003A4136"/>
    <w:rsid w:val="003A4569"/>
    <w:rsid w:val="003A4C14"/>
    <w:rsid w:val="003A4FA6"/>
    <w:rsid w:val="003A595E"/>
    <w:rsid w:val="003A6394"/>
    <w:rsid w:val="003A7CDE"/>
    <w:rsid w:val="003A7FE0"/>
    <w:rsid w:val="003B0080"/>
    <w:rsid w:val="003B07D0"/>
    <w:rsid w:val="003B0D15"/>
    <w:rsid w:val="003B19BD"/>
    <w:rsid w:val="003B1B5B"/>
    <w:rsid w:val="003B1D4F"/>
    <w:rsid w:val="003B25C3"/>
    <w:rsid w:val="003B272F"/>
    <w:rsid w:val="003B340E"/>
    <w:rsid w:val="003B3705"/>
    <w:rsid w:val="003B40F9"/>
    <w:rsid w:val="003B4A17"/>
    <w:rsid w:val="003B692B"/>
    <w:rsid w:val="003B762D"/>
    <w:rsid w:val="003B7C23"/>
    <w:rsid w:val="003B7D84"/>
    <w:rsid w:val="003C0D6B"/>
    <w:rsid w:val="003C0EAA"/>
    <w:rsid w:val="003C1384"/>
    <w:rsid w:val="003C1803"/>
    <w:rsid w:val="003C4CC8"/>
    <w:rsid w:val="003C4D8F"/>
    <w:rsid w:val="003C5A63"/>
    <w:rsid w:val="003C6101"/>
    <w:rsid w:val="003C7125"/>
    <w:rsid w:val="003C75E9"/>
    <w:rsid w:val="003D0572"/>
    <w:rsid w:val="003D0B02"/>
    <w:rsid w:val="003D0B4E"/>
    <w:rsid w:val="003D19C9"/>
    <w:rsid w:val="003D1B8B"/>
    <w:rsid w:val="003D28F9"/>
    <w:rsid w:val="003D2FA9"/>
    <w:rsid w:val="003D3EE5"/>
    <w:rsid w:val="003D47F4"/>
    <w:rsid w:val="003D4E2A"/>
    <w:rsid w:val="003D4ECE"/>
    <w:rsid w:val="003D4F33"/>
    <w:rsid w:val="003D5AEF"/>
    <w:rsid w:val="003D6162"/>
    <w:rsid w:val="003D748A"/>
    <w:rsid w:val="003D7507"/>
    <w:rsid w:val="003D77CA"/>
    <w:rsid w:val="003D7F0A"/>
    <w:rsid w:val="003E0B29"/>
    <w:rsid w:val="003E277D"/>
    <w:rsid w:val="003E3009"/>
    <w:rsid w:val="003E31D7"/>
    <w:rsid w:val="003E4083"/>
    <w:rsid w:val="003E4DA7"/>
    <w:rsid w:val="003E5069"/>
    <w:rsid w:val="003E522D"/>
    <w:rsid w:val="003E626C"/>
    <w:rsid w:val="003E66C8"/>
    <w:rsid w:val="003E7240"/>
    <w:rsid w:val="003E73A6"/>
    <w:rsid w:val="003E784F"/>
    <w:rsid w:val="003F0C36"/>
    <w:rsid w:val="003F0C8D"/>
    <w:rsid w:val="003F1B38"/>
    <w:rsid w:val="003F1BE0"/>
    <w:rsid w:val="003F2861"/>
    <w:rsid w:val="003F2FD1"/>
    <w:rsid w:val="003F378F"/>
    <w:rsid w:val="003F4AC9"/>
    <w:rsid w:val="003F5696"/>
    <w:rsid w:val="003F5A3F"/>
    <w:rsid w:val="003F7214"/>
    <w:rsid w:val="0040016D"/>
    <w:rsid w:val="004010E6"/>
    <w:rsid w:val="004015D1"/>
    <w:rsid w:val="004028D8"/>
    <w:rsid w:val="00402A3E"/>
    <w:rsid w:val="00404170"/>
    <w:rsid w:val="004041FC"/>
    <w:rsid w:val="00404259"/>
    <w:rsid w:val="0040428A"/>
    <w:rsid w:val="004050F3"/>
    <w:rsid w:val="0040558F"/>
    <w:rsid w:val="00405897"/>
    <w:rsid w:val="00406A3C"/>
    <w:rsid w:val="004072FB"/>
    <w:rsid w:val="0040744A"/>
    <w:rsid w:val="004075EF"/>
    <w:rsid w:val="00410A1C"/>
    <w:rsid w:val="00410F35"/>
    <w:rsid w:val="004113F3"/>
    <w:rsid w:val="00411D05"/>
    <w:rsid w:val="004120D5"/>
    <w:rsid w:val="004123D4"/>
    <w:rsid w:val="0041327B"/>
    <w:rsid w:val="00414768"/>
    <w:rsid w:val="00414CFE"/>
    <w:rsid w:val="004155F7"/>
    <w:rsid w:val="00416213"/>
    <w:rsid w:val="00416346"/>
    <w:rsid w:val="00416D78"/>
    <w:rsid w:val="00416FCE"/>
    <w:rsid w:val="0041727E"/>
    <w:rsid w:val="00417401"/>
    <w:rsid w:val="00417939"/>
    <w:rsid w:val="00417AD1"/>
    <w:rsid w:val="0042066D"/>
    <w:rsid w:val="004206F2"/>
    <w:rsid w:val="00421747"/>
    <w:rsid w:val="00423C76"/>
    <w:rsid w:val="00424DBD"/>
    <w:rsid w:val="00425218"/>
    <w:rsid w:val="00425465"/>
    <w:rsid w:val="00425F7F"/>
    <w:rsid w:val="00426C71"/>
    <w:rsid w:val="00427172"/>
    <w:rsid w:val="00427B0C"/>
    <w:rsid w:val="00427E17"/>
    <w:rsid w:val="0043091C"/>
    <w:rsid w:val="00431A3D"/>
    <w:rsid w:val="004324A8"/>
    <w:rsid w:val="00433078"/>
    <w:rsid w:val="004337BC"/>
    <w:rsid w:val="00433A07"/>
    <w:rsid w:val="00433E46"/>
    <w:rsid w:val="0043446F"/>
    <w:rsid w:val="004346C9"/>
    <w:rsid w:val="004350A7"/>
    <w:rsid w:val="00435BEE"/>
    <w:rsid w:val="004369E8"/>
    <w:rsid w:val="00436E12"/>
    <w:rsid w:val="00437045"/>
    <w:rsid w:val="00437872"/>
    <w:rsid w:val="00440C77"/>
    <w:rsid w:val="0044116E"/>
    <w:rsid w:val="00441B87"/>
    <w:rsid w:val="004431E4"/>
    <w:rsid w:val="00443349"/>
    <w:rsid w:val="00443499"/>
    <w:rsid w:val="00443ED8"/>
    <w:rsid w:val="004441DF"/>
    <w:rsid w:val="00444366"/>
    <w:rsid w:val="00445994"/>
    <w:rsid w:val="00446A29"/>
    <w:rsid w:val="00447135"/>
    <w:rsid w:val="00451309"/>
    <w:rsid w:val="00452569"/>
    <w:rsid w:val="0045260A"/>
    <w:rsid w:val="00452B12"/>
    <w:rsid w:val="004540E1"/>
    <w:rsid w:val="004547A2"/>
    <w:rsid w:val="00454EDC"/>
    <w:rsid w:val="0045576B"/>
    <w:rsid w:val="004563ED"/>
    <w:rsid w:val="004575BC"/>
    <w:rsid w:val="0046064B"/>
    <w:rsid w:val="004612E1"/>
    <w:rsid w:val="00461835"/>
    <w:rsid w:val="00461884"/>
    <w:rsid w:val="00462C02"/>
    <w:rsid w:val="004632A1"/>
    <w:rsid w:val="0046331A"/>
    <w:rsid w:val="004636C8"/>
    <w:rsid w:val="00463D15"/>
    <w:rsid w:val="004641C4"/>
    <w:rsid w:val="004643D4"/>
    <w:rsid w:val="00464DCF"/>
    <w:rsid w:val="0046505A"/>
    <w:rsid w:val="00465590"/>
    <w:rsid w:val="004655A2"/>
    <w:rsid w:val="00465971"/>
    <w:rsid w:val="00465CF1"/>
    <w:rsid w:val="00466056"/>
    <w:rsid w:val="00466468"/>
    <w:rsid w:val="00466C6D"/>
    <w:rsid w:val="00466E1A"/>
    <w:rsid w:val="00467749"/>
    <w:rsid w:val="00467FBC"/>
    <w:rsid w:val="004702DC"/>
    <w:rsid w:val="004704B6"/>
    <w:rsid w:val="0047209F"/>
    <w:rsid w:val="00472E6E"/>
    <w:rsid w:val="00473561"/>
    <w:rsid w:val="004739FA"/>
    <w:rsid w:val="00475237"/>
    <w:rsid w:val="004759E5"/>
    <w:rsid w:val="00477F21"/>
    <w:rsid w:val="00480491"/>
    <w:rsid w:val="00480E00"/>
    <w:rsid w:val="0048107B"/>
    <w:rsid w:val="00481A14"/>
    <w:rsid w:val="004821A5"/>
    <w:rsid w:val="004821B5"/>
    <w:rsid w:val="00482444"/>
    <w:rsid w:val="00484370"/>
    <w:rsid w:val="00485A7D"/>
    <w:rsid w:val="00485C91"/>
    <w:rsid w:val="00485D80"/>
    <w:rsid w:val="00485E1E"/>
    <w:rsid w:val="004865E1"/>
    <w:rsid w:val="00486D61"/>
    <w:rsid w:val="004879E4"/>
    <w:rsid w:val="00490126"/>
    <w:rsid w:val="00490509"/>
    <w:rsid w:val="0049089F"/>
    <w:rsid w:val="00490F96"/>
    <w:rsid w:val="00491070"/>
    <w:rsid w:val="00492F8D"/>
    <w:rsid w:val="0049327E"/>
    <w:rsid w:val="004943E1"/>
    <w:rsid w:val="00494728"/>
    <w:rsid w:val="00494E9F"/>
    <w:rsid w:val="00495087"/>
    <w:rsid w:val="0049517E"/>
    <w:rsid w:val="0049523D"/>
    <w:rsid w:val="004966C4"/>
    <w:rsid w:val="00496D72"/>
    <w:rsid w:val="004977E4"/>
    <w:rsid w:val="004979AE"/>
    <w:rsid w:val="004A037B"/>
    <w:rsid w:val="004A0F69"/>
    <w:rsid w:val="004A0FC3"/>
    <w:rsid w:val="004A13C8"/>
    <w:rsid w:val="004A2795"/>
    <w:rsid w:val="004A2A6E"/>
    <w:rsid w:val="004A3468"/>
    <w:rsid w:val="004A34A8"/>
    <w:rsid w:val="004A40D9"/>
    <w:rsid w:val="004A4E79"/>
    <w:rsid w:val="004A545D"/>
    <w:rsid w:val="004A574F"/>
    <w:rsid w:val="004A6891"/>
    <w:rsid w:val="004A7122"/>
    <w:rsid w:val="004A72EA"/>
    <w:rsid w:val="004A7894"/>
    <w:rsid w:val="004B0070"/>
    <w:rsid w:val="004B08BC"/>
    <w:rsid w:val="004B08D9"/>
    <w:rsid w:val="004B099B"/>
    <w:rsid w:val="004B13D3"/>
    <w:rsid w:val="004B1638"/>
    <w:rsid w:val="004B1B2A"/>
    <w:rsid w:val="004B1DD6"/>
    <w:rsid w:val="004B1E15"/>
    <w:rsid w:val="004B2297"/>
    <w:rsid w:val="004B25E9"/>
    <w:rsid w:val="004B312E"/>
    <w:rsid w:val="004B3B2C"/>
    <w:rsid w:val="004B43D8"/>
    <w:rsid w:val="004B57B0"/>
    <w:rsid w:val="004B5F38"/>
    <w:rsid w:val="004B608C"/>
    <w:rsid w:val="004B650A"/>
    <w:rsid w:val="004B6567"/>
    <w:rsid w:val="004B6685"/>
    <w:rsid w:val="004B707F"/>
    <w:rsid w:val="004B77D8"/>
    <w:rsid w:val="004B7F5E"/>
    <w:rsid w:val="004C0C09"/>
    <w:rsid w:val="004C1D12"/>
    <w:rsid w:val="004C253D"/>
    <w:rsid w:val="004C29FC"/>
    <w:rsid w:val="004C3836"/>
    <w:rsid w:val="004C3C03"/>
    <w:rsid w:val="004C443F"/>
    <w:rsid w:val="004C5524"/>
    <w:rsid w:val="004C5603"/>
    <w:rsid w:val="004C5E82"/>
    <w:rsid w:val="004C651A"/>
    <w:rsid w:val="004C6E78"/>
    <w:rsid w:val="004C739B"/>
    <w:rsid w:val="004C73C1"/>
    <w:rsid w:val="004C7522"/>
    <w:rsid w:val="004C7882"/>
    <w:rsid w:val="004C7E05"/>
    <w:rsid w:val="004D0077"/>
    <w:rsid w:val="004D0177"/>
    <w:rsid w:val="004D09CD"/>
    <w:rsid w:val="004D0B24"/>
    <w:rsid w:val="004D0D33"/>
    <w:rsid w:val="004D16BE"/>
    <w:rsid w:val="004D230F"/>
    <w:rsid w:val="004D2C9F"/>
    <w:rsid w:val="004D3F40"/>
    <w:rsid w:val="004D4094"/>
    <w:rsid w:val="004D43AE"/>
    <w:rsid w:val="004D4FE3"/>
    <w:rsid w:val="004D523E"/>
    <w:rsid w:val="004D52A7"/>
    <w:rsid w:val="004D5EAF"/>
    <w:rsid w:val="004E0CF2"/>
    <w:rsid w:val="004E11F6"/>
    <w:rsid w:val="004E129D"/>
    <w:rsid w:val="004E1368"/>
    <w:rsid w:val="004E1B73"/>
    <w:rsid w:val="004E1C19"/>
    <w:rsid w:val="004E1E74"/>
    <w:rsid w:val="004E1EFB"/>
    <w:rsid w:val="004E1FC0"/>
    <w:rsid w:val="004E2486"/>
    <w:rsid w:val="004E308D"/>
    <w:rsid w:val="004E338D"/>
    <w:rsid w:val="004E3DF3"/>
    <w:rsid w:val="004E401D"/>
    <w:rsid w:val="004E4251"/>
    <w:rsid w:val="004E4B75"/>
    <w:rsid w:val="004E51A8"/>
    <w:rsid w:val="004E5701"/>
    <w:rsid w:val="004E577F"/>
    <w:rsid w:val="004E5910"/>
    <w:rsid w:val="004E6BB8"/>
    <w:rsid w:val="004E733B"/>
    <w:rsid w:val="004F0A27"/>
    <w:rsid w:val="004F1B46"/>
    <w:rsid w:val="004F23ED"/>
    <w:rsid w:val="004F3C2A"/>
    <w:rsid w:val="004F3EEE"/>
    <w:rsid w:val="004F40F2"/>
    <w:rsid w:val="004F5426"/>
    <w:rsid w:val="004F588B"/>
    <w:rsid w:val="004F5A0E"/>
    <w:rsid w:val="004F5B67"/>
    <w:rsid w:val="004F5F83"/>
    <w:rsid w:val="00500210"/>
    <w:rsid w:val="00500D49"/>
    <w:rsid w:val="00500F24"/>
    <w:rsid w:val="00500F35"/>
    <w:rsid w:val="00500F66"/>
    <w:rsid w:val="0050215E"/>
    <w:rsid w:val="00502975"/>
    <w:rsid w:val="00502BF7"/>
    <w:rsid w:val="005031FA"/>
    <w:rsid w:val="00503EC8"/>
    <w:rsid w:val="0050421F"/>
    <w:rsid w:val="00504B85"/>
    <w:rsid w:val="00504BE6"/>
    <w:rsid w:val="00504EBB"/>
    <w:rsid w:val="00505F68"/>
    <w:rsid w:val="00505FAF"/>
    <w:rsid w:val="00506439"/>
    <w:rsid w:val="00506966"/>
    <w:rsid w:val="00506C88"/>
    <w:rsid w:val="00507A33"/>
    <w:rsid w:val="005105A6"/>
    <w:rsid w:val="00510EF0"/>
    <w:rsid w:val="00512EEE"/>
    <w:rsid w:val="0051438D"/>
    <w:rsid w:val="00514A52"/>
    <w:rsid w:val="005152D0"/>
    <w:rsid w:val="00515668"/>
    <w:rsid w:val="00515B28"/>
    <w:rsid w:val="00515D0B"/>
    <w:rsid w:val="00516611"/>
    <w:rsid w:val="0051721D"/>
    <w:rsid w:val="00517D4E"/>
    <w:rsid w:val="0052058C"/>
    <w:rsid w:val="005213BE"/>
    <w:rsid w:val="00521E77"/>
    <w:rsid w:val="00521F74"/>
    <w:rsid w:val="0052462F"/>
    <w:rsid w:val="005260CD"/>
    <w:rsid w:val="0052670F"/>
    <w:rsid w:val="005269A8"/>
    <w:rsid w:val="00527792"/>
    <w:rsid w:val="00530942"/>
    <w:rsid w:val="005323A2"/>
    <w:rsid w:val="00533097"/>
    <w:rsid w:val="005337C4"/>
    <w:rsid w:val="00533D24"/>
    <w:rsid w:val="0053443E"/>
    <w:rsid w:val="00534BB0"/>
    <w:rsid w:val="005355D3"/>
    <w:rsid w:val="0053677B"/>
    <w:rsid w:val="005371C1"/>
    <w:rsid w:val="005375AA"/>
    <w:rsid w:val="0054013A"/>
    <w:rsid w:val="00540EB3"/>
    <w:rsid w:val="0054186F"/>
    <w:rsid w:val="00543A3E"/>
    <w:rsid w:val="0054406E"/>
    <w:rsid w:val="00544787"/>
    <w:rsid w:val="00544AAC"/>
    <w:rsid w:val="00544E65"/>
    <w:rsid w:val="0054518C"/>
    <w:rsid w:val="005452F9"/>
    <w:rsid w:val="0054545D"/>
    <w:rsid w:val="00545562"/>
    <w:rsid w:val="005458B4"/>
    <w:rsid w:val="00546563"/>
    <w:rsid w:val="005466B5"/>
    <w:rsid w:val="005467F2"/>
    <w:rsid w:val="00546933"/>
    <w:rsid w:val="00546DEA"/>
    <w:rsid w:val="005479B4"/>
    <w:rsid w:val="00550039"/>
    <w:rsid w:val="0055020E"/>
    <w:rsid w:val="005507F8"/>
    <w:rsid w:val="00551545"/>
    <w:rsid w:val="0055163D"/>
    <w:rsid w:val="00552988"/>
    <w:rsid w:val="00553DF9"/>
    <w:rsid w:val="00554B03"/>
    <w:rsid w:val="00555940"/>
    <w:rsid w:val="0055625D"/>
    <w:rsid w:val="00556478"/>
    <w:rsid w:val="00556783"/>
    <w:rsid w:val="005568C9"/>
    <w:rsid w:val="00557972"/>
    <w:rsid w:val="00557C10"/>
    <w:rsid w:val="005617D0"/>
    <w:rsid w:val="00561830"/>
    <w:rsid w:val="00561D5C"/>
    <w:rsid w:val="005627EC"/>
    <w:rsid w:val="00562C0B"/>
    <w:rsid w:val="0056360A"/>
    <w:rsid w:val="00563696"/>
    <w:rsid w:val="0056410A"/>
    <w:rsid w:val="005644C4"/>
    <w:rsid w:val="005646F1"/>
    <w:rsid w:val="0056515A"/>
    <w:rsid w:val="005653AD"/>
    <w:rsid w:val="00566D33"/>
    <w:rsid w:val="00571341"/>
    <w:rsid w:val="005736B1"/>
    <w:rsid w:val="00573700"/>
    <w:rsid w:val="005740AE"/>
    <w:rsid w:val="00574274"/>
    <w:rsid w:val="0057472D"/>
    <w:rsid w:val="00574BAF"/>
    <w:rsid w:val="00574F3B"/>
    <w:rsid w:val="0057529E"/>
    <w:rsid w:val="00575703"/>
    <w:rsid w:val="00576E85"/>
    <w:rsid w:val="0057706C"/>
    <w:rsid w:val="00580182"/>
    <w:rsid w:val="0058066F"/>
    <w:rsid w:val="005806A3"/>
    <w:rsid w:val="00580D94"/>
    <w:rsid w:val="00582FD1"/>
    <w:rsid w:val="00583099"/>
    <w:rsid w:val="005831BA"/>
    <w:rsid w:val="00583766"/>
    <w:rsid w:val="00583A20"/>
    <w:rsid w:val="00584976"/>
    <w:rsid w:val="00584ED6"/>
    <w:rsid w:val="005861FB"/>
    <w:rsid w:val="00586487"/>
    <w:rsid w:val="00586FF7"/>
    <w:rsid w:val="00587605"/>
    <w:rsid w:val="005879AD"/>
    <w:rsid w:val="00590AFE"/>
    <w:rsid w:val="00590D1C"/>
    <w:rsid w:val="005914A2"/>
    <w:rsid w:val="0059267B"/>
    <w:rsid w:val="0059272B"/>
    <w:rsid w:val="00592B43"/>
    <w:rsid w:val="005931F0"/>
    <w:rsid w:val="00593F53"/>
    <w:rsid w:val="00594471"/>
    <w:rsid w:val="0059518F"/>
    <w:rsid w:val="00595561"/>
    <w:rsid w:val="005957A3"/>
    <w:rsid w:val="00596459"/>
    <w:rsid w:val="005A03DD"/>
    <w:rsid w:val="005A09A1"/>
    <w:rsid w:val="005A0BAE"/>
    <w:rsid w:val="005A1716"/>
    <w:rsid w:val="005A272F"/>
    <w:rsid w:val="005A3B00"/>
    <w:rsid w:val="005A45F1"/>
    <w:rsid w:val="005A560B"/>
    <w:rsid w:val="005A5D40"/>
    <w:rsid w:val="005B2AA5"/>
    <w:rsid w:val="005B2D40"/>
    <w:rsid w:val="005B417E"/>
    <w:rsid w:val="005B44AE"/>
    <w:rsid w:val="005B564E"/>
    <w:rsid w:val="005B5E49"/>
    <w:rsid w:val="005B6013"/>
    <w:rsid w:val="005B63CA"/>
    <w:rsid w:val="005B6815"/>
    <w:rsid w:val="005C052D"/>
    <w:rsid w:val="005C0F51"/>
    <w:rsid w:val="005C16CA"/>
    <w:rsid w:val="005C1830"/>
    <w:rsid w:val="005C1A13"/>
    <w:rsid w:val="005C1ECF"/>
    <w:rsid w:val="005C40EF"/>
    <w:rsid w:val="005C4704"/>
    <w:rsid w:val="005C4AC3"/>
    <w:rsid w:val="005C5266"/>
    <w:rsid w:val="005C58CB"/>
    <w:rsid w:val="005C58F1"/>
    <w:rsid w:val="005C6195"/>
    <w:rsid w:val="005C6A3B"/>
    <w:rsid w:val="005C6A3D"/>
    <w:rsid w:val="005C7313"/>
    <w:rsid w:val="005C7F78"/>
    <w:rsid w:val="005C7F81"/>
    <w:rsid w:val="005D0685"/>
    <w:rsid w:val="005D0BE6"/>
    <w:rsid w:val="005D2482"/>
    <w:rsid w:val="005D29DB"/>
    <w:rsid w:val="005D32AE"/>
    <w:rsid w:val="005D3FA0"/>
    <w:rsid w:val="005D440E"/>
    <w:rsid w:val="005D4B25"/>
    <w:rsid w:val="005D5087"/>
    <w:rsid w:val="005D50B0"/>
    <w:rsid w:val="005D54B2"/>
    <w:rsid w:val="005D5C40"/>
    <w:rsid w:val="005D6187"/>
    <w:rsid w:val="005D61EB"/>
    <w:rsid w:val="005D62AB"/>
    <w:rsid w:val="005D6384"/>
    <w:rsid w:val="005D6874"/>
    <w:rsid w:val="005D6E3D"/>
    <w:rsid w:val="005D7264"/>
    <w:rsid w:val="005D77E6"/>
    <w:rsid w:val="005E00E4"/>
    <w:rsid w:val="005E04A1"/>
    <w:rsid w:val="005E0A9B"/>
    <w:rsid w:val="005E0D07"/>
    <w:rsid w:val="005E12D2"/>
    <w:rsid w:val="005E1791"/>
    <w:rsid w:val="005E19A0"/>
    <w:rsid w:val="005E1A07"/>
    <w:rsid w:val="005E218F"/>
    <w:rsid w:val="005E2923"/>
    <w:rsid w:val="005E3475"/>
    <w:rsid w:val="005E62E7"/>
    <w:rsid w:val="005E6B82"/>
    <w:rsid w:val="005E7F83"/>
    <w:rsid w:val="005F0502"/>
    <w:rsid w:val="005F0708"/>
    <w:rsid w:val="005F0E29"/>
    <w:rsid w:val="005F0F6B"/>
    <w:rsid w:val="005F1128"/>
    <w:rsid w:val="005F275E"/>
    <w:rsid w:val="005F30A3"/>
    <w:rsid w:val="005F3110"/>
    <w:rsid w:val="005F34B7"/>
    <w:rsid w:val="005F463F"/>
    <w:rsid w:val="005F4A68"/>
    <w:rsid w:val="005F4BEA"/>
    <w:rsid w:val="005F4D1C"/>
    <w:rsid w:val="005F59A2"/>
    <w:rsid w:val="005F6B05"/>
    <w:rsid w:val="005F7373"/>
    <w:rsid w:val="005F77F2"/>
    <w:rsid w:val="005F7AC8"/>
    <w:rsid w:val="00600875"/>
    <w:rsid w:val="00600D7E"/>
    <w:rsid w:val="00601504"/>
    <w:rsid w:val="0060184B"/>
    <w:rsid w:val="00601DB0"/>
    <w:rsid w:val="00601F1D"/>
    <w:rsid w:val="00602356"/>
    <w:rsid w:val="0060268B"/>
    <w:rsid w:val="00603FF7"/>
    <w:rsid w:val="006042C0"/>
    <w:rsid w:val="00604721"/>
    <w:rsid w:val="00604908"/>
    <w:rsid w:val="0060542E"/>
    <w:rsid w:val="00605675"/>
    <w:rsid w:val="006056C9"/>
    <w:rsid w:val="00605F7D"/>
    <w:rsid w:val="006060A7"/>
    <w:rsid w:val="00607100"/>
    <w:rsid w:val="00607D14"/>
    <w:rsid w:val="00610F71"/>
    <w:rsid w:val="006110C7"/>
    <w:rsid w:val="00612840"/>
    <w:rsid w:val="006128E1"/>
    <w:rsid w:val="00612D11"/>
    <w:rsid w:val="00613181"/>
    <w:rsid w:val="006142F3"/>
    <w:rsid w:val="00614F5C"/>
    <w:rsid w:val="006152B8"/>
    <w:rsid w:val="00615B30"/>
    <w:rsid w:val="00617311"/>
    <w:rsid w:val="00617525"/>
    <w:rsid w:val="006205C4"/>
    <w:rsid w:val="00621647"/>
    <w:rsid w:val="00621F21"/>
    <w:rsid w:val="0062264E"/>
    <w:rsid w:val="0062461F"/>
    <w:rsid w:val="00624685"/>
    <w:rsid w:val="00625631"/>
    <w:rsid w:val="00625A66"/>
    <w:rsid w:val="00625C1D"/>
    <w:rsid w:val="00626714"/>
    <w:rsid w:val="00626C83"/>
    <w:rsid w:val="00627A4B"/>
    <w:rsid w:val="006306DE"/>
    <w:rsid w:val="006310B5"/>
    <w:rsid w:val="00631B9C"/>
    <w:rsid w:val="00631E53"/>
    <w:rsid w:val="00632F79"/>
    <w:rsid w:val="00634608"/>
    <w:rsid w:val="00635460"/>
    <w:rsid w:val="00635734"/>
    <w:rsid w:val="006358A6"/>
    <w:rsid w:val="00635A14"/>
    <w:rsid w:val="0063624A"/>
    <w:rsid w:val="00636858"/>
    <w:rsid w:val="00636F92"/>
    <w:rsid w:val="00637406"/>
    <w:rsid w:val="00637AA3"/>
    <w:rsid w:val="00637C33"/>
    <w:rsid w:val="006401EF"/>
    <w:rsid w:val="00640396"/>
    <w:rsid w:val="00640A3B"/>
    <w:rsid w:val="00640D9D"/>
    <w:rsid w:val="0064135F"/>
    <w:rsid w:val="0064254F"/>
    <w:rsid w:val="006430F8"/>
    <w:rsid w:val="0064366C"/>
    <w:rsid w:val="006436DB"/>
    <w:rsid w:val="0064462B"/>
    <w:rsid w:val="00644D89"/>
    <w:rsid w:val="00645A88"/>
    <w:rsid w:val="00646AF6"/>
    <w:rsid w:val="00646B84"/>
    <w:rsid w:val="0064793C"/>
    <w:rsid w:val="006504AD"/>
    <w:rsid w:val="00650C90"/>
    <w:rsid w:val="0065179A"/>
    <w:rsid w:val="00653031"/>
    <w:rsid w:val="006530B5"/>
    <w:rsid w:val="006532EF"/>
    <w:rsid w:val="00653915"/>
    <w:rsid w:val="00653C82"/>
    <w:rsid w:val="00653F9C"/>
    <w:rsid w:val="0065476E"/>
    <w:rsid w:val="00655551"/>
    <w:rsid w:val="00655E83"/>
    <w:rsid w:val="00656ED7"/>
    <w:rsid w:val="006574C6"/>
    <w:rsid w:val="0065757D"/>
    <w:rsid w:val="00657871"/>
    <w:rsid w:val="0066169E"/>
    <w:rsid w:val="00661DB0"/>
    <w:rsid w:val="0066349A"/>
    <w:rsid w:val="0066349E"/>
    <w:rsid w:val="00664736"/>
    <w:rsid w:val="0066488B"/>
    <w:rsid w:val="006649B4"/>
    <w:rsid w:val="00664CB8"/>
    <w:rsid w:val="00665BAC"/>
    <w:rsid w:val="00666231"/>
    <w:rsid w:val="00666D65"/>
    <w:rsid w:val="00667011"/>
    <w:rsid w:val="00667665"/>
    <w:rsid w:val="00667BD4"/>
    <w:rsid w:val="00667DF3"/>
    <w:rsid w:val="00670A67"/>
    <w:rsid w:val="00670D11"/>
    <w:rsid w:val="006716BD"/>
    <w:rsid w:val="00671A68"/>
    <w:rsid w:val="00672AA7"/>
    <w:rsid w:val="00672C3C"/>
    <w:rsid w:val="00672C6D"/>
    <w:rsid w:val="0067336C"/>
    <w:rsid w:val="006742C4"/>
    <w:rsid w:val="00675403"/>
    <w:rsid w:val="006758B6"/>
    <w:rsid w:val="0067780F"/>
    <w:rsid w:val="00677853"/>
    <w:rsid w:val="006779BB"/>
    <w:rsid w:val="0068041B"/>
    <w:rsid w:val="00681CBD"/>
    <w:rsid w:val="00682238"/>
    <w:rsid w:val="00682411"/>
    <w:rsid w:val="00683205"/>
    <w:rsid w:val="00684319"/>
    <w:rsid w:val="00684553"/>
    <w:rsid w:val="00685088"/>
    <w:rsid w:val="0068594F"/>
    <w:rsid w:val="00685CDF"/>
    <w:rsid w:val="00686678"/>
    <w:rsid w:val="00686ED2"/>
    <w:rsid w:val="006878D4"/>
    <w:rsid w:val="00690E00"/>
    <w:rsid w:val="00691EAB"/>
    <w:rsid w:val="006925F2"/>
    <w:rsid w:val="00693CDA"/>
    <w:rsid w:val="006951B0"/>
    <w:rsid w:val="00695881"/>
    <w:rsid w:val="00695B20"/>
    <w:rsid w:val="006963C3"/>
    <w:rsid w:val="0069682E"/>
    <w:rsid w:val="006969F3"/>
    <w:rsid w:val="00696B19"/>
    <w:rsid w:val="00696FC0"/>
    <w:rsid w:val="006A0897"/>
    <w:rsid w:val="006A0CF1"/>
    <w:rsid w:val="006A4251"/>
    <w:rsid w:val="006A43A7"/>
    <w:rsid w:val="006A4582"/>
    <w:rsid w:val="006A4620"/>
    <w:rsid w:val="006A5067"/>
    <w:rsid w:val="006A7EB0"/>
    <w:rsid w:val="006B0C08"/>
    <w:rsid w:val="006B0F7D"/>
    <w:rsid w:val="006B11E6"/>
    <w:rsid w:val="006B1A84"/>
    <w:rsid w:val="006B242A"/>
    <w:rsid w:val="006B2FC1"/>
    <w:rsid w:val="006B3DFE"/>
    <w:rsid w:val="006B4946"/>
    <w:rsid w:val="006B5286"/>
    <w:rsid w:val="006B5632"/>
    <w:rsid w:val="006B5EE1"/>
    <w:rsid w:val="006B60DB"/>
    <w:rsid w:val="006B7AC6"/>
    <w:rsid w:val="006C06C1"/>
    <w:rsid w:val="006C0DEB"/>
    <w:rsid w:val="006C1372"/>
    <w:rsid w:val="006C15CB"/>
    <w:rsid w:val="006C2911"/>
    <w:rsid w:val="006C3DE6"/>
    <w:rsid w:val="006C46C3"/>
    <w:rsid w:val="006C48AB"/>
    <w:rsid w:val="006C593A"/>
    <w:rsid w:val="006C5AEC"/>
    <w:rsid w:val="006C5F1F"/>
    <w:rsid w:val="006C70A4"/>
    <w:rsid w:val="006C7BA2"/>
    <w:rsid w:val="006D0546"/>
    <w:rsid w:val="006D1770"/>
    <w:rsid w:val="006D3698"/>
    <w:rsid w:val="006D36E4"/>
    <w:rsid w:val="006D381A"/>
    <w:rsid w:val="006D38D4"/>
    <w:rsid w:val="006D432C"/>
    <w:rsid w:val="006D43A6"/>
    <w:rsid w:val="006D4991"/>
    <w:rsid w:val="006D4B6B"/>
    <w:rsid w:val="006D4EA3"/>
    <w:rsid w:val="006D5D3E"/>
    <w:rsid w:val="006D5DEB"/>
    <w:rsid w:val="006D6D7C"/>
    <w:rsid w:val="006D7418"/>
    <w:rsid w:val="006D7D03"/>
    <w:rsid w:val="006E025E"/>
    <w:rsid w:val="006E06EB"/>
    <w:rsid w:val="006E0BFC"/>
    <w:rsid w:val="006E1241"/>
    <w:rsid w:val="006E177F"/>
    <w:rsid w:val="006E195F"/>
    <w:rsid w:val="006E1ED5"/>
    <w:rsid w:val="006E2725"/>
    <w:rsid w:val="006E2A2D"/>
    <w:rsid w:val="006E2BF4"/>
    <w:rsid w:val="006E3A04"/>
    <w:rsid w:val="006E3A72"/>
    <w:rsid w:val="006E3E80"/>
    <w:rsid w:val="006E432C"/>
    <w:rsid w:val="006E536B"/>
    <w:rsid w:val="006E590E"/>
    <w:rsid w:val="006E5BC7"/>
    <w:rsid w:val="006E6A44"/>
    <w:rsid w:val="006E6D85"/>
    <w:rsid w:val="006E761B"/>
    <w:rsid w:val="006E7989"/>
    <w:rsid w:val="006E79BD"/>
    <w:rsid w:val="006E7A16"/>
    <w:rsid w:val="006E7D34"/>
    <w:rsid w:val="006F0016"/>
    <w:rsid w:val="006F0487"/>
    <w:rsid w:val="006F06C4"/>
    <w:rsid w:val="006F0F61"/>
    <w:rsid w:val="006F1FF8"/>
    <w:rsid w:val="006F2636"/>
    <w:rsid w:val="006F2C20"/>
    <w:rsid w:val="006F321F"/>
    <w:rsid w:val="006F37E1"/>
    <w:rsid w:val="006F47E1"/>
    <w:rsid w:val="006F4A57"/>
    <w:rsid w:val="006F4CD9"/>
    <w:rsid w:val="006F5007"/>
    <w:rsid w:val="006F558D"/>
    <w:rsid w:val="006F6C8D"/>
    <w:rsid w:val="006F7E0A"/>
    <w:rsid w:val="00700C75"/>
    <w:rsid w:val="0070193E"/>
    <w:rsid w:val="0070207D"/>
    <w:rsid w:val="00702621"/>
    <w:rsid w:val="00702C57"/>
    <w:rsid w:val="00703C3F"/>
    <w:rsid w:val="00704907"/>
    <w:rsid w:val="00705F7B"/>
    <w:rsid w:val="00706B99"/>
    <w:rsid w:val="00707586"/>
    <w:rsid w:val="00707890"/>
    <w:rsid w:val="00707F6E"/>
    <w:rsid w:val="00710760"/>
    <w:rsid w:val="007109A6"/>
    <w:rsid w:val="00710B6D"/>
    <w:rsid w:val="00710D9E"/>
    <w:rsid w:val="0071271A"/>
    <w:rsid w:val="00713780"/>
    <w:rsid w:val="00713A44"/>
    <w:rsid w:val="007153FB"/>
    <w:rsid w:val="00715893"/>
    <w:rsid w:val="00715B34"/>
    <w:rsid w:val="00715E31"/>
    <w:rsid w:val="007160E4"/>
    <w:rsid w:val="00716A19"/>
    <w:rsid w:val="00716D1F"/>
    <w:rsid w:val="00716F6E"/>
    <w:rsid w:val="0071730E"/>
    <w:rsid w:val="007179F8"/>
    <w:rsid w:val="007201AE"/>
    <w:rsid w:val="007203C4"/>
    <w:rsid w:val="00720747"/>
    <w:rsid w:val="00720D75"/>
    <w:rsid w:val="00721C9B"/>
    <w:rsid w:val="00721F81"/>
    <w:rsid w:val="00721FBB"/>
    <w:rsid w:val="00723C0B"/>
    <w:rsid w:val="007241E0"/>
    <w:rsid w:val="007241F5"/>
    <w:rsid w:val="0072477B"/>
    <w:rsid w:val="007248DD"/>
    <w:rsid w:val="00724BDB"/>
    <w:rsid w:val="00725382"/>
    <w:rsid w:val="00725A54"/>
    <w:rsid w:val="00725BA2"/>
    <w:rsid w:val="00726492"/>
    <w:rsid w:val="007307FF"/>
    <w:rsid w:val="007310CA"/>
    <w:rsid w:val="007316B2"/>
    <w:rsid w:val="00731F9A"/>
    <w:rsid w:val="0073280E"/>
    <w:rsid w:val="0073282F"/>
    <w:rsid w:val="00733325"/>
    <w:rsid w:val="007338B0"/>
    <w:rsid w:val="00733D3B"/>
    <w:rsid w:val="007343A6"/>
    <w:rsid w:val="0073454D"/>
    <w:rsid w:val="00734642"/>
    <w:rsid w:val="0073502C"/>
    <w:rsid w:val="007354DD"/>
    <w:rsid w:val="00736094"/>
    <w:rsid w:val="00736A38"/>
    <w:rsid w:val="007370EA"/>
    <w:rsid w:val="0073757C"/>
    <w:rsid w:val="00740415"/>
    <w:rsid w:val="00741389"/>
    <w:rsid w:val="0074211F"/>
    <w:rsid w:val="00742245"/>
    <w:rsid w:val="0074292D"/>
    <w:rsid w:val="00742BD0"/>
    <w:rsid w:val="00742C66"/>
    <w:rsid w:val="00744DA9"/>
    <w:rsid w:val="00744E67"/>
    <w:rsid w:val="007468FA"/>
    <w:rsid w:val="0074710B"/>
    <w:rsid w:val="0074797D"/>
    <w:rsid w:val="00747C6F"/>
    <w:rsid w:val="007503A4"/>
    <w:rsid w:val="00750CAD"/>
    <w:rsid w:val="00750E2B"/>
    <w:rsid w:val="00750F3B"/>
    <w:rsid w:val="00751738"/>
    <w:rsid w:val="00751A6B"/>
    <w:rsid w:val="00752E92"/>
    <w:rsid w:val="00753DC5"/>
    <w:rsid w:val="00755AF6"/>
    <w:rsid w:val="007560F4"/>
    <w:rsid w:val="007566D5"/>
    <w:rsid w:val="0075710E"/>
    <w:rsid w:val="00757894"/>
    <w:rsid w:val="00757B55"/>
    <w:rsid w:val="00760642"/>
    <w:rsid w:val="007612CB"/>
    <w:rsid w:val="007634FA"/>
    <w:rsid w:val="007644CA"/>
    <w:rsid w:val="007650C5"/>
    <w:rsid w:val="00766110"/>
    <w:rsid w:val="007667B5"/>
    <w:rsid w:val="0076717A"/>
    <w:rsid w:val="0076750A"/>
    <w:rsid w:val="00767D93"/>
    <w:rsid w:val="00770725"/>
    <w:rsid w:val="00770A2D"/>
    <w:rsid w:val="00770D1A"/>
    <w:rsid w:val="007710B7"/>
    <w:rsid w:val="0077189B"/>
    <w:rsid w:val="00771D38"/>
    <w:rsid w:val="0077264B"/>
    <w:rsid w:val="007726D4"/>
    <w:rsid w:val="00773516"/>
    <w:rsid w:val="007738D8"/>
    <w:rsid w:val="007742F5"/>
    <w:rsid w:val="007744F3"/>
    <w:rsid w:val="00774713"/>
    <w:rsid w:val="00774C10"/>
    <w:rsid w:val="007756C8"/>
    <w:rsid w:val="00775EA2"/>
    <w:rsid w:val="007769E3"/>
    <w:rsid w:val="00777377"/>
    <w:rsid w:val="007775DF"/>
    <w:rsid w:val="00777DB4"/>
    <w:rsid w:val="0078082D"/>
    <w:rsid w:val="0078267A"/>
    <w:rsid w:val="007826B8"/>
    <w:rsid w:val="00782852"/>
    <w:rsid w:val="007828C1"/>
    <w:rsid w:val="007833A5"/>
    <w:rsid w:val="007838FF"/>
    <w:rsid w:val="00784E3B"/>
    <w:rsid w:val="00785D40"/>
    <w:rsid w:val="007873FE"/>
    <w:rsid w:val="007901BE"/>
    <w:rsid w:val="00790D70"/>
    <w:rsid w:val="00791C40"/>
    <w:rsid w:val="00792683"/>
    <w:rsid w:val="007939A4"/>
    <w:rsid w:val="00793C49"/>
    <w:rsid w:val="00793F55"/>
    <w:rsid w:val="007947E1"/>
    <w:rsid w:val="00794C3A"/>
    <w:rsid w:val="00795FD6"/>
    <w:rsid w:val="00797338"/>
    <w:rsid w:val="007A0B56"/>
    <w:rsid w:val="007A16D4"/>
    <w:rsid w:val="007A238F"/>
    <w:rsid w:val="007A27AE"/>
    <w:rsid w:val="007A2E7F"/>
    <w:rsid w:val="007A36FC"/>
    <w:rsid w:val="007A3820"/>
    <w:rsid w:val="007A411E"/>
    <w:rsid w:val="007A6183"/>
    <w:rsid w:val="007A6C02"/>
    <w:rsid w:val="007B1FD8"/>
    <w:rsid w:val="007B2598"/>
    <w:rsid w:val="007B2604"/>
    <w:rsid w:val="007B3587"/>
    <w:rsid w:val="007B3598"/>
    <w:rsid w:val="007B3656"/>
    <w:rsid w:val="007B3B0C"/>
    <w:rsid w:val="007B40C1"/>
    <w:rsid w:val="007B4349"/>
    <w:rsid w:val="007B4E03"/>
    <w:rsid w:val="007B5548"/>
    <w:rsid w:val="007B59CD"/>
    <w:rsid w:val="007B5E85"/>
    <w:rsid w:val="007B6661"/>
    <w:rsid w:val="007B6D1E"/>
    <w:rsid w:val="007B726E"/>
    <w:rsid w:val="007B7360"/>
    <w:rsid w:val="007B7F28"/>
    <w:rsid w:val="007C0418"/>
    <w:rsid w:val="007C1050"/>
    <w:rsid w:val="007C1653"/>
    <w:rsid w:val="007C201C"/>
    <w:rsid w:val="007C2B0C"/>
    <w:rsid w:val="007C3111"/>
    <w:rsid w:val="007C354E"/>
    <w:rsid w:val="007C4006"/>
    <w:rsid w:val="007C4E35"/>
    <w:rsid w:val="007C5BA3"/>
    <w:rsid w:val="007C6688"/>
    <w:rsid w:val="007D048A"/>
    <w:rsid w:val="007D134C"/>
    <w:rsid w:val="007D1641"/>
    <w:rsid w:val="007D277C"/>
    <w:rsid w:val="007D29E7"/>
    <w:rsid w:val="007D2C7D"/>
    <w:rsid w:val="007D3076"/>
    <w:rsid w:val="007D3CBD"/>
    <w:rsid w:val="007D40D5"/>
    <w:rsid w:val="007D50E6"/>
    <w:rsid w:val="007D60BD"/>
    <w:rsid w:val="007D6893"/>
    <w:rsid w:val="007D71BF"/>
    <w:rsid w:val="007E0354"/>
    <w:rsid w:val="007E1154"/>
    <w:rsid w:val="007E1179"/>
    <w:rsid w:val="007E11CF"/>
    <w:rsid w:val="007E1FA3"/>
    <w:rsid w:val="007E2E3C"/>
    <w:rsid w:val="007E2FA7"/>
    <w:rsid w:val="007E366E"/>
    <w:rsid w:val="007E3736"/>
    <w:rsid w:val="007E37C0"/>
    <w:rsid w:val="007E5104"/>
    <w:rsid w:val="007E578F"/>
    <w:rsid w:val="007E6954"/>
    <w:rsid w:val="007E6F0E"/>
    <w:rsid w:val="007E783E"/>
    <w:rsid w:val="007F03CA"/>
    <w:rsid w:val="007F08B4"/>
    <w:rsid w:val="007F08E3"/>
    <w:rsid w:val="007F0A2B"/>
    <w:rsid w:val="007F16A0"/>
    <w:rsid w:val="007F4905"/>
    <w:rsid w:val="007F4B1D"/>
    <w:rsid w:val="007F4EF9"/>
    <w:rsid w:val="007F57BC"/>
    <w:rsid w:val="007F5DE2"/>
    <w:rsid w:val="007F602D"/>
    <w:rsid w:val="007F69F3"/>
    <w:rsid w:val="007F7A61"/>
    <w:rsid w:val="00800A55"/>
    <w:rsid w:val="00801047"/>
    <w:rsid w:val="0080203A"/>
    <w:rsid w:val="00802408"/>
    <w:rsid w:val="00803090"/>
    <w:rsid w:val="008031EA"/>
    <w:rsid w:val="00803259"/>
    <w:rsid w:val="00803360"/>
    <w:rsid w:val="0080451F"/>
    <w:rsid w:val="008057B9"/>
    <w:rsid w:val="00805B32"/>
    <w:rsid w:val="00806A9A"/>
    <w:rsid w:val="00810466"/>
    <w:rsid w:val="00810637"/>
    <w:rsid w:val="00811878"/>
    <w:rsid w:val="00811ABD"/>
    <w:rsid w:val="0081235F"/>
    <w:rsid w:val="008129BD"/>
    <w:rsid w:val="00812BCD"/>
    <w:rsid w:val="00812C22"/>
    <w:rsid w:val="00812E09"/>
    <w:rsid w:val="0081303D"/>
    <w:rsid w:val="00813138"/>
    <w:rsid w:val="008133A5"/>
    <w:rsid w:val="008134C5"/>
    <w:rsid w:val="00813D68"/>
    <w:rsid w:val="00813D76"/>
    <w:rsid w:val="00813E4D"/>
    <w:rsid w:val="0081407E"/>
    <w:rsid w:val="008146C8"/>
    <w:rsid w:val="00814FEB"/>
    <w:rsid w:val="00814FFF"/>
    <w:rsid w:val="00815B21"/>
    <w:rsid w:val="00816BDA"/>
    <w:rsid w:val="00817CAF"/>
    <w:rsid w:val="00817EF3"/>
    <w:rsid w:val="00820081"/>
    <w:rsid w:val="008206F6"/>
    <w:rsid w:val="00820969"/>
    <w:rsid w:val="008217B2"/>
    <w:rsid w:val="008221BD"/>
    <w:rsid w:val="00822310"/>
    <w:rsid w:val="00822B1F"/>
    <w:rsid w:val="00822F1F"/>
    <w:rsid w:val="0082373C"/>
    <w:rsid w:val="00823CC9"/>
    <w:rsid w:val="0082500B"/>
    <w:rsid w:val="00825552"/>
    <w:rsid w:val="008255A0"/>
    <w:rsid w:val="00825BE5"/>
    <w:rsid w:val="008273A9"/>
    <w:rsid w:val="00827694"/>
    <w:rsid w:val="00827DA7"/>
    <w:rsid w:val="00827DEE"/>
    <w:rsid w:val="0083050D"/>
    <w:rsid w:val="00830A2F"/>
    <w:rsid w:val="00831D3F"/>
    <w:rsid w:val="0083281C"/>
    <w:rsid w:val="008339E9"/>
    <w:rsid w:val="00834541"/>
    <w:rsid w:val="008347F8"/>
    <w:rsid w:val="00834C5D"/>
    <w:rsid w:val="00834D67"/>
    <w:rsid w:val="0083539A"/>
    <w:rsid w:val="00835D7C"/>
    <w:rsid w:val="00836013"/>
    <w:rsid w:val="0083644C"/>
    <w:rsid w:val="0083677E"/>
    <w:rsid w:val="00837C85"/>
    <w:rsid w:val="0084096B"/>
    <w:rsid w:val="008418F1"/>
    <w:rsid w:val="008421B0"/>
    <w:rsid w:val="00843E14"/>
    <w:rsid w:val="0084450B"/>
    <w:rsid w:val="008458AF"/>
    <w:rsid w:val="0084616D"/>
    <w:rsid w:val="008464D3"/>
    <w:rsid w:val="00846767"/>
    <w:rsid w:val="00847250"/>
    <w:rsid w:val="00850352"/>
    <w:rsid w:val="00850705"/>
    <w:rsid w:val="00850804"/>
    <w:rsid w:val="008508DE"/>
    <w:rsid w:val="008510CC"/>
    <w:rsid w:val="00851263"/>
    <w:rsid w:val="0085173A"/>
    <w:rsid w:val="00852E84"/>
    <w:rsid w:val="008544DF"/>
    <w:rsid w:val="0085503A"/>
    <w:rsid w:val="008554E0"/>
    <w:rsid w:val="00855D58"/>
    <w:rsid w:val="00855E47"/>
    <w:rsid w:val="008577DE"/>
    <w:rsid w:val="00857A31"/>
    <w:rsid w:val="00857AA4"/>
    <w:rsid w:val="008601FE"/>
    <w:rsid w:val="008605E1"/>
    <w:rsid w:val="00860D86"/>
    <w:rsid w:val="008611A7"/>
    <w:rsid w:val="00861C27"/>
    <w:rsid w:val="0086202A"/>
    <w:rsid w:val="0086204F"/>
    <w:rsid w:val="00862178"/>
    <w:rsid w:val="008628A0"/>
    <w:rsid w:val="00862E94"/>
    <w:rsid w:val="00862F92"/>
    <w:rsid w:val="008630B5"/>
    <w:rsid w:val="008630F3"/>
    <w:rsid w:val="008633C3"/>
    <w:rsid w:val="0086357A"/>
    <w:rsid w:val="00863587"/>
    <w:rsid w:val="008635BC"/>
    <w:rsid w:val="008650DD"/>
    <w:rsid w:val="008659CE"/>
    <w:rsid w:val="00867265"/>
    <w:rsid w:val="008679FF"/>
    <w:rsid w:val="00871EB3"/>
    <w:rsid w:val="0087259B"/>
    <w:rsid w:val="00872760"/>
    <w:rsid w:val="00872959"/>
    <w:rsid w:val="008740DD"/>
    <w:rsid w:val="00874155"/>
    <w:rsid w:val="00874894"/>
    <w:rsid w:val="00874EF7"/>
    <w:rsid w:val="00875270"/>
    <w:rsid w:val="00875AC4"/>
    <w:rsid w:val="00875DAB"/>
    <w:rsid w:val="0087643E"/>
    <w:rsid w:val="00877A93"/>
    <w:rsid w:val="00877DF8"/>
    <w:rsid w:val="00877E2D"/>
    <w:rsid w:val="00877F09"/>
    <w:rsid w:val="0088024F"/>
    <w:rsid w:val="00880EF0"/>
    <w:rsid w:val="00881034"/>
    <w:rsid w:val="00881156"/>
    <w:rsid w:val="0088193A"/>
    <w:rsid w:val="00881CF4"/>
    <w:rsid w:val="00882559"/>
    <w:rsid w:val="0088401D"/>
    <w:rsid w:val="0088431B"/>
    <w:rsid w:val="008850E0"/>
    <w:rsid w:val="00885118"/>
    <w:rsid w:val="00886498"/>
    <w:rsid w:val="008868DA"/>
    <w:rsid w:val="00886A59"/>
    <w:rsid w:val="00890187"/>
    <w:rsid w:val="00890FE0"/>
    <w:rsid w:val="0089198F"/>
    <w:rsid w:val="00891990"/>
    <w:rsid w:val="00891E33"/>
    <w:rsid w:val="00892874"/>
    <w:rsid w:val="00893161"/>
    <w:rsid w:val="00894B61"/>
    <w:rsid w:val="0089696D"/>
    <w:rsid w:val="008972E6"/>
    <w:rsid w:val="0089735C"/>
    <w:rsid w:val="008A1950"/>
    <w:rsid w:val="008A2077"/>
    <w:rsid w:val="008A22FE"/>
    <w:rsid w:val="008A23DA"/>
    <w:rsid w:val="008A2535"/>
    <w:rsid w:val="008A3424"/>
    <w:rsid w:val="008A37A9"/>
    <w:rsid w:val="008A456D"/>
    <w:rsid w:val="008A5E87"/>
    <w:rsid w:val="008A7374"/>
    <w:rsid w:val="008A7579"/>
    <w:rsid w:val="008A7E9C"/>
    <w:rsid w:val="008A7EB3"/>
    <w:rsid w:val="008B2170"/>
    <w:rsid w:val="008B2217"/>
    <w:rsid w:val="008B3436"/>
    <w:rsid w:val="008B4790"/>
    <w:rsid w:val="008B4C7C"/>
    <w:rsid w:val="008B5C6C"/>
    <w:rsid w:val="008B705E"/>
    <w:rsid w:val="008B7751"/>
    <w:rsid w:val="008B780C"/>
    <w:rsid w:val="008C0AD7"/>
    <w:rsid w:val="008C0F9D"/>
    <w:rsid w:val="008C104D"/>
    <w:rsid w:val="008C1279"/>
    <w:rsid w:val="008C2075"/>
    <w:rsid w:val="008C2D89"/>
    <w:rsid w:val="008C3EC0"/>
    <w:rsid w:val="008C5480"/>
    <w:rsid w:val="008C5923"/>
    <w:rsid w:val="008C5A2E"/>
    <w:rsid w:val="008C5E69"/>
    <w:rsid w:val="008C6786"/>
    <w:rsid w:val="008C6B82"/>
    <w:rsid w:val="008C6DD8"/>
    <w:rsid w:val="008C73C1"/>
    <w:rsid w:val="008D095A"/>
    <w:rsid w:val="008D2C9F"/>
    <w:rsid w:val="008D39DF"/>
    <w:rsid w:val="008D3CDE"/>
    <w:rsid w:val="008D4479"/>
    <w:rsid w:val="008D4754"/>
    <w:rsid w:val="008D5217"/>
    <w:rsid w:val="008D5800"/>
    <w:rsid w:val="008D5BE5"/>
    <w:rsid w:val="008D6045"/>
    <w:rsid w:val="008D60D7"/>
    <w:rsid w:val="008D6366"/>
    <w:rsid w:val="008D6C5B"/>
    <w:rsid w:val="008D76E0"/>
    <w:rsid w:val="008D7725"/>
    <w:rsid w:val="008D7864"/>
    <w:rsid w:val="008D7F68"/>
    <w:rsid w:val="008E10E0"/>
    <w:rsid w:val="008E2E99"/>
    <w:rsid w:val="008E30DB"/>
    <w:rsid w:val="008E37A6"/>
    <w:rsid w:val="008E40A6"/>
    <w:rsid w:val="008E48C7"/>
    <w:rsid w:val="008E55A2"/>
    <w:rsid w:val="008E579D"/>
    <w:rsid w:val="008E6529"/>
    <w:rsid w:val="008E6AA1"/>
    <w:rsid w:val="008E6B0F"/>
    <w:rsid w:val="008E6F7E"/>
    <w:rsid w:val="008F087A"/>
    <w:rsid w:val="008F0C81"/>
    <w:rsid w:val="008F10D4"/>
    <w:rsid w:val="008F18B3"/>
    <w:rsid w:val="008F2421"/>
    <w:rsid w:val="008F24A3"/>
    <w:rsid w:val="008F44E7"/>
    <w:rsid w:val="008F53CD"/>
    <w:rsid w:val="008F57CC"/>
    <w:rsid w:val="008F5FC7"/>
    <w:rsid w:val="008F69F8"/>
    <w:rsid w:val="008F6AB8"/>
    <w:rsid w:val="008F7F5F"/>
    <w:rsid w:val="00900609"/>
    <w:rsid w:val="009007BA"/>
    <w:rsid w:val="00900A5B"/>
    <w:rsid w:val="00900DCB"/>
    <w:rsid w:val="009012F7"/>
    <w:rsid w:val="0090196C"/>
    <w:rsid w:val="009023EE"/>
    <w:rsid w:val="00902FEF"/>
    <w:rsid w:val="00903469"/>
    <w:rsid w:val="00903A3C"/>
    <w:rsid w:val="00904DB3"/>
    <w:rsid w:val="009050CC"/>
    <w:rsid w:val="0090526F"/>
    <w:rsid w:val="00905377"/>
    <w:rsid w:val="00905920"/>
    <w:rsid w:val="00905AF1"/>
    <w:rsid w:val="0090661E"/>
    <w:rsid w:val="00906752"/>
    <w:rsid w:val="009073B0"/>
    <w:rsid w:val="00907F30"/>
    <w:rsid w:val="009106AC"/>
    <w:rsid w:val="009106FD"/>
    <w:rsid w:val="00910A47"/>
    <w:rsid w:val="00910E30"/>
    <w:rsid w:val="009114E2"/>
    <w:rsid w:val="0091222A"/>
    <w:rsid w:val="0091243E"/>
    <w:rsid w:val="00912B79"/>
    <w:rsid w:val="009130C2"/>
    <w:rsid w:val="009131A3"/>
    <w:rsid w:val="00914E0C"/>
    <w:rsid w:val="00915449"/>
    <w:rsid w:val="00915685"/>
    <w:rsid w:val="00917B2C"/>
    <w:rsid w:val="00917E79"/>
    <w:rsid w:val="009203BE"/>
    <w:rsid w:val="00920B98"/>
    <w:rsid w:val="00920FA9"/>
    <w:rsid w:val="00921CD4"/>
    <w:rsid w:val="00922B5B"/>
    <w:rsid w:val="00924437"/>
    <w:rsid w:val="009245B9"/>
    <w:rsid w:val="009250B7"/>
    <w:rsid w:val="00925195"/>
    <w:rsid w:val="00925B00"/>
    <w:rsid w:val="00926BCB"/>
    <w:rsid w:val="00927787"/>
    <w:rsid w:val="00927B93"/>
    <w:rsid w:val="00927E65"/>
    <w:rsid w:val="00927E8C"/>
    <w:rsid w:val="009307A5"/>
    <w:rsid w:val="00930916"/>
    <w:rsid w:val="00930F38"/>
    <w:rsid w:val="00931AD7"/>
    <w:rsid w:val="00931E2E"/>
    <w:rsid w:val="00932E96"/>
    <w:rsid w:val="00933242"/>
    <w:rsid w:val="00933364"/>
    <w:rsid w:val="00933808"/>
    <w:rsid w:val="00933B49"/>
    <w:rsid w:val="0093439F"/>
    <w:rsid w:val="00934F11"/>
    <w:rsid w:val="0093571D"/>
    <w:rsid w:val="0093575F"/>
    <w:rsid w:val="00935BDE"/>
    <w:rsid w:val="0093764A"/>
    <w:rsid w:val="009376DA"/>
    <w:rsid w:val="009377D5"/>
    <w:rsid w:val="009403B2"/>
    <w:rsid w:val="00940BA1"/>
    <w:rsid w:val="0094153F"/>
    <w:rsid w:val="00942A37"/>
    <w:rsid w:val="00943529"/>
    <w:rsid w:val="0094384D"/>
    <w:rsid w:val="00943DA2"/>
    <w:rsid w:val="009441CB"/>
    <w:rsid w:val="00944A65"/>
    <w:rsid w:val="00944B4D"/>
    <w:rsid w:val="00944DB2"/>
    <w:rsid w:val="009452FF"/>
    <w:rsid w:val="009457A2"/>
    <w:rsid w:val="00945B8A"/>
    <w:rsid w:val="00945C0C"/>
    <w:rsid w:val="00946E8A"/>
    <w:rsid w:val="009472AE"/>
    <w:rsid w:val="00950423"/>
    <w:rsid w:val="009507DC"/>
    <w:rsid w:val="009507EF"/>
    <w:rsid w:val="0095181C"/>
    <w:rsid w:val="00951F10"/>
    <w:rsid w:val="009525B7"/>
    <w:rsid w:val="009528F0"/>
    <w:rsid w:val="0095364B"/>
    <w:rsid w:val="00954241"/>
    <w:rsid w:val="00956101"/>
    <w:rsid w:val="00957753"/>
    <w:rsid w:val="009605C6"/>
    <w:rsid w:val="0096175E"/>
    <w:rsid w:val="00962C02"/>
    <w:rsid w:val="00962FBA"/>
    <w:rsid w:val="00963227"/>
    <w:rsid w:val="00963389"/>
    <w:rsid w:val="0096526B"/>
    <w:rsid w:val="00965A5C"/>
    <w:rsid w:val="00965B7F"/>
    <w:rsid w:val="00965BF3"/>
    <w:rsid w:val="00965D1A"/>
    <w:rsid w:val="009661AB"/>
    <w:rsid w:val="00966AED"/>
    <w:rsid w:val="00966F67"/>
    <w:rsid w:val="00970E8A"/>
    <w:rsid w:val="009710B5"/>
    <w:rsid w:val="009711CF"/>
    <w:rsid w:val="0097154C"/>
    <w:rsid w:val="0097231B"/>
    <w:rsid w:val="00972866"/>
    <w:rsid w:val="00972A6C"/>
    <w:rsid w:val="009733ED"/>
    <w:rsid w:val="00973653"/>
    <w:rsid w:val="00973C55"/>
    <w:rsid w:val="00974717"/>
    <w:rsid w:val="009748AB"/>
    <w:rsid w:val="00975FB6"/>
    <w:rsid w:val="00976D4F"/>
    <w:rsid w:val="00976EB0"/>
    <w:rsid w:val="0097704E"/>
    <w:rsid w:val="009772C6"/>
    <w:rsid w:val="00977BC9"/>
    <w:rsid w:val="00980500"/>
    <w:rsid w:val="00980AA4"/>
    <w:rsid w:val="00982364"/>
    <w:rsid w:val="00982E44"/>
    <w:rsid w:val="00983009"/>
    <w:rsid w:val="009834B6"/>
    <w:rsid w:val="009837E0"/>
    <w:rsid w:val="00983B29"/>
    <w:rsid w:val="00983FA6"/>
    <w:rsid w:val="00984495"/>
    <w:rsid w:val="0098468D"/>
    <w:rsid w:val="00985553"/>
    <w:rsid w:val="00985AE7"/>
    <w:rsid w:val="00986510"/>
    <w:rsid w:val="00986524"/>
    <w:rsid w:val="009877BA"/>
    <w:rsid w:val="0099148F"/>
    <w:rsid w:val="00991C4E"/>
    <w:rsid w:val="00991CC4"/>
    <w:rsid w:val="00993216"/>
    <w:rsid w:val="0099387D"/>
    <w:rsid w:val="009943EA"/>
    <w:rsid w:val="00994B2B"/>
    <w:rsid w:val="00994DDD"/>
    <w:rsid w:val="00995B7A"/>
    <w:rsid w:val="00996015"/>
    <w:rsid w:val="009960BC"/>
    <w:rsid w:val="00996ED8"/>
    <w:rsid w:val="009A02DA"/>
    <w:rsid w:val="009A0A07"/>
    <w:rsid w:val="009A0A6F"/>
    <w:rsid w:val="009A0C33"/>
    <w:rsid w:val="009A1748"/>
    <w:rsid w:val="009A1B3F"/>
    <w:rsid w:val="009A1E2B"/>
    <w:rsid w:val="009A244E"/>
    <w:rsid w:val="009A298E"/>
    <w:rsid w:val="009A2AD1"/>
    <w:rsid w:val="009A2C6A"/>
    <w:rsid w:val="009A4C4A"/>
    <w:rsid w:val="009A5444"/>
    <w:rsid w:val="009A54D3"/>
    <w:rsid w:val="009A5DF3"/>
    <w:rsid w:val="009A6074"/>
    <w:rsid w:val="009A6693"/>
    <w:rsid w:val="009A6F64"/>
    <w:rsid w:val="009A74A6"/>
    <w:rsid w:val="009B0378"/>
    <w:rsid w:val="009B1168"/>
    <w:rsid w:val="009B12EA"/>
    <w:rsid w:val="009B143A"/>
    <w:rsid w:val="009B1F3D"/>
    <w:rsid w:val="009B1F6C"/>
    <w:rsid w:val="009B51EE"/>
    <w:rsid w:val="009B54C9"/>
    <w:rsid w:val="009B58E8"/>
    <w:rsid w:val="009B5B4A"/>
    <w:rsid w:val="009B6D51"/>
    <w:rsid w:val="009B7819"/>
    <w:rsid w:val="009B7F79"/>
    <w:rsid w:val="009C07C9"/>
    <w:rsid w:val="009C0B20"/>
    <w:rsid w:val="009C0E1B"/>
    <w:rsid w:val="009C1AE9"/>
    <w:rsid w:val="009C2E1E"/>
    <w:rsid w:val="009C3167"/>
    <w:rsid w:val="009C32C8"/>
    <w:rsid w:val="009C3AFD"/>
    <w:rsid w:val="009C454F"/>
    <w:rsid w:val="009C4643"/>
    <w:rsid w:val="009C5709"/>
    <w:rsid w:val="009C6353"/>
    <w:rsid w:val="009C6929"/>
    <w:rsid w:val="009C6FA5"/>
    <w:rsid w:val="009C7958"/>
    <w:rsid w:val="009D0073"/>
    <w:rsid w:val="009D087C"/>
    <w:rsid w:val="009D1609"/>
    <w:rsid w:val="009D1956"/>
    <w:rsid w:val="009D1D2F"/>
    <w:rsid w:val="009D33AC"/>
    <w:rsid w:val="009D3A6D"/>
    <w:rsid w:val="009D4C89"/>
    <w:rsid w:val="009D62AA"/>
    <w:rsid w:val="009D6722"/>
    <w:rsid w:val="009E1EFE"/>
    <w:rsid w:val="009E2562"/>
    <w:rsid w:val="009E3F13"/>
    <w:rsid w:val="009E441A"/>
    <w:rsid w:val="009E447B"/>
    <w:rsid w:val="009E50CA"/>
    <w:rsid w:val="009E534E"/>
    <w:rsid w:val="009E5B49"/>
    <w:rsid w:val="009E7C34"/>
    <w:rsid w:val="009F1BD4"/>
    <w:rsid w:val="009F3C8F"/>
    <w:rsid w:val="009F46AE"/>
    <w:rsid w:val="009F5472"/>
    <w:rsid w:val="009F5840"/>
    <w:rsid w:val="009F62F3"/>
    <w:rsid w:val="009F6DBB"/>
    <w:rsid w:val="009F7749"/>
    <w:rsid w:val="009F7C2E"/>
    <w:rsid w:val="00A00348"/>
    <w:rsid w:val="00A004EB"/>
    <w:rsid w:val="00A01434"/>
    <w:rsid w:val="00A0174C"/>
    <w:rsid w:val="00A019AC"/>
    <w:rsid w:val="00A02596"/>
    <w:rsid w:val="00A029E8"/>
    <w:rsid w:val="00A02AEC"/>
    <w:rsid w:val="00A031B3"/>
    <w:rsid w:val="00A04120"/>
    <w:rsid w:val="00A041A1"/>
    <w:rsid w:val="00A04D4D"/>
    <w:rsid w:val="00A05B63"/>
    <w:rsid w:val="00A06A23"/>
    <w:rsid w:val="00A06D1B"/>
    <w:rsid w:val="00A07519"/>
    <w:rsid w:val="00A07B3F"/>
    <w:rsid w:val="00A10A6A"/>
    <w:rsid w:val="00A10BF8"/>
    <w:rsid w:val="00A10DA3"/>
    <w:rsid w:val="00A1131A"/>
    <w:rsid w:val="00A12319"/>
    <w:rsid w:val="00A12859"/>
    <w:rsid w:val="00A1362A"/>
    <w:rsid w:val="00A14D5B"/>
    <w:rsid w:val="00A1535D"/>
    <w:rsid w:val="00A15388"/>
    <w:rsid w:val="00A156C8"/>
    <w:rsid w:val="00A15A53"/>
    <w:rsid w:val="00A15A54"/>
    <w:rsid w:val="00A16F81"/>
    <w:rsid w:val="00A16FEB"/>
    <w:rsid w:val="00A173A3"/>
    <w:rsid w:val="00A209BF"/>
    <w:rsid w:val="00A21184"/>
    <w:rsid w:val="00A21E35"/>
    <w:rsid w:val="00A22F1A"/>
    <w:rsid w:val="00A233A3"/>
    <w:rsid w:val="00A24C21"/>
    <w:rsid w:val="00A2524D"/>
    <w:rsid w:val="00A25B87"/>
    <w:rsid w:val="00A25EE4"/>
    <w:rsid w:val="00A26843"/>
    <w:rsid w:val="00A26B52"/>
    <w:rsid w:val="00A2700A"/>
    <w:rsid w:val="00A2714A"/>
    <w:rsid w:val="00A277EB"/>
    <w:rsid w:val="00A31EB7"/>
    <w:rsid w:val="00A327C6"/>
    <w:rsid w:val="00A32DDE"/>
    <w:rsid w:val="00A32EB2"/>
    <w:rsid w:val="00A332EB"/>
    <w:rsid w:val="00A33535"/>
    <w:rsid w:val="00A34713"/>
    <w:rsid w:val="00A3477D"/>
    <w:rsid w:val="00A357F1"/>
    <w:rsid w:val="00A369A5"/>
    <w:rsid w:val="00A40EA2"/>
    <w:rsid w:val="00A4109A"/>
    <w:rsid w:val="00A41926"/>
    <w:rsid w:val="00A421E7"/>
    <w:rsid w:val="00A43085"/>
    <w:rsid w:val="00A43202"/>
    <w:rsid w:val="00A432A8"/>
    <w:rsid w:val="00A432BB"/>
    <w:rsid w:val="00A4363A"/>
    <w:rsid w:val="00A4388A"/>
    <w:rsid w:val="00A438C7"/>
    <w:rsid w:val="00A457C7"/>
    <w:rsid w:val="00A46BDA"/>
    <w:rsid w:val="00A472B8"/>
    <w:rsid w:val="00A4733B"/>
    <w:rsid w:val="00A47987"/>
    <w:rsid w:val="00A522F9"/>
    <w:rsid w:val="00A52D4E"/>
    <w:rsid w:val="00A53BD4"/>
    <w:rsid w:val="00A545E3"/>
    <w:rsid w:val="00A554F1"/>
    <w:rsid w:val="00A55E0C"/>
    <w:rsid w:val="00A56596"/>
    <w:rsid w:val="00A61AFF"/>
    <w:rsid w:val="00A620BE"/>
    <w:rsid w:val="00A62983"/>
    <w:rsid w:val="00A62E3A"/>
    <w:rsid w:val="00A62E50"/>
    <w:rsid w:val="00A6398A"/>
    <w:rsid w:val="00A65530"/>
    <w:rsid w:val="00A65D8B"/>
    <w:rsid w:val="00A66721"/>
    <w:rsid w:val="00A70329"/>
    <w:rsid w:val="00A7119B"/>
    <w:rsid w:val="00A711D9"/>
    <w:rsid w:val="00A71D24"/>
    <w:rsid w:val="00A7281C"/>
    <w:rsid w:val="00A72919"/>
    <w:rsid w:val="00A73100"/>
    <w:rsid w:val="00A73410"/>
    <w:rsid w:val="00A74675"/>
    <w:rsid w:val="00A753EB"/>
    <w:rsid w:val="00A757E2"/>
    <w:rsid w:val="00A75C82"/>
    <w:rsid w:val="00A76777"/>
    <w:rsid w:val="00A77BEB"/>
    <w:rsid w:val="00A80AE6"/>
    <w:rsid w:val="00A80BDD"/>
    <w:rsid w:val="00A8195B"/>
    <w:rsid w:val="00A826A5"/>
    <w:rsid w:val="00A83089"/>
    <w:rsid w:val="00A83C0C"/>
    <w:rsid w:val="00A84011"/>
    <w:rsid w:val="00A84571"/>
    <w:rsid w:val="00A8469B"/>
    <w:rsid w:val="00A8594F"/>
    <w:rsid w:val="00A86817"/>
    <w:rsid w:val="00A869EE"/>
    <w:rsid w:val="00A86A98"/>
    <w:rsid w:val="00A874AC"/>
    <w:rsid w:val="00A87DA6"/>
    <w:rsid w:val="00A9080D"/>
    <w:rsid w:val="00A908B2"/>
    <w:rsid w:val="00A90C00"/>
    <w:rsid w:val="00A90F3E"/>
    <w:rsid w:val="00A91506"/>
    <w:rsid w:val="00A919E5"/>
    <w:rsid w:val="00A92069"/>
    <w:rsid w:val="00A92210"/>
    <w:rsid w:val="00A92375"/>
    <w:rsid w:val="00A928B7"/>
    <w:rsid w:val="00A93056"/>
    <w:rsid w:val="00A93268"/>
    <w:rsid w:val="00A93329"/>
    <w:rsid w:val="00A9368E"/>
    <w:rsid w:val="00A93B12"/>
    <w:rsid w:val="00A94099"/>
    <w:rsid w:val="00A94588"/>
    <w:rsid w:val="00A94D34"/>
    <w:rsid w:val="00A95482"/>
    <w:rsid w:val="00A9568C"/>
    <w:rsid w:val="00A9752C"/>
    <w:rsid w:val="00A9754B"/>
    <w:rsid w:val="00A97D4C"/>
    <w:rsid w:val="00AA05F8"/>
    <w:rsid w:val="00AA1219"/>
    <w:rsid w:val="00AA18CD"/>
    <w:rsid w:val="00AA30B3"/>
    <w:rsid w:val="00AA3169"/>
    <w:rsid w:val="00AA38F9"/>
    <w:rsid w:val="00AA3F94"/>
    <w:rsid w:val="00AA3FBB"/>
    <w:rsid w:val="00AA401E"/>
    <w:rsid w:val="00AA4927"/>
    <w:rsid w:val="00AA4B3B"/>
    <w:rsid w:val="00AA51A8"/>
    <w:rsid w:val="00AA53D8"/>
    <w:rsid w:val="00AA5D41"/>
    <w:rsid w:val="00AA5EA8"/>
    <w:rsid w:val="00AA5ECD"/>
    <w:rsid w:val="00AA6721"/>
    <w:rsid w:val="00AA69EE"/>
    <w:rsid w:val="00AA710D"/>
    <w:rsid w:val="00AA7947"/>
    <w:rsid w:val="00AA7DA8"/>
    <w:rsid w:val="00AB001B"/>
    <w:rsid w:val="00AB1AD9"/>
    <w:rsid w:val="00AB2258"/>
    <w:rsid w:val="00AB2289"/>
    <w:rsid w:val="00AB24C3"/>
    <w:rsid w:val="00AB2659"/>
    <w:rsid w:val="00AB2F28"/>
    <w:rsid w:val="00AB3A71"/>
    <w:rsid w:val="00AB3B41"/>
    <w:rsid w:val="00AB3C51"/>
    <w:rsid w:val="00AB4568"/>
    <w:rsid w:val="00AB45BB"/>
    <w:rsid w:val="00AB47C9"/>
    <w:rsid w:val="00AB57FE"/>
    <w:rsid w:val="00AB6912"/>
    <w:rsid w:val="00AB71FD"/>
    <w:rsid w:val="00AB7A33"/>
    <w:rsid w:val="00AC03A2"/>
    <w:rsid w:val="00AC066F"/>
    <w:rsid w:val="00AC22A1"/>
    <w:rsid w:val="00AC2521"/>
    <w:rsid w:val="00AC2D87"/>
    <w:rsid w:val="00AC3272"/>
    <w:rsid w:val="00AC35CC"/>
    <w:rsid w:val="00AC38F1"/>
    <w:rsid w:val="00AC39A0"/>
    <w:rsid w:val="00AC3AF8"/>
    <w:rsid w:val="00AC56B0"/>
    <w:rsid w:val="00AC57AC"/>
    <w:rsid w:val="00AC5C65"/>
    <w:rsid w:val="00AC5FF7"/>
    <w:rsid w:val="00AC63D7"/>
    <w:rsid w:val="00AC673A"/>
    <w:rsid w:val="00AC762C"/>
    <w:rsid w:val="00AD0304"/>
    <w:rsid w:val="00AD044E"/>
    <w:rsid w:val="00AD1B65"/>
    <w:rsid w:val="00AD1D87"/>
    <w:rsid w:val="00AD1DE3"/>
    <w:rsid w:val="00AD1F79"/>
    <w:rsid w:val="00AD25DD"/>
    <w:rsid w:val="00AD2D70"/>
    <w:rsid w:val="00AD2F9E"/>
    <w:rsid w:val="00AD3A1A"/>
    <w:rsid w:val="00AD3BB2"/>
    <w:rsid w:val="00AD3D24"/>
    <w:rsid w:val="00AD49BE"/>
    <w:rsid w:val="00AD60A1"/>
    <w:rsid w:val="00AD6502"/>
    <w:rsid w:val="00AE03DC"/>
    <w:rsid w:val="00AE09D7"/>
    <w:rsid w:val="00AE0B27"/>
    <w:rsid w:val="00AE0C47"/>
    <w:rsid w:val="00AE0C9D"/>
    <w:rsid w:val="00AE1C58"/>
    <w:rsid w:val="00AE1CEC"/>
    <w:rsid w:val="00AE1E56"/>
    <w:rsid w:val="00AE29E7"/>
    <w:rsid w:val="00AE377C"/>
    <w:rsid w:val="00AE38A2"/>
    <w:rsid w:val="00AE3D20"/>
    <w:rsid w:val="00AE4100"/>
    <w:rsid w:val="00AE416D"/>
    <w:rsid w:val="00AE46F3"/>
    <w:rsid w:val="00AE5F13"/>
    <w:rsid w:val="00AE64E7"/>
    <w:rsid w:val="00AF0F9F"/>
    <w:rsid w:val="00AF1222"/>
    <w:rsid w:val="00AF12E7"/>
    <w:rsid w:val="00AF1BDA"/>
    <w:rsid w:val="00AF26C6"/>
    <w:rsid w:val="00AF3143"/>
    <w:rsid w:val="00AF317D"/>
    <w:rsid w:val="00AF3761"/>
    <w:rsid w:val="00AF4038"/>
    <w:rsid w:val="00AF463D"/>
    <w:rsid w:val="00AF6B9F"/>
    <w:rsid w:val="00AF7187"/>
    <w:rsid w:val="00AF7512"/>
    <w:rsid w:val="00B0068B"/>
    <w:rsid w:val="00B014C7"/>
    <w:rsid w:val="00B0155A"/>
    <w:rsid w:val="00B01876"/>
    <w:rsid w:val="00B019B8"/>
    <w:rsid w:val="00B01AC9"/>
    <w:rsid w:val="00B020CD"/>
    <w:rsid w:val="00B02459"/>
    <w:rsid w:val="00B0286D"/>
    <w:rsid w:val="00B02B7C"/>
    <w:rsid w:val="00B03D04"/>
    <w:rsid w:val="00B045D5"/>
    <w:rsid w:val="00B04747"/>
    <w:rsid w:val="00B04992"/>
    <w:rsid w:val="00B04A5B"/>
    <w:rsid w:val="00B04D68"/>
    <w:rsid w:val="00B05681"/>
    <w:rsid w:val="00B06531"/>
    <w:rsid w:val="00B06577"/>
    <w:rsid w:val="00B0695C"/>
    <w:rsid w:val="00B0713F"/>
    <w:rsid w:val="00B07541"/>
    <w:rsid w:val="00B07AEC"/>
    <w:rsid w:val="00B07CA0"/>
    <w:rsid w:val="00B101B8"/>
    <w:rsid w:val="00B103D1"/>
    <w:rsid w:val="00B1045C"/>
    <w:rsid w:val="00B10B3F"/>
    <w:rsid w:val="00B10CB3"/>
    <w:rsid w:val="00B10FEA"/>
    <w:rsid w:val="00B11401"/>
    <w:rsid w:val="00B12D05"/>
    <w:rsid w:val="00B12D43"/>
    <w:rsid w:val="00B142D4"/>
    <w:rsid w:val="00B143EE"/>
    <w:rsid w:val="00B1461E"/>
    <w:rsid w:val="00B15081"/>
    <w:rsid w:val="00B154FE"/>
    <w:rsid w:val="00B156A2"/>
    <w:rsid w:val="00B15C02"/>
    <w:rsid w:val="00B16899"/>
    <w:rsid w:val="00B16C51"/>
    <w:rsid w:val="00B17F89"/>
    <w:rsid w:val="00B204BD"/>
    <w:rsid w:val="00B20A0E"/>
    <w:rsid w:val="00B20CD2"/>
    <w:rsid w:val="00B23BA5"/>
    <w:rsid w:val="00B23EFE"/>
    <w:rsid w:val="00B24D16"/>
    <w:rsid w:val="00B24EC7"/>
    <w:rsid w:val="00B24F70"/>
    <w:rsid w:val="00B259AA"/>
    <w:rsid w:val="00B26662"/>
    <w:rsid w:val="00B26F19"/>
    <w:rsid w:val="00B27660"/>
    <w:rsid w:val="00B30806"/>
    <w:rsid w:val="00B308FE"/>
    <w:rsid w:val="00B3090E"/>
    <w:rsid w:val="00B3230B"/>
    <w:rsid w:val="00B330B3"/>
    <w:rsid w:val="00B330F0"/>
    <w:rsid w:val="00B3336F"/>
    <w:rsid w:val="00B33F50"/>
    <w:rsid w:val="00B34000"/>
    <w:rsid w:val="00B34B22"/>
    <w:rsid w:val="00B35424"/>
    <w:rsid w:val="00B35733"/>
    <w:rsid w:val="00B35925"/>
    <w:rsid w:val="00B35AA7"/>
    <w:rsid w:val="00B35E32"/>
    <w:rsid w:val="00B36915"/>
    <w:rsid w:val="00B40C44"/>
    <w:rsid w:val="00B42716"/>
    <w:rsid w:val="00B43528"/>
    <w:rsid w:val="00B46EC4"/>
    <w:rsid w:val="00B4718E"/>
    <w:rsid w:val="00B47740"/>
    <w:rsid w:val="00B47AB8"/>
    <w:rsid w:val="00B47FF9"/>
    <w:rsid w:val="00B50187"/>
    <w:rsid w:val="00B51070"/>
    <w:rsid w:val="00B5160C"/>
    <w:rsid w:val="00B51A14"/>
    <w:rsid w:val="00B51BCA"/>
    <w:rsid w:val="00B53B7A"/>
    <w:rsid w:val="00B5475D"/>
    <w:rsid w:val="00B54C33"/>
    <w:rsid w:val="00B55A0C"/>
    <w:rsid w:val="00B56CB2"/>
    <w:rsid w:val="00B61DB3"/>
    <w:rsid w:val="00B62855"/>
    <w:rsid w:val="00B63160"/>
    <w:rsid w:val="00B63AE6"/>
    <w:rsid w:val="00B6458F"/>
    <w:rsid w:val="00B645EE"/>
    <w:rsid w:val="00B65B2E"/>
    <w:rsid w:val="00B662A7"/>
    <w:rsid w:val="00B671A5"/>
    <w:rsid w:val="00B67F43"/>
    <w:rsid w:val="00B71343"/>
    <w:rsid w:val="00B71418"/>
    <w:rsid w:val="00B718A5"/>
    <w:rsid w:val="00B71983"/>
    <w:rsid w:val="00B7199A"/>
    <w:rsid w:val="00B71E01"/>
    <w:rsid w:val="00B71EFF"/>
    <w:rsid w:val="00B72925"/>
    <w:rsid w:val="00B729E6"/>
    <w:rsid w:val="00B72DA2"/>
    <w:rsid w:val="00B7387F"/>
    <w:rsid w:val="00B73AA9"/>
    <w:rsid w:val="00B73CDE"/>
    <w:rsid w:val="00B73CF1"/>
    <w:rsid w:val="00B74FB1"/>
    <w:rsid w:val="00B75044"/>
    <w:rsid w:val="00B75289"/>
    <w:rsid w:val="00B757C1"/>
    <w:rsid w:val="00B758A9"/>
    <w:rsid w:val="00B7708C"/>
    <w:rsid w:val="00B7713C"/>
    <w:rsid w:val="00B776DC"/>
    <w:rsid w:val="00B77C2F"/>
    <w:rsid w:val="00B80319"/>
    <w:rsid w:val="00B806EB"/>
    <w:rsid w:val="00B8086F"/>
    <w:rsid w:val="00B809F9"/>
    <w:rsid w:val="00B80FE4"/>
    <w:rsid w:val="00B81833"/>
    <w:rsid w:val="00B82597"/>
    <w:rsid w:val="00B8327B"/>
    <w:rsid w:val="00B835B8"/>
    <w:rsid w:val="00B83807"/>
    <w:rsid w:val="00B83B02"/>
    <w:rsid w:val="00B854A6"/>
    <w:rsid w:val="00B85A29"/>
    <w:rsid w:val="00B86A69"/>
    <w:rsid w:val="00B86B1E"/>
    <w:rsid w:val="00B86BE5"/>
    <w:rsid w:val="00B871B2"/>
    <w:rsid w:val="00B87752"/>
    <w:rsid w:val="00B90CC9"/>
    <w:rsid w:val="00B91966"/>
    <w:rsid w:val="00B91D45"/>
    <w:rsid w:val="00B93227"/>
    <w:rsid w:val="00B93DDA"/>
    <w:rsid w:val="00B94F2A"/>
    <w:rsid w:val="00B9566A"/>
    <w:rsid w:val="00B9680F"/>
    <w:rsid w:val="00B971B9"/>
    <w:rsid w:val="00B9766D"/>
    <w:rsid w:val="00BA0165"/>
    <w:rsid w:val="00BA07EB"/>
    <w:rsid w:val="00BA1700"/>
    <w:rsid w:val="00BA1B08"/>
    <w:rsid w:val="00BA22FD"/>
    <w:rsid w:val="00BA2E86"/>
    <w:rsid w:val="00BA3D26"/>
    <w:rsid w:val="00BA51A7"/>
    <w:rsid w:val="00BA5D8D"/>
    <w:rsid w:val="00BA621F"/>
    <w:rsid w:val="00BA6797"/>
    <w:rsid w:val="00BB26F0"/>
    <w:rsid w:val="00BB2D27"/>
    <w:rsid w:val="00BB42D9"/>
    <w:rsid w:val="00BB623E"/>
    <w:rsid w:val="00BB62ED"/>
    <w:rsid w:val="00BB62EF"/>
    <w:rsid w:val="00BB6688"/>
    <w:rsid w:val="00BB71F5"/>
    <w:rsid w:val="00BB76A3"/>
    <w:rsid w:val="00BB7C46"/>
    <w:rsid w:val="00BC004A"/>
    <w:rsid w:val="00BC1102"/>
    <w:rsid w:val="00BC16C6"/>
    <w:rsid w:val="00BC181F"/>
    <w:rsid w:val="00BC1D5B"/>
    <w:rsid w:val="00BC21D6"/>
    <w:rsid w:val="00BC2CD7"/>
    <w:rsid w:val="00BC2F73"/>
    <w:rsid w:val="00BC3341"/>
    <w:rsid w:val="00BC33CE"/>
    <w:rsid w:val="00BC4228"/>
    <w:rsid w:val="00BC472E"/>
    <w:rsid w:val="00BC4825"/>
    <w:rsid w:val="00BC5F85"/>
    <w:rsid w:val="00BC664E"/>
    <w:rsid w:val="00BC6AF2"/>
    <w:rsid w:val="00BC6E40"/>
    <w:rsid w:val="00BC794D"/>
    <w:rsid w:val="00BD0D26"/>
    <w:rsid w:val="00BD10E7"/>
    <w:rsid w:val="00BD1B9A"/>
    <w:rsid w:val="00BD1D38"/>
    <w:rsid w:val="00BD2211"/>
    <w:rsid w:val="00BD2D00"/>
    <w:rsid w:val="00BD329B"/>
    <w:rsid w:val="00BD3E12"/>
    <w:rsid w:val="00BD480F"/>
    <w:rsid w:val="00BD48CC"/>
    <w:rsid w:val="00BD4A45"/>
    <w:rsid w:val="00BD4FC6"/>
    <w:rsid w:val="00BD5828"/>
    <w:rsid w:val="00BD6079"/>
    <w:rsid w:val="00BD625E"/>
    <w:rsid w:val="00BD708A"/>
    <w:rsid w:val="00BD7D67"/>
    <w:rsid w:val="00BE0826"/>
    <w:rsid w:val="00BE14D0"/>
    <w:rsid w:val="00BE233F"/>
    <w:rsid w:val="00BE2D03"/>
    <w:rsid w:val="00BE2F0B"/>
    <w:rsid w:val="00BE4E77"/>
    <w:rsid w:val="00BE5512"/>
    <w:rsid w:val="00BE5FC2"/>
    <w:rsid w:val="00BE657C"/>
    <w:rsid w:val="00BE6853"/>
    <w:rsid w:val="00BE735E"/>
    <w:rsid w:val="00BE73B3"/>
    <w:rsid w:val="00BE7C74"/>
    <w:rsid w:val="00BE7DDE"/>
    <w:rsid w:val="00BF0584"/>
    <w:rsid w:val="00BF072D"/>
    <w:rsid w:val="00BF0A70"/>
    <w:rsid w:val="00BF1487"/>
    <w:rsid w:val="00BF2CD2"/>
    <w:rsid w:val="00BF3479"/>
    <w:rsid w:val="00BF3698"/>
    <w:rsid w:val="00BF3DE2"/>
    <w:rsid w:val="00BF3F6C"/>
    <w:rsid w:val="00BF4BFE"/>
    <w:rsid w:val="00BF505A"/>
    <w:rsid w:val="00BF561C"/>
    <w:rsid w:val="00BF74C2"/>
    <w:rsid w:val="00BF755E"/>
    <w:rsid w:val="00C001D0"/>
    <w:rsid w:val="00C00A9F"/>
    <w:rsid w:val="00C02099"/>
    <w:rsid w:val="00C02BC8"/>
    <w:rsid w:val="00C02CD1"/>
    <w:rsid w:val="00C03652"/>
    <w:rsid w:val="00C055D5"/>
    <w:rsid w:val="00C0585D"/>
    <w:rsid w:val="00C059C0"/>
    <w:rsid w:val="00C066A9"/>
    <w:rsid w:val="00C07D5C"/>
    <w:rsid w:val="00C1026A"/>
    <w:rsid w:val="00C11561"/>
    <w:rsid w:val="00C11A16"/>
    <w:rsid w:val="00C121A8"/>
    <w:rsid w:val="00C12AFB"/>
    <w:rsid w:val="00C12E03"/>
    <w:rsid w:val="00C14F09"/>
    <w:rsid w:val="00C15B90"/>
    <w:rsid w:val="00C16EFD"/>
    <w:rsid w:val="00C1718D"/>
    <w:rsid w:val="00C17BBC"/>
    <w:rsid w:val="00C17E34"/>
    <w:rsid w:val="00C21964"/>
    <w:rsid w:val="00C22F75"/>
    <w:rsid w:val="00C2333E"/>
    <w:rsid w:val="00C23BBD"/>
    <w:rsid w:val="00C24B46"/>
    <w:rsid w:val="00C24D68"/>
    <w:rsid w:val="00C25525"/>
    <w:rsid w:val="00C27343"/>
    <w:rsid w:val="00C2771C"/>
    <w:rsid w:val="00C277EE"/>
    <w:rsid w:val="00C27C85"/>
    <w:rsid w:val="00C30417"/>
    <w:rsid w:val="00C30826"/>
    <w:rsid w:val="00C30961"/>
    <w:rsid w:val="00C309DF"/>
    <w:rsid w:val="00C30ABA"/>
    <w:rsid w:val="00C32A19"/>
    <w:rsid w:val="00C32C1C"/>
    <w:rsid w:val="00C33BE0"/>
    <w:rsid w:val="00C33C21"/>
    <w:rsid w:val="00C33DDA"/>
    <w:rsid w:val="00C341A4"/>
    <w:rsid w:val="00C3448D"/>
    <w:rsid w:val="00C345FA"/>
    <w:rsid w:val="00C346BC"/>
    <w:rsid w:val="00C351E4"/>
    <w:rsid w:val="00C3540E"/>
    <w:rsid w:val="00C36557"/>
    <w:rsid w:val="00C36790"/>
    <w:rsid w:val="00C3718A"/>
    <w:rsid w:val="00C37EB3"/>
    <w:rsid w:val="00C4064A"/>
    <w:rsid w:val="00C4208B"/>
    <w:rsid w:val="00C422E5"/>
    <w:rsid w:val="00C4233A"/>
    <w:rsid w:val="00C45633"/>
    <w:rsid w:val="00C4565E"/>
    <w:rsid w:val="00C458C8"/>
    <w:rsid w:val="00C458E4"/>
    <w:rsid w:val="00C45D93"/>
    <w:rsid w:val="00C4641E"/>
    <w:rsid w:val="00C467C7"/>
    <w:rsid w:val="00C46AE5"/>
    <w:rsid w:val="00C47F4C"/>
    <w:rsid w:val="00C5003A"/>
    <w:rsid w:val="00C505C6"/>
    <w:rsid w:val="00C50E3C"/>
    <w:rsid w:val="00C5103F"/>
    <w:rsid w:val="00C51629"/>
    <w:rsid w:val="00C51D51"/>
    <w:rsid w:val="00C52AD0"/>
    <w:rsid w:val="00C531A6"/>
    <w:rsid w:val="00C542F3"/>
    <w:rsid w:val="00C54A8F"/>
    <w:rsid w:val="00C54ABC"/>
    <w:rsid w:val="00C55381"/>
    <w:rsid w:val="00C55E06"/>
    <w:rsid w:val="00C56BEB"/>
    <w:rsid w:val="00C577DC"/>
    <w:rsid w:val="00C57AAA"/>
    <w:rsid w:val="00C60FC6"/>
    <w:rsid w:val="00C6138E"/>
    <w:rsid w:val="00C6164F"/>
    <w:rsid w:val="00C61CA7"/>
    <w:rsid w:val="00C6219C"/>
    <w:rsid w:val="00C62B2F"/>
    <w:rsid w:val="00C632F2"/>
    <w:rsid w:val="00C63717"/>
    <w:rsid w:val="00C638F3"/>
    <w:rsid w:val="00C63932"/>
    <w:rsid w:val="00C63C00"/>
    <w:rsid w:val="00C641E4"/>
    <w:rsid w:val="00C655F0"/>
    <w:rsid w:val="00C65AAD"/>
    <w:rsid w:val="00C66621"/>
    <w:rsid w:val="00C671A5"/>
    <w:rsid w:val="00C67A5E"/>
    <w:rsid w:val="00C67CAA"/>
    <w:rsid w:val="00C67E33"/>
    <w:rsid w:val="00C67FBE"/>
    <w:rsid w:val="00C704D9"/>
    <w:rsid w:val="00C70842"/>
    <w:rsid w:val="00C70F08"/>
    <w:rsid w:val="00C71000"/>
    <w:rsid w:val="00C71EB0"/>
    <w:rsid w:val="00C721FC"/>
    <w:rsid w:val="00C725CB"/>
    <w:rsid w:val="00C72A11"/>
    <w:rsid w:val="00C72B29"/>
    <w:rsid w:val="00C7398C"/>
    <w:rsid w:val="00C745CE"/>
    <w:rsid w:val="00C74F50"/>
    <w:rsid w:val="00C75023"/>
    <w:rsid w:val="00C777A4"/>
    <w:rsid w:val="00C800ED"/>
    <w:rsid w:val="00C80DD8"/>
    <w:rsid w:val="00C8134C"/>
    <w:rsid w:val="00C81445"/>
    <w:rsid w:val="00C82358"/>
    <w:rsid w:val="00C82C2F"/>
    <w:rsid w:val="00C82EDB"/>
    <w:rsid w:val="00C8334D"/>
    <w:rsid w:val="00C83A5D"/>
    <w:rsid w:val="00C84237"/>
    <w:rsid w:val="00C84428"/>
    <w:rsid w:val="00C851CC"/>
    <w:rsid w:val="00C868CD"/>
    <w:rsid w:val="00C86B75"/>
    <w:rsid w:val="00C86CDC"/>
    <w:rsid w:val="00C87019"/>
    <w:rsid w:val="00C87079"/>
    <w:rsid w:val="00C8709C"/>
    <w:rsid w:val="00C87F1B"/>
    <w:rsid w:val="00C87FC1"/>
    <w:rsid w:val="00C90DDF"/>
    <w:rsid w:val="00C914C7"/>
    <w:rsid w:val="00C91EA4"/>
    <w:rsid w:val="00C92077"/>
    <w:rsid w:val="00C92E2B"/>
    <w:rsid w:val="00C93CCE"/>
    <w:rsid w:val="00C93F2A"/>
    <w:rsid w:val="00C9417F"/>
    <w:rsid w:val="00C9429A"/>
    <w:rsid w:val="00C94654"/>
    <w:rsid w:val="00C946C0"/>
    <w:rsid w:val="00C9478F"/>
    <w:rsid w:val="00C94B0D"/>
    <w:rsid w:val="00C94E66"/>
    <w:rsid w:val="00C95CE7"/>
    <w:rsid w:val="00C965E3"/>
    <w:rsid w:val="00C96B7C"/>
    <w:rsid w:val="00C96D84"/>
    <w:rsid w:val="00C97165"/>
    <w:rsid w:val="00CA03A0"/>
    <w:rsid w:val="00CA1704"/>
    <w:rsid w:val="00CA1FD1"/>
    <w:rsid w:val="00CA213B"/>
    <w:rsid w:val="00CA25F4"/>
    <w:rsid w:val="00CA2F15"/>
    <w:rsid w:val="00CA3508"/>
    <w:rsid w:val="00CA3A05"/>
    <w:rsid w:val="00CA409B"/>
    <w:rsid w:val="00CA4808"/>
    <w:rsid w:val="00CA4C2B"/>
    <w:rsid w:val="00CA6745"/>
    <w:rsid w:val="00CA6B34"/>
    <w:rsid w:val="00CA6B7C"/>
    <w:rsid w:val="00CA6D03"/>
    <w:rsid w:val="00CA6F03"/>
    <w:rsid w:val="00CA79B7"/>
    <w:rsid w:val="00CA7B7A"/>
    <w:rsid w:val="00CB082F"/>
    <w:rsid w:val="00CB0C50"/>
    <w:rsid w:val="00CB145D"/>
    <w:rsid w:val="00CB1DD0"/>
    <w:rsid w:val="00CB20DD"/>
    <w:rsid w:val="00CB27FA"/>
    <w:rsid w:val="00CB2B52"/>
    <w:rsid w:val="00CB2CD0"/>
    <w:rsid w:val="00CB3D9C"/>
    <w:rsid w:val="00CB549E"/>
    <w:rsid w:val="00CB54C7"/>
    <w:rsid w:val="00CB5CFF"/>
    <w:rsid w:val="00CB5D12"/>
    <w:rsid w:val="00CB5FA2"/>
    <w:rsid w:val="00CB6B78"/>
    <w:rsid w:val="00CB73C8"/>
    <w:rsid w:val="00CB76C1"/>
    <w:rsid w:val="00CB7B01"/>
    <w:rsid w:val="00CC02CE"/>
    <w:rsid w:val="00CC03EB"/>
    <w:rsid w:val="00CC0EA2"/>
    <w:rsid w:val="00CC0F1C"/>
    <w:rsid w:val="00CC14FF"/>
    <w:rsid w:val="00CC1B74"/>
    <w:rsid w:val="00CC21A8"/>
    <w:rsid w:val="00CC2624"/>
    <w:rsid w:val="00CC2EA6"/>
    <w:rsid w:val="00CC5103"/>
    <w:rsid w:val="00CC5AB9"/>
    <w:rsid w:val="00CC5E61"/>
    <w:rsid w:val="00CC620E"/>
    <w:rsid w:val="00CC69D3"/>
    <w:rsid w:val="00CC73FE"/>
    <w:rsid w:val="00CD03D7"/>
    <w:rsid w:val="00CD0413"/>
    <w:rsid w:val="00CD10D6"/>
    <w:rsid w:val="00CD1155"/>
    <w:rsid w:val="00CD24A7"/>
    <w:rsid w:val="00CD25E4"/>
    <w:rsid w:val="00CD47BD"/>
    <w:rsid w:val="00CD4B57"/>
    <w:rsid w:val="00CD7E86"/>
    <w:rsid w:val="00CE05F9"/>
    <w:rsid w:val="00CE06B4"/>
    <w:rsid w:val="00CE06F6"/>
    <w:rsid w:val="00CE1B6E"/>
    <w:rsid w:val="00CE1C8C"/>
    <w:rsid w:val="00CE1CFE"/>
    <w:rsid w:val="00CE2411"/>
    <w:rsid w:val="00CE2838"/>
    <w:rsid w:val="00CE3570"/>
    <w:rsid w:val="00CE402F"/>
    <w:rsid w:val="00CE46B7"/>
    <w:rsid w:val="00CE479B"/>
    <w:rsid w:val="00CE5E88"/>
    <w:rsid w:val="00CE7A0C"/>
    <w:rsid w:val="00CE7C1A"/>
    <w:rsid w:val="00CE7D95"/>
    <w:rsid w:val="00CF14A8"/>
    <w:rsid w:val="00CF1642"/>
    <w:rsid w:val="00CF19DE"/>
    <w:rsid w:val="00CF1C22"/>
    <w:rsid w:val="00CF220E"/>
    <w:rsid w:val="00CF271C"/>
    <w:rsid w:val="00CF3327"/>
    <w:rsid w:val="00CF3917"/>
    <w:rsid w:val="00CF42A3"/>
    <w:rsid w:val="00CF48A2"/>
    <w:rsid w:val="00CF4F1D"/>
    <w:rsid w:val="00CF5ACA"/>
    <w:rsid w:val="00CF61B5"/>
    <w:rsid w:val="00CF66B5"/>
    <w:rsid w:val="00CF6ABD"/>
    <w:rsid w:val="00CF760B"/>
    <w:rsid w:val="00CF775C"/>
    <w:rsid w:val="00CF7768"/>
    <w:rsid w:val="00CF7B3E"/>
    <w:rsid w:val="00CF7D7C"/>
    <w:rsid w:val="00D001EE"/>
    <w:rsid w:val="00D0056A"/>
    <w:rsid w:val="00D010AF"/>
    <w:rsid w:val="00D01910"/>
    <w:rsid w:val="00D01AA3"/>
    <w:rsid w:val="00D01DE0"/>
    <w:rsid w:val="00D03283"/>
    <w:rsid w:val="00D03611"/>
    <w:rsid w:val="00D03E75"/>
    <w:rsid w:val="00D046A1"/>
    <w:rsid w:val="00D04EC6"/>
    <w:rsid w:val="00D052A3"/>
    <w:rsid w:val="00D060C3"/>
    <w:rsid w:val="00D06F32"/>
    <w:rsid w:val="00D07AB7"/>
    <w:rsid w:val="00D10262"/>
    <w:rsid w:val="00D107A1"/>
    <w:rsid w:val="00D10CAC"/>
    <w:rsid w:val="00D1162C"/>
    <w:rsid w:val="00D1314E"/>
    <w:rsid w:val="00D13CB5"/>
    <w:rsid w:val="00D13D8D"/>
    <w:rsid w:val="00D14A48"/>
    <w:rsid w:val="00D14EC9"/>
    <w:rsid w:val="00D15578"/>
    <w:rsid w:val="00D155EC"/>
    <w:rsid w:val="00D15CD6"/>
    <w:rsid w:val="00D16630"/>
    <w:rsid w:val="00D16714"/>
    <w:rsid w:val="00D16FB3"/>
    <w:rsid w:val="00D1736C"/>
    <w:rsid w:val="00D1750D"/>
    <w:rsid w:val="00D2003E"/>
    <w:rsid w:val="00D20977"/>
    <w:rsid w:val="00D219F7"/>
    <w:rsid w:val="00D21C04"/>
    <w:rsid w:val="00D21E8F"/>
    <w:rsid w:val="00D21EEB"/>
    <w:rsid w:val="00D221FA"/>
    <w:rsid w:val="00D22952"/>
    <w:rsid w:val="00D22CB8"/>
    <w:rsid w:val="00D23049"/>
    <w:rsid w:val="00D230ED"/>
    <w:rsid w:val="00D23114"/>
    <w:rsid w:val="00D243CD"/>
    <w:rsid w:val="00D24D79"/>
    <w:rsid w:val="00D262A7"/>
    <w:rsid w:val="00D2638C"/>
    <w:rsid w:val="00D2711F"/>
    <w:rsid w:val="00D276F3"/>
    <w:rsid w:val="00D27B79"/>
    <w:rsid w:val="00D30135"/>
    <w:rsid w:val="00D30269"/>
    <w:rsid w:val="00D303AA"/>
    <w:rsid w:val="00D30D48"/>
    <w:rsid w:val="00D316B4"/>
    <w:rsid w:val="00D32555"/>
    <w:rsid w:val="00D341C1"/>
    <w:rsid w:val="00D34D5F"/>
    <w:rsid w:val="00D35112"/>
    <w:rsid w:val="00D35483"/>
    <w:rsid w:val="00D35A1B"/>
    <w:rsid w:val="00D362BF"/>
    <w:rsid w:val="00D367C4"/>
    <w:rsid w:val="00D36FC4"/>
    <w:rsid w:val="00D378AE"/>
    <w:rsid w:val="00D40405"/>
    <w:rsid w:val="00D41D32"/>
    <w:rsid w:val="00D41EC8"/>
    <w:rsid w:val="00D422FE"/>
    <w:rsid w:val="00D42BD5"/>
    <w:rsid w:val="00D431D0"/>
    <w:rsid w:val="00D43268"/>
    <w:rsid w:val="00D440C5"/>
    <w:rsid w:val="00D44186"/>
    <w:rsid w:val="00D4497B"/>
    <w:rsid w:val="00D44ECB"/>
    <w:rsid w:val="00D454BD"/>
    <w:rsid w:val="00D46477"/>
    <w:rsid w:val="00D46849"/>
    <w:rsid w:val="00D46B8F"/>
    <w:rsid w:val="00D47D3F"/>
    <w:rsid w:val="00D51A46"/>
    <w:rsid w:val="00D52B99"/>
    <w:rsid w:val="00D53610"/>
    <w:rsid w:val="00D53BA8"/>
    <w:rsid w:val="00D549C1"/>
    <w:rsid w:val="00D5619E"/>
    <w:rsid w:val="00D562F5"/>
    <w:rsid w:val="00D57064"/>
    <w:rsid w:val="00D572C1"/>
    <w:rsid w:val="00D5738E"/>
    <w:rsid w:val="00D57C27"/>
    <w:rsid w:val="00D60D60"/>
    <w:rsid w:val="00D61709"/>
    <w:rsid w:val="00D61BBC"/>
    <w:rsid w:val="00D62265"/>
    <w:rsid w:val="00D62332"/>
    <w:rsid w:val="00D62871"/>
    <w:rsid w:val="00D6321F"/>
    <w:rsid w:val="00D64098"/>
    <w:rsid w:val="00D65EAF"/>
    <w:rsid w:val="00D66AEC"/>
    <w:rsid w:val="00D66E99"/>
    <w:rsid w:val="00D6740A"/>
    <w:rsid w:val="00D6774B"/>
    <w:rsid w:val="00D70130"/>
    <w:rsid w:val="00D708D8"/>
    <w:rsid w:val="00D71050"/>
    <w:rsid w:val="00D717FE"/>
    <w:rsid w:val="00D7187A"/>
    <w:rsid w:val="00D74194"/>
    <w:rsid w:val="00D74771"/>
    <w:rsid w:val="00D74B38"/>
    <w:rsid w:val="00D75852"/>
    <w:rsid w:val="00D75C13"/>
    <w:rsid w:val="00D76DA6"/>
    <w:rsid w:val="00D76FEF"/>
    <w:rsid w:val="00D77DE3"/>
    <w:rsid w:val="00D80173"/>
    <w:rsid w:val="00D813A0"/>
    <w:rsid w:val="00D814E1"/>
    <w:rsid w:val="00D81B7D"/>
    <w:rsid w:val="00D82316"/>
    <w:rsid w:val="00D82374"/>
    <w:rsid w:val="00D84280"/>
    <w:rsid w:val="00D85431"/>
    <w:rsid w:val="00D87394"/>
    <w:rsid w:val="00D87550"/>
    <w:rsid w:val="00D92A06"/>
    <w:rsid w:val="00D933AC"/>
    <w:rsid w:val="00D93B7E"/>
    <w:rsid w:val="00D9571E"/>
    <w:rsid w:val="00D96BFA"/>
    <w:rsid w:val="00D9756F"/>
    <w:rsid w:val="00D97DA7"/>
    <w:rsid w:val="00DA0C4A"/>
    <w:rsid w:val="00DA1890"/>
    <w:rsid w:val="00DA1CF6"/>
    <w:rsid w:val="00DA1FD9"/>
    <w:rsid w:val="00DA2127"/>
    <w:rsid w:val="00DA2840"/>
    <w:rsid w:val="00DA2CED"/>
    <w:rsid w:val="00DA3305"/>
    <w:rsid w:val="00DA35B4"/>
    <w:rsid w:val="00DA3ADE"/>
    <w:rsid w:val="00DA6046"/>
    <w:rsid w:val="00DA6AA6"/>
    <w:rsid w:val="00DA6AF9"/>
    <w:rsid w:val="00DA6FFE"/>
    <w:rsid w:val="00DA78EB"/>
    <w:rsid w:val="00DB0008"/>
    <w:rsid w:val="00DB046F"/>
    <w:rsid w:val="00DB047F"/>
    <w:rsid w:val="00DB05B1"/>
    <w:rsid w:val="00DB0970"/>
    <w:rsid w:val="00DB11BF"/>
    <w:rsid w:val="00DB1677"/>
    <w:rsid w:val="00DB1E2F"/>
    <w:rsid w:val="00DB1F6C"/>
    <w:rsid w:val="00DB44DB"/>
    <w:rsid w:val="00DB5014"/>
    <w:rsid w:val="00DB53CD"/>
    <w:rsid w:val="00DB5E56"/>
    <w:rsid w:val="00DB6F19"/>
    <w:rsid w:val="00DB71F9"/>
    <w:rsid w:val="00DC0BE2"/>
    <w:rsid w:val="00DC3A52"/>
    <w:rsid w:val="00DC3FBF"/>
    <w:rsid w:val="00DC6D00"/>
    <w:rsid w:val="00DC77A8"/>
    <w:rsid w:val="00DC783C"/>
    <w:rsid w:val="00DD0508"/>
    <w:rsid w:val="00DD0553"/>
    <w:rsid w:val="00DD0731"/>
    <w:rsid w:val="00DD20D2"/>
    <w:rsid w:val="00DD2330"/>
    <w:rsid w:val="00DD23E1"/>
    <w:rsid w:val="00DD2B31"/>
    <w:rsid w:val="00DD40D5"/>
    <w:rsid w:val="00DD47CF"/>
    <w:rsid w:val="00DD4DF9"/>
    <w:rsid w:val="00DD7486"/>
    <w:rsid w:val="00DD7AFA"/>
    <w:rsid w:val="00DD7BDB"/>
    <w:rsid w:val="00DE06E8"/>
    <w:rsid w:val="00DE084C"/>
    <w:rsid w:val="00DE08EB"/>
    <w:rsid w:val="00DE0D32"/>
    <w:rsid w:val="00DE1CF2"/>
    <w:rsid w:val="00DE1E8D"/>
    <w:rsid w:val="00DE3A49"/>
    <w:rsid w:val="00DE3D03"/>
    <w:rsid w:val="00DE40AA"/>
    <w:rsid w:val="00DE42DC"/>
    <w:rsid w:val="00DE4427"/>
    <w:rsid w:val="00DE47BE"/>
    <w:rsid w:val="00DE679F"/>
    <w:rsid w:val="00DE6DA6"/>
    <w:rsid w:val="00DE7F81"/>
    <w:rsid w:val="00DF089D"/>
    <w:rsid w:val="00DF0950"/>
    <w:rsid w:val="00DF1627"/>
    <w:rsid w:val="00DF1A45"/>
    <w:rsid w:val="00DF1B8B"/>
    <w:rsid w:val="00DF22AE"/>
    <w:rsid w:val="00DF383D"/>
    <w:rsid w:val="00DF4687"/>
    <w:rsid w:val="00DF5D80"/>
    <w:rsid w:val="00DF6F38"/>
    <w:rsid w:val="00DF7282"/>
    <w:rsid w:val="00DF75BF"/>
    <w:rsid w:val="00DF7A0F"/>
    <w:rsid w:val="00E0060C"/>
    <w:rsid w:val="00E00C43"/>
    <w:rsid w:val="00E00D24"/>
    <w:rsid w:val="00E00DFA"/>
    <w:rsid w:val="00E013D5"/>
    <w:rsid w:val="00E0172A"/>
    <w:rsid w:val="00E01C7B"/>
    <w:rsid w:val="00E01D76"/>
    <w:rsid w:val="00E01E4D"/>
    <w:rsid w:val="00E030E8"/>
    <w:rsid w:val="00E03536"/>
    <w:rsid w:val="00E0387C"/>
    <w:rsid w:val="00E03BB2"/>
    <w:rsid w:val="00E040BC"/>
    <w:rsid w:val="00E04900"/>
    <w:rsid w:val="00E04A3B"/>
    <w:rsid w:val="00E053AE"/>
    <w:rsid w:val="00E05851"/>
    <w:rsid w:val="00E05AEB"/>
    <w:rsid w:val="00E05F71"/>
    <w:rsid w:val="00E0616E"/>
    <w:rsid w:val="00E06E79"/>
    <w:rsid w:val="00E07688"/>
    <w:rsid w:val="00E07DFD"/>
    <w:rsid w:val="00E10DA4"/>
    <w:rsid w:val="00E11126"/>
    <w:rsid w:val="00E11C2B"/>
    <w:rsid w:val="00E11E72"/>
    <w:rsid w:val="00E12DA3"/>
    <w:rsid w:val="00E132D3"/>
    <w:rsid w:val="00E13C6C"/>
    <w:rsid w:val="00E13D6A"/>
    <w:rsid w:val="00E147B8"/>
    <w:rsid w:val="00E14A03"/>
    <w:rsid w:val="00E14A64"/>
    <w:rsid w:val="00E14C25"/>
    <w:rsid w:val="00E1564B"/>
    <w:rsid w:val="00E16182"/>
    <w:rsid w:val="00E16221"/>
    <w:rsid w:val="00E16B9C"/>
    <w:rsid w:val="00E207A0"/>
    <w:rsid w:val="00E208AD"/>
    <w:rsid w:val="00E20925"/>
    <w:rsid w:val="00E20BE7"/>
    <w:rsid w:val="00E20FC4"/>
    <w:rsid w:val="00E2164B"/>
    <w:rsid w:val="00E216DA"/>
    <w:rsid w:val="00E21AEA"/>
    <w:rsid w:val="00E22242"/>
    <w:rsid w:val="00E22A44"/>
    <w:rsid w:val="00E24431"/>
    <w:rsid w:val="00E245A1"/>
    <w:rsid w:val="00E25034"/>
    <w:rsid w:val="00E2518B"/>
    <w:rsid w:val="00E25566"/>
    <w:rsid w:val="00E259C0"/>
    <w:rsid w:val="00E26AA7"/>
    <w:rsid w:val="00E27B30"/>
    <w:rsid w:val="00E30038"/>
    <w:rsid w:val="00E307CB"/>
    <w:rsid w:val="00E30AC7"/>
    <w:rsid w:val="00E31124"/>
    <w:rsid w:val="00E31163"/>
    <w:rsid w:val="00E314B1"/>
    <w:rsid w:val="00E3194D"/>
    <w:rsid w:val="00E31F89"/>
    <w:rsid w:val="00E33259"/>
    <w:rsid w:val="00E332D9"/>
    <w:rsid w:val="00E337BC"/>
    <w:rsid w:val="00E33C80"/>
    <w:rsid w:val="00E35740"/>
    <w:rsid w:val="00E3605D"/>
    <w:rsid w:val="00E361FC"/>
    <w:rsid w:val="00E36747"/>
    <w:rsid w:val="00E36E4A"/>
    <w:rsid w:val="00E40210"/>
    <w:rsid w:val="00E405B9"/>
    <w:rsid w:val="00E41F27"/>
    <w:rsid w:val="00E4269F"/>
    <w:rsid w:val="00E42D24"/>
    <w:rsid w:val="00E42EAD"/>
    <w:rsid w:val="00E43789"/>
    <w:rsid w:val="00E44E3A"/>
    <w:rsid w:val="00E45327"/>
    <w:rsid w:val="00E4549D"/>
    <w:rsid w:val="00E45DAD"/>
    <w:rsid w:val="00E45EB0"/>
    <w:rsid w:val="00E46C8A"/>
    <w:rsid w:val="00E46FA7"/>
    <w:rsid w:val="00E4724C"/>
    <w:rsid w:val="00E50B43"/>
    <w:rsid w:val="00E51D1D"/>
    <w:rsid w:val="00E532EF"/>
    <w:rsid w:val="00E53873"/>
    <w:rsid w:val="00E53884"/>
    <w:rsid w:val="00E53CA3"/>
    <w:rsid w:val="00E5410B"/>
    <w:rsid w:val="00E55EB2"/>
    <w:rsid w:val="00E5614E"/>
    <w:rsid w:val="00E56A6D"/>
    <w:rsid w:val="00E56C75"/>
    <w:rsid w:val="00E60F4B"/>
    <w:rsid w:val="00E610A4"/>
    <w:rsid w:val="00E61355"/>
    <w:rsid w:val="00E6177E"/>
    <w:rsid w:val="00E62E48"/>
    <w:rsid w:val="00E6324E"/>
    <w:rsid w:val="00E6477B"/>
    <w:rsid w:val="00E64BE0"/>
    <w:rsid w:val="00E64C24"/>
    <w:rsid w:val="00E6566A"/>
    <w:rsid w:val="00E65882"/>
    <w:rsid w:val="00E65960"/>
    <w:rsid w:val="00E66D9D"/>
    <w:rsid w:val="00E66F2F"/>
    <w:rsid w:val="00E67C3F"/>
    <w:rsid w:val="00E67CF1"/>
    <w:rsid w:val="00E704BE"/>
    <w:rsid w:val="00E70ADD"/>
    <w:rsid w:val="00E71425"/>
    <w:rsid w:val="00E71A78"/>
    <w:rsid w:val="00E71C0E"/>
    <w:rsid w:val="00E720BB"/>
    <w:rsid w:val="00E7248C"/>
    <w:rsid w:val="00E72531"/>
    <w:rsid w:val="00E73C2E"/>
    <w:rsid w:val="00E751BF"/>
    <w:rsid w:val="00E75607"/>
    <w:rsid w:val="00E75A71"/>
    <w:rsid w:val="00E75B2E"/>
    <w:rsid w:val="00E80619"/>
    <w:rsid w:val="00E80E2A"/>
    <w:rsid w:val="00E80E85"/>
    <w:rsid w:val="00E80FBF"/>
    <w:rsid w:val="00E814FD"/>
    <w:rsid w:val="00E81B4E"/>
    <w:rsid w:val="00E81BEA"/>
    <w:rsid w:val="00E822F8"/>
    <w:rsid w:val="00E82CB9"/>
    <w:rsid w:val="00E831D9"/>
    <w:rsid w:val="00E83259"/>
    <w:rsid w:val="00E83559"/>
    <w:rsid w:val="00E83BC2"/>
    <w:rsid w:val="00E845D2"/>
    <w:rsid w:val="00E84A54"/>
    <w:rsid w:val="00E85595"/>
    <w:rsid w:val="00E866F8"/>
    <w:rsid w:val="00E867F4"/>
    <w:rsid w:val="00E86A8E"/>
    <w:rsid w:val="00E86E4A"/>
    <w:rsid w:val="00E915B2"/>
    <w:rsid w:val="00E91873"/>
    <w:rsid w:val="00E91CC7"/>
    <w:rsid w:val="00E92719"/>
    <w:rsid w:val="00E93F67"/>
    <w:rsid w:val="00E9415E"/>
    <w:rsid w:val="00E942BA"/>
    <w:rsid w:val="00E9445A"/>
    <w:rsid w:val="00E9500C"/>
    <w:rsid w:val="00E95D23"/>
    <w:rsid w:val="00E95DAE"/>
    <w:rsid w:val="00E96148"/>
    <w:rsid w:val="00E96829"/>
    <w:rsid w:val="00E971D8"/>
    <w:rsid w:val="00E97553"/>
    <w:rsid w:val="00E97CB9"/>
    <w:rsid w:val="00EA0742"/>
    <w:rsid w:val="00EA1770"/>
    <w:rsid w:val="00EA1997"/>
    <w:rsid w:val="00EA26FE"/>
    <w:rsid w:val="00EA2EA9"/>
    <w:rsid w:val="00EA3564"/>
    <w:rsid w:val="00EA3786"/>
    <w:rsid w:val="00EA38F4"/>
    <w:rsid w:val="00EA4848"/>
    <w:rsid w:val="00EA4EE9"/>
    <w:rsid w:val="00EA5A84"/>
    <w:rsid w:val="00EA63E8"/>
    <w:rsid w:val="00EA6667"/>
    <w:rsid w:val="00EA6B29"/>
    <w:rsid w:val="00EA7F85"/>
    <w:rsid w:val="00EB0122"/>
    <w:rsid w:val="00EB0C95"/>
    <w:rsid w:val="00EB1142"/>
    <w:rsid w:val="00EB1D33"/>
    <w:rsid w:val="00EB2302"/>
    <w:rsid w:val="00EB2618"/>
    <w:rsid w:val="00EB4880"/>
    <w:rsid w:val="00EB4B78"/>
    <w:rsid w:val="00EB615E"/>
    <w:rsid w:val="00EB7E8C"/>
    <w:rsid w:val="00EB7EBD"/>
    <w:rsid w:val="00EC0414"/>
    <w:rsid w:val="00EC08F7"/>
    <w:rsid w:val="00EC0F69"/>
    <w:rsid w:val="00EC1D83"/>
    <w:rsid w:val="00EC3BFC"/>
    <w:rsid w:val="00EC3DFE"/>
    <w:rsid w:val="00EC5517"/>
    <w:rsid w:val="00EC5EEA"/>
    <w:rsid w:val="00EC6233"/>
    <w:rsid w:val="00EC7058"/>
    <w:rsid w:val="00EC73D5"/>
    <w:rsid w:val="00EC74F7"/>
    <w:rsid w:val="00EC7ABD"/>
    <w:rsid w:val="00EC7EB1"/>
    <w:rsid w:val="00ED0E8C"/>
    <w:rsid w:val="00ED1A49"/>
    <w:rsid w:val="00ED1F2E"/>
    <w:rsid w:val="00ED203A"/>
    <w:rsid w:val="00ED2AB6"/>
    <w:rsid w:val="00ED4399"/>
    <w:rsid w:val="00ED4675"/>
    <w:rsid w:val="00ED4B18"/>
    <w:rsid w:val="00ED5C32"/>
    <w:rsid w:val="00ED5C68"/>
    <w:rsid w:val="00ED5EF1"/>
    <w:rsid w:val="00ED723B"/>
    <w:rsid w:val="00ED7E66"/>
    <w:rsid w:val="00EE18B0"/>
    <w:rsid w:val="00EE2073"/>
    <w:rsid w:val="00EE28CF"/>
    <w:rsid w:val="00EE2991"/>
    <w:rsid w:val="00EE2BC4"/>
    <w:rsid w:val="00EE2D9B"/>
    <w:rsid w:val="00EE457B"/>
    <w:rsid w:val="00EE4684"/>
    <w:rsid w:val="00EE54CF"/>
    <w:rsid w:val="00EE746E"/>
    <w:rsid w:val="00EE79F8"/>
    <w:rsid w:val="00EE7C77"/>
    <w:rsid w:val="00EF0033"/>
    <w:rsid w:val="00EF0986"/>
    <w:rsid w:val="00EF0B7A"/>
    <w:rsid w:val="00EF1A91"/>
    <w:rsid w:val="00EF2A64"/>
    <w:rsid w:val="00EF2B9D"/>
    <w:rsid w:val="00EF3473"/>
    <w:rsid w:val="00EF3B85"/>
    <w:rsid w:val="00EF4138"/>
    <w:rsid w:val="00EF466A"/>
    <w:rsid w:val="00EF473A"/>
    <w:rsid w:val="00EF56D9"/>
    <w:rsid w:val="00EF5B46"/>
    <w:rsid w:val="00EF5C00"/>
    <w:rsid w:val="00EF67A6"/>
    <w:rsid w:val="00EF793A"/>
    <w:rsid w:val="00EF7DAC"/>
    <w:rsid w:val="00EF7FD9"/>
    <w:rsid w:val="00F00270"/>
    <w:rsid w:val="00F002F3"/>
    <w:rsid w:val="00F017B5"/>
    <w:rsid w:val="00F01DD8"/>
    <w:rsid w:val="00F021C3"/>
    <w:rsid w:val="00F028E4"/>
    <w:rsid w:val="00F02DD2"/>
    <w:rsid w:val="00F03D9A"/>
    <w:rsid w:val="00F053AD"/>
    <w:rsid w:val="00F06A3F"/>
    <w:rsid w:val="00F06CD9"/>
    <w:rsid w:val="00F06D9B"/>
    <w:rsid w:val="00F0772B"/>
    <w:rsid w:val="00F07A49"/>
    <w:rsid w:val="00F07EB6"/>
    <w:rsid w:val="00F1174B"/>
    <w:rsid w:val="00F11C5D"/>
    <w:rsid w:val="00F1301A"/>
    <w:rsid w:val="00F14264"/>
    <w:rsid w:val="00F144A6"/>
    <w:rsid w:val="00F14528"/>
    <w:rsid w:val="00F150B8"/>
    <w:rsid w:val="00F15529"/>
    <w:rsid w:val="00F15D1D"/>
    <w:rsid w:val="00F1607D"/>
    <w:rsid w:val="00F1623E"/>
    <w:rsid w:val="00F175D6"/>
    <w:rsid w:val="00F1760F"/>
    <w:rsid w:val="00F20144"/>
    <w:rsid w:val="00F2118E"/>
    <w:rsid w:val="00F211FB"/>
    <w:rsid w:val="00F21236"/>
    <w:rsid w:val="00F2145C"/>
    <w:rsid w:val="00F21AD3"/>
    <w:rsid w:val="00F22820"/>
    <w:rsid w:val="00F2301A"/>
    <w:rsid w:val="00F2485B"/>
    <w:rsid w:val="00F24CC1"/>
    <w:rsid w:val="00F261AE"/>
    <w:rsid w:val="00F26205"/>
    <w:rsid w:val="00F26642"/>
    <w:rsid w:val="00F27990"/>
    <w:rsid w:val="00F309F8"/>
    <w:rsid w:val="00F321F8"/>
    <w:rsid w:val="00F3326F"/>
    <w:rsid w:val="00F342F7"/>
    <w:rsid w:val="00F35040"/>
    <w:rsid w:val="00F37181"/>
    <w:rsid w:val="00F4079E"/>
    <w:rsid w:val="00F40864"/>
    <w:rsid w:val="00F414DE"/>
    <w:rsid w:val="00F42374"/>
    <w:rsid w:val="00F431E7"/>
    <w:rsid w:val="00F45D4C"/>
    <w:rsid w:val="00F46AFC"/>
    <w:rsid w:val="00F50C6E"/>
    <w:rsid w:val="00F50DB8"/>
    <w:rsid w:val="00F51103"/>
    <w:rsid w:val="00F513D8"/>
    <w:rsid w:val="00F518BC"/>
    <w:rsid w:val="00F51FDE"/>
    <w:rsid w:val="00F528B6"/>
    <w:rsid w:val="00F52938"/>
    <w:rsid w:val="00F52C72"/>
    <w:rsid w:val="00F53412"/>
    <w:rsid w:val="00F53829"/>
    <w:rsid w:val="00F53A3C"/>
    <w:rsid w:val="00F53E86"/>
    <w:rsid w:val="00F546CB"/>
    <w:rsid w:val="00F55056"/>
    <w:rsid w:val="00F5568D"/>
    <w:rsid w:val="00F55714"/>
    <w:rsid w:val="00F55EAA"/>
    <w:rsid w:val="00F567D5"/>
    <w:rsid w:val="00F60329"/>
    <w:rsid w:val="00F607E6"/>
    <w:rsid w:val="00F60F79"/>
    <w:rsid w:val="00F616B4"/>
    <w:rsid w:val="00F634FF"/>
    <w:rsid w:val="00F6396E"/>
    <w:rsid w:val="00F6418F"/>
    <w:rsid w:val="00F646E9"/>
    <w:rsid w:val="00F647CF"/>
    <w:rsid w:val="00F65C29"/>
    <w:rsid w:val="00F66229"/>
    <w:rsid w:val="00F72D32"/>
    <w:rsid w:val="00F72EAC"/>
    <w:rsid w:val="00F73B28"/>
    <w:rsid w:val="00F745D6"/>
    <w:rsid w:val="00F746A1"/>
    <w:rsid w:val="00F74C69"/>
    <w:rsid w:val="00F7528F"/>
    <w:rsid w:val="00F75725"/>
    <w:rsid w:val="00F76002"/>
    <w:rsid w:val="00F77251"/>
    <w:rsid w:val="00F77695"/>
    <w:rsid w:val="00F82494"/>
    <w:rsid w:val="00F83A90"/>
    <w:rsid w:val="00F84B70"/>
    <w:rsid w:val="00F85CED"/>
    <w:rsid w:val="00F86292"/>
    <w:rsid w:val="00F86872"/>
    <w:rsid w:val="00F86E4D"/>
    <w:rsid w:val="00F87445"/>
    <w:rsid w:val="00F879A3"/>
    <w:rsid w:val="00F91000"/>
    <w:rsid w:val="00F92128"/>
    <w:rsid w:val="00F93609"/>
    <w:rsid w:val="00F93C70"/>
    <w:rsid w:val="00F93EEB"/>
    <w:rsid w:val="00F9456A"/>
    <w:rsid w:val="00F9457D"/>
    <w:rsid w:val="00F9468F"/>
    <w:rsid w:val="00F9564F"/>
    <w:rsid w:val="00F956F2"/>
    <w:rsid w:val="00F959E5"/>
    <w:rsid w:val="00FA1792"/>
    <w:rsid w:val="00FA1884"/>
    <w:rsid w:val="00FA30F8"/>
    <w:rsid w:val="00FA36E3"/>
    <w:rsid w:val="00FA4596"/>
    <w:rsid w:val="00FA5FD0"/>
    <w:rsid w:val="00FA60FF"/>
    <w:rsid w:val="00FA625D"/>
    <w:rsid w:val="00FA6531"/>
    <w:rsid w:val="00FA6C53"/>
    <w:rsid w:val="00FA7249"/>
    <w:rsid w:val="00FA7DEF"/>
    <w:rsid w:val="00FB0C12"/>
    <w:rsid w:val="00FB15D5"/>
    <w:rsid w:val="00FB209B"/>
    <w:rsid w:val="00FB2EE7"/>
    <w:rsid w:val="00FB354B"/>
    <w:rsid w:val="00FB3762"/>
    <w:rsid w:val="00FB3CE6"/>
    <w:rsid w:val="00FB404E"/>
    <w:rsid w:val="00FB417B"/>
    <w:rsid w:val="00FB426C"/>
    <w:rsid w:val="00FB48FC"/>
    <w:rsid w:val="00FB4C5B"/>
    <w:rsid w:val="00FB5BA2"/>
    <w:rsid w:val="00FC06D4"/>
    <w:rsid w:val="00FC0E31"/>
    <w:rsid w:val="00FC1962"/>
    <w:rsid w:val="00FC2BF2"/>
    <w:rsid w:val="00FC2D96"/>
    <w:rsid w:val="00FC2E2C"/>
    <w:rsid w:val="00FC3266"/>
    <w:rsid w:val="00FC42D7"/>
    <w:rsid w:val="00FC5C7C"/>
    <w:rsid w:val="00FC60FB"/>
    <w:rsid w:val="00FC615B"/>
    <w:rsid w:val="00FC6D7F"/>
    <w:rsid w:val="00FC7C75"/>
    <w:rsid w:val="00FD0E3B"/>
    <w:rsid w:val="00FD0EA6"/>
    <w:rsid w:val="00FD20EB"/>
    <w:rsid w:val="00FD272F"/>
    <w:rsid w:val="00FD2DD4"/>
    <w:rsid w:val="00FD3125"/>
    <w:rsid w:val="00FD4323"/>
    <w:rsid w:val="00FD4451"/>
    <w:rsid w:val="00FD487B"/>
    <w:rsid w:val="00FD4EDC"/>
    <w:rsid w:val="00FD5757"/>
    <w:rsid w:val="00FD5870"/>
    <w:rsid w:val="00FD5CAB"/>
    <w:rsid w:val="00FD6B53"/>
    <w:rsid w:val="00FD72E3"/>
    <w:rsid w:val="00FD72FA"/>
    <w:rsid w:val="00FD7320"/>
    <w:rsid w:val="00FD7724"/>
    <w:rsid w:val="00FD7FE1"/>
    <w:rsid w:val="00FE04AF"/>
    <w:rsid w:val="00FE18DC"/>
    <w:rsid w:val="00FE1CC2"/>
    <w:rsid w:val="00FE20D7"/>
    <w:rsid w:val="00FE2E82"/>
    <w:rsid w:val="00FE4706"/>
    <w:rsid w:val="00FE5A68"/>
    <w:rsid w:val="00FE5AAF"/>
    <w:rsid w:val="00FE5EF6"/>
    <w:rsid w:val="00FE7182"/>
    <w:rsid w:val="00FE760C"/>
    <w:rsid w:val="00FE7B1A"/>
    <w:rsid w:val="00FE7EA4"/>
    <w:rsid w:val="00FE7F93"/>
    <w:rsid w:val="00FF0597"/>
    <w:rsid w:val="00FF08D6"/>
    <w:rsid w:val="00FF1025"/>
    <w:rsid w:val="00FF12D5"/>
    <w:rsid w:val="00FF427D"/>
    <w:rsid w:val="00FF4952"/>
    <w:rsid w:val="00FF51FE"/>
    <w:rsid w:val="00FF6474"/>
    <w:rsid w:val="00FF64D9"/>
    <w:rsid w:val="00FF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DA959"/>
  <w15:docId w15:val="{FF8EFEC0-CECA-47FE-B94F-A1B5BA6D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06"/>
    <w:pPr>
      <w:spacing w:after="0" w:line="480" w:lineRule="auto"/>
      <w:ind w:firstLine="720"/>
      <w:jc w:val="both"/>
    </w:pPr>
    <w:rPr>
      <w:rFonts w:ascii="Times New Roman" w:hAnsi="Times New Roman"/>
    </w:rPr>
  </w:style>
  <w:style w:type="paragraph" w:styleId="Heading1">
    <w:name w:val="heading 1"/>
    <w:basedOn w:val="Normal"/>
    <w:next w:val="Normal"/>
    <w:link w:val="Heading1Char"/>
    <w:uiPriority w:val="99"/>
    <w:qFormat/>
    <w:rsid w:val="00373C81"/>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373C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54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330B3"/>
    <w:pPr>
      <w:adjustRightInd w:val="0"/>
      <w:snapToGrid w:val="0"/>
      <w:spacing w:before="280" w:line="360" w:lineRule="auto"/>
      <w:outlineLvl w:val="3"/>
    </w:pPr>
    <w:rPr>
      <w:rFonts w:ascii="Cambria" w:eastAsia="SimSun" w:hAnsi="Cambria" w:cs="Times New Roman"/>
      <w:b/>
      <w:bCs/>
      <w:i/>
      <w:iCs/>
      <w:sz w:val="24"/>
      <w:szCs w:val="24"/>
      <w:lang w:eastAsia="en-US" w:bidi="en-US"/>
    </w:rPr>
  </w:style>
  <w:style w:type="paragraph" w:styleId="Heading5">
    <w:name w:val="heading 5"/>
    <w:basedOn w:val="Normal"/>
    <w:next w:val="Normal"/>
    <w:link w:val="Heading5Char"/>
    <w:uiPriority w:val="9"/>
    <w:qFormat/>
    <w:rsid w:val="00B330B3"/>
    <w:pPr>
      <w:adjustRightInd w:val="0"/>
      <w:snapToGrid w:val="0"/>
      <w:spacing w:before="280" w:line="360" w:lineRule="auto"/>
      <w:outlineLvl w:val="4"/>
    </w:pPr>
    <w:rPr>
      <w:rFonts w:ascii="Cambria" w:eastAsia="SimSun" w:hAnsi="Cambria" w:cs="Times New Roman"/>
      <w:b/>
      <w:bCs/>
      <w:i/>
      <w:iCs/>
      <w:sz w:val="24"/>
      <w:lang w:eastAsia="en-US" w:bidi="en-US"/>
    </w:rPr>
  </w:style>
  <w:style w:type="paragraph" w:styleId="Heading6">
    <w:name w:val="heading 6"/>
    <w:basedOn w:val="Normal"/>
    <w:next w:val="Normal"/>
    <w:link w:val="Heading6Char"/>
    <w:uiPriority w:val="9"/>
    <w:qFormat/>
    <w:rsid w:val="00B330B3"/>
    <w:pPr>
      <w:adjustRightInd w:val="0"/>
      <w:snapToGrid w:val="0"/>
      <w:spacing w:before="280" w:after="80" w:line="360" w:lineRule="auto"/>
      <w:outlineLvl w:val="5"/>
    </w:pPr>
    <w:rPr>
      <w:rFonts w:ascii="Cambria" w:eastAsia="SimSun" w:hAnsi="Cambria" w:cs="Times New Roman"/>
      <w:b/>
      <w:bCs/>
      <w:i/>
      <w:iCs/>
      <w:sz w:val="24"/>
      <w:lang w:eastAsia="en-US" w:bidi="en-US"/>
    </w:rPr>
  </w:style>
  <w:style w:type="paragraph" w:styleId="Heading7">
    <w:name w:val="heading 7"/>
    <w:basedOn w:val="Normal"/>
    <w:next w:val="Normal"/>
    <w:link w:val="Heading7Char"/>
    <w:uiPriority w:val="9"/>
    <w:qFormat/>
    <w:rsid w:val="00B330B3"/>
    <w:pPr>
      <w:adjustRightInd w:val="0"/>
      <w:snapToGrid w:val="0"/>
      <w:spacing w:before="280" w:line="360" w:lineRule="auto"/>
      <w:outlineLvl w:val="6"/>
    </w:pPr>
    <w:rPr>
      <w:rFonts w:ascii="Cambria" w:eastAsia="SimSun" w:hAnsi="Cambria" w:cs="Times New Roman"/>
      <w:b/>
      <w:bCs/>
      <w:i/>
      <w:iCs/>
      <w:sz w:val="20"/>
      <w:szCs w:val="20"/>
      <w:lang w:eastAsia="en-US" w:bidi="en-US"/>
    </w:rPr>
  </w:style>
  <w:style w:type="paragraph" w:styleId="Heading8">
    <w:name w:val="heading 8"/>
    <w:basedOn w:val="Normal"/>
    <w:next w:val="Normal"/>
    <w:link w:val="Heading8Char"/>
    <w:uiPriority w:val="9"/>
    <w:qFormat/>
    <w:rsid w:val="00B330B3"/>
    <w:pPr>
      <w:adjustRightInd w:val="0"/>
      <w:snapToGrid w:val="0"/>
      <w:spacing w:before="280" w:line="360" w:lineRule="auto"/>
      <w:outlineLvl w:val="7"/>
    </w:pPr>
    <w:rPr>
      <w:rFonts w:ascii="Cambria" w:eastAsia="SimSun" w:hAnsi="Cambria" w:cs="Times New Roman"/>
      <w:b/>
      <w:bCs/>
      <w:i/>
      <w:iCs/>
      <w:sz w:val="18"/>
      <w:szCs w:val="18"/>
      <w:lang w:eastAsia="en-US" w:bidi="en-US"/>
    </w:rPr>
  </w:style>
  <w:style w:type="paragraph" w:styleId="Heading9">
    <w:name w:val="heading 9"/>
    <w:basedOn w:val="Normal"/>
    <w:next w:val="Normal"/>
    <w:link w:val="Heading9Char"/>
    <w:uiPriority w:val="9"/>
    <w:qFormat/>
    <w:rsid w:val="00B330B3"/>
    <w:pPr>
      <w:adjustRightInd w:val="0"/>
      <w:snapToGrid w:val="0"/>
      <w:spacing w:before="280" w:line="360" w:lineRule="auto"/>
      <w:outlineLvl w:val="8"/>
    </w:pPr>
    <w:rPr>
      <w:rFonts w:ascii="Cambria" w:eastAsia="SimSun" w:hAnsi="Cambria" w:cs="Times New Roman"/>
      <w:i/>
      <w:iCs/>
      <w:sz w:val="18"/>
      <w:szCs w:val="1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link w:val="TableChar"/>
    <w:qFormat/>
    <w:rsid w:val="00373C81"/>
    <w:pPr>
      <w:spacing w:line="240" w:lineRule="auto"/>
      <w:ind w:firstLine="0"/>
    </w:pPr>
  </w:style>
  <w:style w:type="character" w:customStyle="1" w:styleId="TableChar">
    <w:name w:val="Table Char"/>
    <w:basedOn w:val="DefaultParagraphFont"/>
    <w:link w:val="Table"/>
    <w:rsid w:val="00373C81"/>
    <w:rPr>
      <w:rFonts w:ascii="Times New Roman" w:hAnsi="Times New Roman"/>
    </w:rPr>
  </w:style>
  <w:style w:type="character" w:customStyle="1" w:styleId="Heading1Char">
    <w:name w:val="Heading 1 Char"/>
    <w:basedOn w:val="DefaultParagraphFont"/>
    <w:link w:val="Heading1"/>
    <w:uiPriority w:val="99"/>
    <w:rsid w:val="00373C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373C81"/>
    <w:rPr>
      <w:rFonts w:asciiTheme="majorHAnsi" w:eastAsiaTheme="majorEastAsia" w:hAnsiTheme="majorHAnsi" w:cstheme="majorBidi"/>
      <w:b/>
      <w:bCs/>
      <w:color w:val="4F81BD" w:themeColor="accent1"/>
      <w:sz w:val="26"/>
      <w:szCs w:val="26"/>
    </w:rPr>
  </w:style>
  <w:style w:type="paragraph" w:styleId="Date">
    <w:name w:val="Date"/>
    <w:basedOn w:val="Normal"/>
    <w:next w:val="Normal"/>
    <w:link w:val="DateChar"/>
    <w:uiPriority w:val="99"/>
    <w:semiHidden/>
    <w:unhideWhenUsed/>
    <w:rsid w:val="00373C81"/>
  </w:style>
  <w:style w:type="character" w:customStyle="1" w:styleId="DateChar">
    <w:name w:val="Date Char"/>
    <w:basedOn w:val="DefaultParagraphFont"/>
    <w:link w:val="Date"/>
    <w:uiPriority w:val="99"/>
    <w:semiHidden/>
    <w:rsid w:val="00373C81"/>
    <w:rPr>
      <w:rFonts w:ascii="Times New Roman" w:hAnsi="Times New Roman"/>
    </w:rPr>
  </w:style>
  <w:style w:type="paragraph" w:styleId="ListParagraph">
    <w:name w:val="List Paragraph"/>
    <w:basedOn w:val="Normal"/>
    <w:uiPriority w:val="34"/>
    <w:qFormat/>
    <w:rsid w:val="00290606"/>
    <w:pPr>
      <w:spacing w:after="120" w:line="240" w:lineRule="auto"/>
      <w:ind w:left="720"/>
      <w:contextualSpacing/>
    </w:pPr>
  </w:style>
  <w:style w:type="character" w:styleId="PlaceholderText">
    <w:name w:val="Placeholder Text"/>
    <w:basedOn w:val="DefaultParagraphFont"/>
    <w:uiPriority w:val="99"/>
    <w:semiHidden/>
    <w:rsid w:val="00373C81"/>
    <w:rPr>
      <w:color w:val="808080"/>
    </w:rPr>
  </w:style>
  <w:style w:type="paragraph" w:styleId="BalloonText">
    <w:name w:val="Balloon Text"/>
    <w:basedOn w:val="Normal"/>
    <w:link w:val="BalloonTextChar"/>
    <w:uiPriority w:val="99"/>
    <w:semiHidden/>
    <w:unhideWhenUsed/>
    <w:rsid w:val="00373C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81"/>
    <w:rPr>
      <w:rFonts w:ascii="Tahoma" w:hAnsi="Tahoma" w:cs="Tahoma"/>
      <w:sz w:val="16"/>
      <w:szCs w:val="16"/>
    </w:rPr>
  </w:style>
  <w:style w:type="numbering" w:customStyle="1" w:styleId="NumEquation">
    <w:name w:val="NumEquation"/>
    <w:uiPriority w:val="99"/>
    <w:rsid w:val="00373C81"/>
    <w:pPr>
      <w:numPr>
        <w:numId w:val="33"/>
      </w:numPr>
    </w:pPr>
  </w:style>
  <w:style w:type="paragraph" w:customStyle="1" w:styleId="ColorfulList-Accent11">
    <w:name w:val="Colorful List - Accent 11"/>
    <w:basedOn w:val="Normal"/>
    <w:uiPriority w:val="34"/>
    <w:qFormat/>
    <w:rsid w:val="00373C81"/>
    <w:pPr>
      <w:adjustRightInd w:val="0"/>
      <w:snapToGrid w:val="0"/>
      <w:spacing w:before="120" w:after="120"/>
      <w:ind w:left="720"/>
      <w:contextualSpacing/>
    </w:pPr>
    <w:rPr>
      <w:rFonts w:eastAsia="SimSun" w:cs="Times New Roman"/>
      <w:sz w:val="24"/>
      <w:lang w:eastAsia="en-US" w:bidi="en-US"/>
    </w:rPr>
  </w:style>
  <w:style w:type="table" w:styleId="TableGrid">
    <w:name w:val="Table Grid"/>
    <w:basedOn w:val="TableNormal"/>
    <w:uiPriority w:val="59"/>
    <w:rsid w:val="0037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3C81"/>
    <w:pPr>
      <w:tabs>
        <w:tab w:val="center" w:pos="4680"/>
        <w:tab w:val="right" w:pos="9360"/>
      </w:tabs>
      <w:spacing w:line="240" w:lineRule="auto"/>
    </w:pPr>
  </w:style>
  <w:style w:type="character" w:customStyle="1" w:styleId="HeaderChar">
    <w:name w:val="Header Char"/>
    <w:basedOn w:val="DefaultParagraphFont"/>
    <w:link w:val="Header"/>
    <w:uiPriority w:val="99"/>
    <w:rsid w:val="00373C81"/>
    <w:rPr>
      <w:rFonts w:ascii="Times New Roman" w:hAnsi="Times New Roman"/>
    </w:rPr>
  </w:style>
  <w:style w:type="paragraph" w:styleId="Footer">
    <w:name w:val="footer"/>
    <w:basedOn w:val="Normal"/>
    <w:link w:val="FooterChar"/>
    <w:uiPriority w:val="99"/>
    <w:unhideWhenUsed/>
    <w:rsid w:val="00373C81"/>
    <w:pPr>
      <w:tabs>
        <w:tab w:val="center" w:pos="4680"/>
        <w:tab w:val="right" w:pos="9360"/>
      </w:tabs>
      <w:spacing w:line="240" w:lineRule="auto"/>
    </w:pPr>
  </w:style>
  <w:style w:type="character" w:customStyle="1" w:styleId="FooterChar">
    <w:name w:val="Footer Char"/>
    <w:basedOn w:val="DefaultParagraphFont"/>
    <w:link w:val="Footer"/>
    <w:uiPriority w:val="99"/>
    <w:rsid w:val="00373C81"/>
    <w:rPr>
      <w:rFonts w:ascii="Times New Roman" w:hAnsi="Times New Roman"/>
    </w:rPr>
  </w:style>
  <w:style w:type="character" w:styleId="Hyperlink">
    <w:name w:val="Hyperlink"/>
    <w:basedOn w:val="DefaultParagraphFont"/>
    <w:unhideWhenUsed/>
    <w:rsid w:val="00373C81"/>
    <w:rPr>
      <w:color w:val="0000FF" w:themeColor="hyperlink"/>
      <w:u w:val="single"/>
    </w:rPr>
  </w:style>
  <w:style w:type="paragraph" w:styleId="FootnoteText">
    <w:name w:val="footnote text"/>
    <w:basedOn w:val="Normal"/>
    <w:link w:val="FootnoteTextChar"/>
    <w:uiPriority w:val="99"/>
    <w:unhideWhenUsed/>
    <w:rsid w:val="00373C81"/>
    <w:pPr>
      <w:spacing w:line="240" w:lineRule="auto"/>
    </w:pPr>
    <w:rPr>
      <w:sz w:val="20"/>
      <w:szCs w:val="20"/>
    </w:rPr>
  </w:style>
  <w:style w:type="character" w:customStyle="1" w:styleId="FootnoteTextChar">
    <w:name w:val="Footnote Text Char"/>
    <w:basedOn w:val="DefaultParagraphFont"/>
    <w:link w:val="FootnoteText"/>
    <w:uiPriority w:val="99"/>
    <w:rsid w:val="00373C81"/>
    <w:rPr>
      <w:rFonts w:ascii="Times New Roman" w:hAnsi="Times New Roman"/>
      <w:sz w:val="20"/>
      <w:szCs w:val="20"/>
    </w:rPr>
  </w:style>
  <w:style w:type="character" w:styleId="FootnoteReference">
    <w:name w:val="footnote reference"/>
    <w:basedOn w:val="DefaultParagraphFont"/>
    <w:unhideWhenUsed/>
    <w:rsid w:val="00373C81"/>
    <w:rPr>
      <w:vertAlign w:val="superscript"/>
    </w:rPr>
  </w:style>
  <w:style w:type="paragraph" w:styleId="Caption">
    <w:name w:val="caption"/>
    <w:basedOn w:val="Normal"/>
    <w:next w:val="Normal"/>
    <w:uiPriority w:val="35"/>
    <w:unhideWhenUsed/>
    <w:qFormat/>
    <w:rsid w:val="00373C81"/>
    <w:pPr>
      <w:spacing w:line="240" w:lineRule="auto"/>
      <w:ind w:firstLine="0"/>
      <w:jc w:val="center"/>
    </w:pPr>
    <w:rPr>
      <w:bCs/>
      <w:szCs w:val="18"/>
    </w:rPr>
  </w:style>
  <w:style w:type="paragraph" w:styleId="Bibliography">
    <w:name w:val="Bibliography"/>
    <w:basedOn w:val="Normal"/>
    <w:next w:val="Normal"/>
    <w:uiPriority w:val="37"/>
    <w:unhideWhenUsed/>
    <w:rsid w:val="00131281"/>
    <w:pPr>
      <w:spacing w:line="240" w:lineRule="auto"/>
      <w:ind w:left="720" w:hanging="720"/>
    </w:pPr>
  </w:style>
  <w:style w:type="character" w:styleId="HTMLCite">
    <w:name w:val="HTML Cite"/>
    <w:basedOn w:val="DefaultParagraphFont"/>
    <w:uiPriority w:val="99"/>
    <w:semiHidden/>
    <w:unhideWhenUsed/>
    <w:rsid w:val="00241A27"/>
    <w:rPr>
      <w:i/>
      <w:iCs/>
    </w:rPr>
  </w:style>
  <w:style w:type="character" w:customStyle="1" w:styleId="Heading3Char">
    <w:name w:val="Heading 3 Char"/>
    <w:basedOn w:val="DefaultParagraphFont"/>
    <w:link w:val="Heading3"/>
    <w:uiPriority w:val="9"/>
    <w:rsid w:val="009A544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F2AB6"/>
    <w:pPr>
      <w:spacing w:line="240" w:lineRule="auto"/>
    </w:pPr>
    <w:rPr>
      <w:sz w:val="20"/>
      <w:szCs w:val="20"/>
    </w:rPr>
  </w:style>
  <w:style w:type="character" w:customStyle="1" w:styleId="EndnoteTextChar">
    <w:name w:val="Endnote Text Char"/>
    <w:basedOn w:val="DefaultParagraphFont"/>
    <w:link w:val="EndnoteText"/>
    <w:uiPriority w:val="99"/>
    <w:semiHidden/>
    <w:rsid w:val="000F2AB6"/>
    <w:rPr>
      <w:rFonts w:ascii="Times New Roman" w:hAnsi="Times New Roman"/>
      <w:sz w:val="20"/>
      <w:szCs w:val="20"/>
    </w:rPr>
  </w:style>
  <w:style w:type="character" w:styleId="EndnoteReference">
    <w:name w:val="endnote reference"/>
    <w:basedOn w:val="DefaultParagraphFont"/>
    <w:uiPriority w:val="99"/>
    <w:unhideWhenUsed/>
    <w:rsid w:val="000F2AB6"/>
    <w:rPr>
      <w:vertAlign w:val="superscript"/>
    </w:rPr>
  </w:style>
  <w:style w:type="character" w:styleId="CommentReference">
    <w:name w:val="annotation reference"/>
    <w:basedOn w:val="DefaultParagraphFont"/>
    <w:uiPriority w:val="99"/>
    <w:semiHidden/>
    <w:unhideWhenUsed/>
    <w:rsid w:val="00AA7947"/>
    <w:rPr>
      <w:sz w:val="16"/>
      <w:szCs w:val="16"/>
    </w:rPr>
  </w:style>
  <w:style w:type="paragraph" w:styleId="CommentText">
    <w:name w:val="annotation text"/>
    <w:basedOn w:val="Normal"/>
    <w:link w:val="CommentTextChar"/>
    <w:uiPriority w:val="99"/>
    <w:semiHidden/>
    <w:unhideWhenUsed/>
    <w:rsid w:val="00AA7947"/>
    <w:pPr>
      <w:spacing w:line="240" w:lineRule="auto"/>
    </w:pPr>
    <w:rPr>
      <w:sz w:val="20"/>
      <w:szCs w:val="20"/>
    </w:rPr>
  </w:style>
  <w:style w:type="character" w:customStyle="1" w:styleId="CommentTextChar">
    <w:name w:val="Comment Text Char"/>
    <w:basedOn w:val="DefaultParagraphFont"/>
    <w:link w:val="CommentText"/>
    <w:uiPriority w:val="99"/>
    <w:semiHidden/>
    <w:rsid w:val="00AA79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A7947"/>
    <w:rPr>
      <w:b/>
      <w:bCs/>
    </w:rPr>
  </w:style>
  <w:style w:type="character" w:customStyle="1" w:styleId="CommentSubjectChar">
    <w:name w:val="Comment Subject Char"/>
    <w:basedOn w:val="CommentTextChar"/>
    <w:link w:val="CommentSubject"/>
    <w:uiPriority w:val="99"/>
    <w:semiHidden/>
    <w:rsid w:val="00AA7947"/>
    <w:rPr>
      <w:rFonts w:ascii="Times New Roman" w:hAnsi="Times New Roman"/>
      <w:b/>
      <w:bCs/>
      <w:sz w:val="20"/>
      <w:szCs w:val="20"/>
    </w:rPr>
  </w:style>
  <w:style w:type="numbering" w:customStyle="1" w:styleId="NumEquation1">
    <w:name w:val="NumEquation1"/>
    <w:uiPriority w:val="99"/>
    <w:rsid w:val="00D06F32"/>
  </w:style>
  <w:style w:type="character" w:customStyle="1" w:styleId="Heading4Char">
    <w:name w:val="Heading 4 Char"/>
    <w:basedOn w:val="DefaultParagraphFont"/>
    <w:link w:val="Heading4"/>
    <w:uiPriority w:val="9"/>
    <w:rsid w:val="00B330B3"/>
    <w:rPr>
      <w:rFonts w:ascii="Cambria" w:eastAsia="SimSun" w:hAnsi="Cambria" w:cs="Times New Roman"/>
      <w:b/>
      <w:bCs/>
      <w:i/>
      <w:iCs/>
      <w:sz w:val="24"/>
      <w:szCs w:val="24"/>
      <w:lang w:eastAsia="en-US" w:bidi="en-US"/>
    </w:rPr>
  </w:style>
  <w:style w:type="character" w:customStyle="1" w:styleId="Heading5Char">
    <w:name w:val="Heading 5 Char"/>
    <w:basedOn w:val="DefaultParagraphFont"/>
    <w:link w:val="Heading5"/>
    <w:uiPriority w:val="9"/>
    <w:rsid w:val="00B330B3"/>
    <w:rPr>
      <w:rFonts w:ascii="Cambria" w:eastAsia="SimSun" w:hAnsi="Cambria" w:cs="Times New Roman"/>
      <w:b/>
      <w:bCs/>
      <w:i/>
      <w:iCs/>
      <w:sz w:val="24"/>
      <w:lang w:eastAsia="en-US" w:bidi="en-US"/>
    </w:rPr>
  </w:style>
  <w:style w:type="character" w:customStyle="1" w:styleId="Heading6Char">
    <w:name w:val="Heading 6 Char"/>
    <w:basedOn w:val="DefaultParagraphFont"/>
    <w:link w:val="Heading6"/>
    <w:uiPriority w:val="9"/>
    <w:rsid w:val="00B330B3"/>
    <w:rPr>
      <w:rFonts w:ascii="Cambria" w:eastAsia="SimSun" w:hAnsi="Cambria" w:cs="Times New Roman"/>
      <w:b/>
      <w:bCs/>
      <w:i/>
      <w:iCs/>
      <w:sz w:val="24"/>
      <w:lang w:eastAsia="en-US" w:bidi="en-US"/>
    </w:rPr>
  </w:style>
  <w:style w:type="character" w:customStyle="1" w:styleId="Heading7Char">
    <w:name w:val="Heading 7 Char"/>
    <w:basedOn w:val="DefaultParagraphFont"/>
    <w:link w:val="Heading7"/>
    <w:uiPriority w:val="9"/>
    <w:rsid w:val="00B330B3"/>
    <w:rPr>
      <w:rFonts w:ascii="Cambria" w:eastAsia="SimSun" w:hAnsi="Cambria" w:cs="Times New Roman"/>
      <w:b/>
      <w:bCs/>
      <w:i/>
      <w:iCs/>
      <w:sz w:val="20"/>
      <w:szCs w:val="20"/>
      <w:lang w:eastAsia="en-US" w:bidi="en-US"/>
    </w:rPr>
  </w:style>
  <w:style w:type="character" w:customStyle="1" w:styleId="Heading8Char">
    <w:name w:val="Heading 8 Char"/>
    <w:basedOn w:val="DefaultParagraphFont"/>
    <w:link w:val="Heading8"/>
    <w:uiPriority w:val="9"/>
    <w:rsid w:val="00B330B3"/>
    <w:rPr>
      <w:rFonts w:ascii="Cambria" w:eastAsia="SimSun" w:hAnsi="Cambria" w:cs="Times New Roman"/>
      <w:b/>
      <w:bCs/>
      <w:i/>
      <w:iCs/>
      <w:sz w:val="18"/>
      <w:szCs w:val="18"/>
      <w:lang w:eastAsia="en-US" w:bidi="en-US"/>
    </w:rPr>
  </w:style>
  <w:style w:type="character" w:customStyle="1" w:styleId="Heading9Char">
    <w:name w:val="Heading 9 Char"/>
    <w:basedOn w:val="DefaultParagraphFont"/>
    <w:link w:val="Heading9"/>
    <w:uiPriority w:val="9"/>
    <w:rsid w:val="00B330B3"/>
    <w:rPr>
      <w:rFonts w:ascii="Cambria" w:eastAsia="SimSun" w:hAnsi="Cambria" w:cs="Times New Roman"/>
      <w:i/>
      <w:iCs/>
      <w:sz w:val="18"/>
      <w:szCs w:val="18"/>
      <w:lang w:eastAsia="en-US" w:bidi="en-US"/>
    </w:rPr>
  </w:style>
  <w:style w:type="character" w:customStyle="1" w:styleId="apple-style-span">
    <w:name w:val="apple-style-span"/>
    <w:basedOn w:val="DefaultParagraphFont"/>
    <w:rsid w:val="00B330B3"/>
  </w:style>
  <w:style w:type="character" w:customStyle="1" w:styleId="BalloonTextChar1">
    <w:name w:val="Balloon Text Char1"/>
    <w:basedOn w:val="DefaultParagraphFont"/>
    <w:uiPriority w:val="99"/>
    <w:semiHidden/>
    <w:rsid w:val="00B330B3"/>
    <w:rPr>
      <w:rFonts w:ascii="Tahoma" w:eastAsia="SimSun" w:hAnsi="Tahoma" w:cs="Tahoma"/>
      <w:sz w:val="16"/>
      <w:szCs w:val="16"/>
      <w:lang w:eastAsia="en-US" w:bidi="en-US"/>
    </w:rPr>
  </w:style>
  <w:style w:type="paragraph" w:styleId="BodyText">
    <w:name w:val="Body Text"/>
    <w:basedOn w:val="Normal"/>
    <w:link w:val="BodyTextChar"/>
    <w:rsid w:val="00B330B3"/>
    <w:rPr>
      <w:rFonts w:eastAsia="SimSun" w:cs="Times New Roman"/>
      <w:sz w:val="24"/>
      <w:szCs w:val="24"/>
    </w:rPr>
  </w:style>
  <w:style w:type="character" w:customStyle="1" w:styleId="BodyTextChar">
    <w:name w:val="Body Text Char"/>
    <w:basedOn w:val="DefaultParagraphFont"/>
    <w:link w:val="BodyText"/>
    <w:rsid w:val="00B330B3"/>
    <w:rPr>
      <w:rFonts w:ascii="Times New Roman" w:eastAsia="SimSun" w:hAnsi="Times New Roman" w:cs="Times New Roman"/>
      <w:sz w:val="24"/>
      <w:szCs w:val="24"/>
    </w:rPr>
  </w:style>
  <w:style w:type="character" w:customStyle="1" w:styleId="BookTitle1">
    <w:name w:val="Book Title1"/>
    <w:uiPriority w:val="33"/>
    <w:qFormat/>
    <w:rsid w:val="00B330B3"/>
    <w:rPr>
      <w:rFonts w:ascii="Cambria" w:eastAsia="SimSun" w:hAnsi="Cambria" w:cs="Times New Roman"/>
      <w:b/>
      <w:bCs/>
      <w:smallCaps/>
      <w:color w:val="auto"/>
      <w:u w:val="single"/>
    </w:rPr>
  </w:style>
  <w:style w:type="paragraph" w:customStyle="1" w:styleId="ColorfulGrid-Accent11">
    <w:name w:val="Colorful Grid - Accent 11"/>
    <w:basedOn w:val="Normal"/>
    <w:next w:val="Normal"/>
    <w:link w:val="ColorfulGrid-Accent1Char"/>
    <w:uiPriority w:val="29"/>
    <w:qFormat/>
    <w:rsid w:val="00B330B3"/>
    <w:pPr>
      <w:adjustRightInd w:val="0"/>
      <w:snapToGrid w:val="0"/>
      <w:spacing w:before="120" w:after="120"/>
    </w:pPr>
    <w:rPr>
      <w:rFonts w:eastAsia="SimSun" w:cs="Times New Roman"/>
      <w:color w:val="5A5A5A"/>
      <w:sz w:val="24"/>
      <w:lang w:eastAsia="en-US" w:bidi="en-US"/>
    </w:rPr>
  </w:style>
  <w:style w:type="character" w:customStyle="1" w:styleId="ColorfulGrid-Accent1Char">
    <w:name w:val="Colorful Grid - Accent 1 Char"/>
    <w:basedOn w:val="DefaultParagraphFont"/>
    <w:link w:val="ColorfulGrid-Accent11"/>
    <w:uiPriority w:val="29"/>
    <w:rsid w:val="00B330B3"/>
    <w:rPr>
      <w:rFonts w:ascii="Times New Roman" w:eastAsia="SimSun" w:hAnsi="Times New Roman" w:cs="Times New Roman"/>
      <w:color w:val="5A5A5A"/>
      <w:sz w:val="24"/>
      <w:lang w:eastAsia="en-US" w:bidi="en-US"/>
    </w:rPr>
  </w:style>
  <w:style w:type="character" w:styleId="Emphasis">
    <w:name w:val="Emphasis"/>
    <w:uiPriority w:val="20"/>
    <w:qFormat/>
    <w:rsid w:val="00B330B3"/>
    <w:rPr>
      <w:b/>
      <w:bCs/>
      <w:i/>
      <w:iCs/>
      <w:color w:val="auto"/>
    </w:rPr>
  </w:style>
  <w:style w:type="numbering" w:customStyle="1" w:styleId="Equationnumber">
    <w:name w:val="Equation number"/>
    <w:uiPriority w:val="99"/>
    <w:rsid w:val="00B330B3"/>
    <w:pPr>
      <w:numPr>
        <w:numId w:val="35"/>
      </w:numPr>
    </w:pPr>
  </w:style>
  <w:style w:type="numbering" w:customStyle="1" w:styleId="Equationnumber1">
    <w:name w:val="Equation number1"/>
    <w:uiPriority w:val="99"/>
    <w:rsid w:val="00B330B3"/>
  </w:style>
  <w:style w:type="character" w:styleId="FollowedHyperlink">
    <w:name w:val="FollowedHyperlink"/>
    <w:basedOn w:val="DefaultParagraphFont"/>
    <w:uiPriority w:val="99"/>
    <w:semiHidden/>
    <w:unhideWhenUsed/>
    <w:rsid w:val="00B330B3"/>
    <w:rPr>
      <w:color w:val="800080"/>
      <w:u w:val="single"/>
    </w:rPr>
  </w:style>
  <w:style w:type="paragraph" w:customStyle="1" w:styleId="Footnote">
    <w:name w:val="Footnote"/>
    <w:basedOn w:val="FootnoteText"/>
    <w:link w:val="FootnoteChar"/>
    <w:qFormat/>
    <w:rsid w:val="00B330B3"/>
    <w:pPr>
      <w:adjustRightInd w:val="0"/>
      <w:snapToGrid w:val="0"/>
      <w:ind w:firstLine="0"/>
    </w:pPr>
    <w:rPr>
      <w:rFonts w:eastAsia="SimSun" w:cs="Times New Roman"/>
      <w:lang w:eastAsia="en-US" w:bidi="en-US"/>
    </w:rPr>
  </w:style>
  <w:style w:type="character" w:customStyle="1" w:styleId="FootnoteChar">
    <w:name w:val="Footnote Char"/>
    <w:basedOn w:val="FootnoteTextChar"/>
    <w:link w:val="Footnote"/>
    <w:rsid w:val="00B330B3"/>
    <w:rPr>
      <w:rFonts w:ascii="Times New Roman" w:eastAsia="SimSun" w:hAnsi="Times New Roman" w:cs="Times New Roman"/>
      <w:sz w:val="20"/>
      <w:szCs w:val="20"/>
      <w:lang w:eastAsia="en-US" w:bidi="en-US"/>
    </w:rPr>
  </w:style>
  <w:style w:type="paragraph" w:customStyle="1" w:styleId="fstparag">
    <w:name w:val="fst parag"/>
    <w:basedOn w:val="Normal"/>
    <w:link w:val="fstparagChar"/>
    <w:qFormat/>
    <w:rsid w:val="00B330B3"/>
    <w:pPr>
      <w:adjustRightInd w:val="0"/>
      <w:snapToGrid w:val="0"/>
      <w:spacing w:before="120"/>
      <w:ind w:firstLine="0"/>
    </w:pPr>
    <w:rPr>
      <w:rFonts w:eastAsia="SimSun" w:cs="Times New Roman"/>
      <w:lang w:eastAsia="en-US" w:bidi="en-US"/>
    </w:rPr>
  </w:style>
  <w:style w:type="character" w:customStyle="1" w:styleId="fstparagChar">
    <w:name w:val="fst parag Char"/>
    <w:basedOn w:val="DefaultParagraphFont"/>
    <w:link w:val="fstparag"/>
    <w:rsid w:val="00B330B3"/>
    <w:rPr>
      <w:rFonts w:ascii="Times New Roman" w:eastAsia="SimSun" w:hAnsi="Times New Roman" w:cs="Times New Roman"/>
      <w:lang w:eastAsia="en-US" w:bidi="en-US"/>
    </w:rPr>
  </w:style>
  <w:style w:type="paragraph" w:customStyle="1" w:styleId="garamond">
    <w:name w:val="garamond"/>
    <w:basedOn w:val="BodyText"/>
    <w:link w:val="garamondChar"/>
    <w:rsid w:val="00B330B3"/>
    <w:rPr>
      <w:rFonts w:ascii="Garamond" w:hAnsi="Garamond"/>
    </w:rPr>
  </w:style>
  <w:style w:type="character" w:customStyle="1" w:styleId="garamondChar">
    <w:name w:val="garamond Char"/>
    <w:basedOn w:val="BodyTextChar"/>
    <w:link w:val="garamond"/>
    <w:rsid w:val="00B330B3"/>
    <w:rPr>
      <w:rFonts w:ascii="Garamond" w:eastAsia="SimSun" w:hAnsi="Garamond" w:cs="Times New Roman"/>
      <w:sz w:val="24"/>
      <w:szCs w:val="24"/>
    </w:rPr>
  </w:style>
  <w:style w:type="character" w:customStyle="1" w:styleId="IntenseEmphasis1">
    <w:name w:val="Intense Emphasis1"/>
    <w:uiPriority w:val="21"/>
    <w:qFormat/>
    <w:rsid w:val="00B330B3"/>
    <w:rPr>
      <w:b/>
      <w:bCs/>
      <w:i/>
      <w:iCs/>
      <w:color w:val="auto"/>
      <w:u w:val="single"/>
    </w:rPr>
  </w:style>
  <w:style w:type="character" w:customStyle="1" w:styleId="IntenseReference1">
    <w:name w:val="Intense Reference1"/>
    <w:uiPriority w:val="32"/>
    <w:qFormat/>
    <w:rsid w:val="00B330B3"/>
    <w:rPr>
      <w:b/>
      <w:bCs/>
      <w:smallCaps/>
      <w:color w:val="auto"/>
    </w:rPr>
  </w:style>
  <w:style w:type="paragraph" w:customStyle="1" w:styleId="LightShading-Accent21">
    <w:name w:val="Light Shading - Accent 21"/>
    <w:basedOn w:val="Normal"/>
    <w:next w:val="Normal"/>
    <w:link w:val="LightShading-Accent2Char"/>
    <w:uiPriority w:val="30"/>
    <w:qFormat/>
    <w:rsid w:val="00B330B3"/>
    <w:pPr>
      <w:adjustRightInd w:val="0"/>
      <w:snapToGrid w:val="0"/>
      <w:spacing w:before="320" w:after="480"/>
      <w:ind w:left="720" w:right="720"/>
      <w:jc w:val="center"/>
    </w:pPr>
    <w:rPr>
      <w:rFonts w:ascii="Cambria" w:eastAsia="SimSun" w:hAnsi="Cambria" w:cs="Times New Roman"/>
      <w:i/>
      <w:iCs/>
      <w:sz w:val="20"/>
      <w:szCs w:val="20"/>
      <w:lang w:eastAsia="en-US" w:bidi="en-US"/>
    </w:rPr>
  </w:style>
  <w:style w:type="character" w:customStyle="1" w:styleId="LightShading-Accent2Char">
    <w:name w:val="Light Shading - Accent 2 Char"/>
    <w:basedOn w:val="DefaultParagraphFont"/>
    <w:link w:val="LightShading-Accent21"/>
    <w:uiPriority w:val="30"/>
    <w:rsid w:val="00B330B3"/>
    <w:rPr>
      <w:rFonts w:ascii="Cambria" w:eastAsia="SimSun" w:hAnsi="Cambria" w:cs="Times New Roman"/>
      <w:i/>
      <w:iCs/>
      <w:sz w:val="20"/>
      <w:szCs w:val="20"/>
      <w:lang w:eastAsia="en-US" w:bidi="en-US"/>
    </w:rPr>
  </w:style>
  <w:style w:type="numbering" w:customStyle="1" w:styleId="NoList1">
    <w:name w:val="No List1"/>
    <w:next w:val="NoList"/>
    <w:uiPriority w:val="99"/>
    <w:semiHidden/>
    <w:unhideWhenUsed/>
    <w:rsid w:val="00B330B3"/>
  </w:style>
  <w:style w:type="numbering" w:customStyle="1" w:styleId="NoList11">
    <w:name w:val="No List11"/>
    <w:next w:val="NoList"/>
    <w:uiPriority w:val="99"/>
    <w:semiHidden/>
    <w:unhideWhenUsed/>
    <w:rsid w:val="00B330B3"/>
  </w:style>
  <w:style w:type="numbering" w:customStyle="1" w:styleId="NoList2">
    <w:name w:val="No List2"/>
    <w:next w:val="NoList"/>
    <w:uiPriority w:val="99"/>
    <w:semiHidden/>
    <w:unhideWhenUsed/>
    <w:rsid w:val="00B330B3"/>
  </w:style>
  <w:style w:type="numbering" w:customStyle="1" w:styleId="NoList3">
    <w:name w:val="No List3"/>
    <w:next w:val="NoList"/>
    <w:uiPriority w:val="99"/>
    <w:semiHidden/>
    <w:unhideWhenUsed/>
    <w:rsid w:val="00B330B3"/>
  </w:style>
  <w:style w:type="paragraph" w:styleId="NoSpacing">
    <w:name w:val="No Spacing"/>
    <w:link w:val="NoSpacingChar1"/>
    <w:uiPriority w:val="1"/>
    <w:qFormat/>
    <w:rsid w:val="00B330B3"/>
    <w:pPr>
      <w:spacing w:after="0" w:line="240" w:lineRule="auto"/>
      <w:jc w:val="center"/>
    </w:pPr>
    <w:rPr>
      <w:rFonts w:ascii="Times New Roman" w:eastAsia="SimSun" w:hAnsi="Times New Roman" w:cs="Times New Roman"/>
    </w:rPr>
  </w:style>
  <w:style w:type="character" w:customStyle="1" w:styleId="NoSpacingChar1">
    <w:name w:val="No Spacing Char1"/>
    <w:basedOn w:val="DefaultParagraphFont"/>
    <w:link w:val="NoSpacing"/>
    <w:uiPriority w:val="1"/>
    <w:rsid w:val="00B330B3"/>
    <w:rPr>
      <w:rFonts w:ascii="Times New Roman" w:eastAsia="SimSun" w:hAnsi="Times New Roman" w:cs="Times New Roman"/>
    </w:rPr>
  </w:style>
  <w:style w:type="paragraph" w:customStyle="1" w:styleId="NoSpacing1">
    <w:name w:val="No Spacing1"/>
    <w:basedOn w:val="Normal"/>
    <w:link w:val="NoSpacingChar"/>
    <w:uiPriority w:val="99"/>
    <w:qFormat/>
    <w:rsid w:val="00B330B3"/>
    <w:pPr>
      <w:adjustRightInd w:val="0"/>
      <w:snapToGrid w:val="0"/>
      <w:spacing w:line="360" w:lineRule="auto"/>
    </w:pPr>
    <w:rPr>
      <w:rFonts w:eastAsia="SimSun" w:cs="Times New Roman"/>
      <w:lang w:eastAsia="en-US" w:bidi="en-US"/>
    </w:rPr>
  </w:style>
  <w:style w:type="character" w:customStyle="1" w:styleId="NoSpacingChar">
    <w:name w:val="No Spacing Char"/>
    <w:basedOn w:val="DefaultParagraphFont"/>
    <w:link w:val="NoSpacing1"/>
    <w:uiPriority w:val="99"/>
    <w:rsid w:val="00B330B3"/>
    <w:rPr>
      <w:rFonts w:ascii="Times New Roman" w:eastAsia="SimSun" w:hAnsi="Times New Roman" w:cs="Times New Roman"/>
      <w:lang w:eastAsia="en-US" w:bidi="en-US"/>
    </w:rPr>
  </w:style>
  <w:style w:type="paragraph" w:customStyle="1" w:styleId="Nostart">
    <w:name w:val="No start"/>
    <w:basedOn w:val="Normal"/>
    <w:link w:val="NostartChar"/>
    <w:rsid w:val="00B330B3"/>
    <w:pPr>
      <w:ind w:firstLine="0"/>
    </w:pPr>
    <w:rPr>
      <w:rFonts w:ascii="Cambria Math" w:eastAsia="Calibri" w:hAnsi="Cambria Math" w:cs="Times New Roman"/>
      <w:i/>
      <w:lang w:eastAsia="en-US"/>
    </w:rPr>
  </w:style>
  <w:style w:type="character" w:customStyle="1" w:styleId="NostartChar">
    <w:name w:val="No start Char"/>
    <w:basedOn w:val="DefaultParagraphFont"/>
    <w:link w:val="Nostart"/>
    <w:rsid w:val="00B330B3"/>
    <w:rPr>
      <w:rFonts w:ascii="Cambria Math" w:eastAsia="Calibri" w:hAnsi="Cambria Math" w:cs="Times New Roman"/>
      <w:i/>
      <w:lang w:eastAsia="en-US"/>
    </w:rPr>
  </w:style>
  <w:style w:type="character" w:styleId="PageNumber">
    <w:name w:val="page number"/>
    <w:basedOn w:val="DefaultParagraphFont"/>
    <w:rsid w:val="00B330B3"/>
  </w:style>
  <w:style w:type="paragraph" w:customStyle="1" w:styleId="pagecontents">
    <w:name w:val="pagecontents"/>
    <w:basedOn w:val="Normal"/>
    <w:rsid w:val="00B330B3"/>
    <w:pPr>
      <w:spacing w:before="100" w:beforeAutospacing="1" w:after="100" w:afterAutospacing="1" w:line="240" w:lineRule="auto"/>
    </w:pPr>
    <w:rPr>
      <w:rFonts w:ascii="Verdana" w:eastAsia="Times New Roman" w:hAnsi="Verdana" w:cs="Times New Roman"/>
      <w:color w:val="000000"/>
      <w:sz w:val="13"/>
      <w:szCs w:val="13"/>
    </w:rPr>
  </w:style>
  <w:style w:type="character" w:customStyle="1" w:styleId="PlaceholderText1">
    <w:name w:val="Placeholder Text1"/>
    <w:basedOn w:val="DefaultParagraphFont"/>
    <w:uiPriority w:val="99"/>
    <w:semiHidden/>
    <w:rsid w:val="00B330B3"/>
    <w:rPr>
      <w:color w:val="808080"/>
    </w:rPr>
  </w:style>
  <w:style w:type="character" w:styleId="Strong">
    <w:name w:val="Strong"/>
    <w:basedOn w:val="DefaultParagraphFont"/>
    <w:uiPriority w:val="22"/>
    <w:qFormat/>
    <w:rsid w:val="00B330B3"/>
    <w:rPr>
      <w:b/>
      <w:bCs/>
      <w:spacing w:val="0"/>
    </w:rPr>
  </w:style>
  <w:style w:type="paragraph" w:styleId="Subtitle">
    <w:name w:val="Subtitle"/>
    <w:basedOn w:val="Normal"/>
    <w:next w:val="Normal"/>
    <w:link w:val="SubtitleChar"/>
    <w:uiPriority w:val="11"/>
    <w:qFormat/>
    <w:rsid w:val="00B330B3"/>
    <w:pPr>
      <w:adjustRightInd w:val="0"/>
      <w:snapToGrid w:val="0"/>
      <w:spacing w:before="120" w:after="320"/>
      <w:jc w:val="right"/>
    </w:pPr>
    <w:rPr>
      <w:rFonts w:eastAsia="SimSun" w:cs="Times New Roman"/>
      <w:i/>
      <w:iCs/>
      <w:color w:val="808080"/>
      <w:spacing w:val="10"/>
      <w:sz w:val="24"/>
      <w:szCs w:val="24"/>
      <w:lang w:eastAsia="en-US" w:bidi="en-US"/>
    </w:rPr>
  </w:style>
  <w:style w:type="character" w:customStyle="1" w:styleId="SubtitleChar">
    <w:name w:val="Subtitle Char"/>
    <w:basedOn w:val="DefaultParagraphFont"/>
    <w:link w:val="Subtitle"/>
    <w:uiPriority w:val="11"/>
    <w:rsid w:val="00B330B3"/>
    <w:rPr>
      <w:rFonts w:ascii="Times New Roman" w:eastAsia="SimSun" w:hAnsi="Times New Roman" w:cs="Times New Roman"/>
      <w:i/>
      <w:iCs/>
      <w:color w:val="808080"/>
      <w:spacing w:val="10"/>
      <w:sz w:val="24"/>
      <w:szCs w:val="24"/>
      <w:lang w:eastAsia="en-US" w:bidi="en-US"/>
    </w:rPr>
  </w:style>
  <w:style w:type="character" w:customStyle="1" w:styleId="SubtleEmphasis1">
    <w:name w:val="Subtle Emphasis1"/>
    <w:uiPriority w:val="19"/>
    <w:qFormat/>
    <w:rsid w:val="00B330B3"/>
    <w:rPr>
      <w:i/>
      <w:iCs/>
      <w:color w:val="5A5A5A"/>
    </w:rPr>
  </w:style>
  <w:style w:type="character" w:customStyle="1" w:styleId="SubtleReference1">
    <w:name w:val="Subtle Reference1"/>
    <w:uiPriority w:val="31"/>
    <w:qFormat/>
    <w:rsid w:val="00B330B3"/>
    <w:rPr>
      <w:smallCaps/>
    </w:rPr>
  </w:style>
  <w:style w:type="paragraph" w:customStyle="1" w:styleId="Table1stcol">
    <w:name w:val="Table 1st col"/>
    <w:basedOn w:val="Table"/>
    <w:link w:val="Table1stcolChar"/>
    <w:qFormat/>
    <w:rsid w:val="00B330B3"/>
    <w:pPr>
      <w:framePr w:hSpace="180" w:wrap="around" w:vAnchor="text" w:hAnchor="text" w:xAlign="center" w:y="1"/>
      <w:adjustRightInd w:val="0"/>
      <w:snapToGrid w:val="0"/>
      <w:ind w:right="2"/>
      <w:suppressOverlap/>
      <w:jc w:val="center"/>
    </w:pPr>
    <w:rPr>
      <w:rFonts w:eastAsia="SimSun" w:cs="Times New Roman"/>
      <w:color w:val="000000"/>
      <w:sz w:val="20"/>
      <w:szCs w:val="20"/>
      <w:lang w:eastAsia="en-US"/>
    </w:rPr>
  </w:style>
  <w:style w:type="character" w:customStyle="1" w:styleId="Table1stcolChar">
    <w:name w:val="Table 1st col Char"/>
    <w:basedOn w:val="TableChar"/>
    <w:link w:val="Table1stcol"/>
    <w:rsid w:val="00B330B3"/>
    <w:rPr>
      <w:rFonts w:ascii="Times New Roman" w:eastAsia="SimSun" w:hAnsi="Times New Roman" w:cs="Times New Roman"/>
      <w:color w:val="000000"/>
      <w:sz w:val="20"/>
      <w:szCs w:val="20"/>
      <w:lang w:eastAsia="en-US"/>
    </w:rPr>
  </w:style>
  <w:style w:type="table" w:customStyle="1" w:styleId="TableGrid1">
    <w:name w:val="Table Grid1"/>
    <w:basedOn w:val="TableNormal"/>
    <w:next w:val="TableGrid"/>
    <w:uiPriority w:val="59"/>
    <w:rsid w:val="00B330B3"/>
    <w:pPr>
      <w:spacing w:after="0" w:line="240" w:lineRule="auto"/>
    </w:pPr>
    <w:rPr>
      <w:rFonts w:ascii="Calibri" w:eastAsia="SimSu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B330B3"/>
    <w:pPr>
      <w:spacing w:after="0" w:line="240" w:lineRule="auto"/>
    </w:pPr>
    <w:rPr>
      <w:rFonts w:ascii="Calibri" w:eastAsia="SimSu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330B3"/>
    <w:pPr>
      <w:spacing w:after="0" w:line="240" w:lineRule="auto"/>
    </w:pPr>
    <w:rPr>
      <w:rFonts w:ascii="Calibri" w:eastAsia="SimSu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330B3"/>
    <w:pPr>
      <w:spacing w:after="0" w:line="240" w:lineRule="auto"/>
    </w:pPr>
    <w:rPr>
      <w:rFonts w:ascii="Calibri" w:eastAsia="SimSu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B330B3"/>
    <w:pPr>
      <w:spacing w:after="0" w:line="240" w:lineRule="auto"/>
    </w:pPr>
    <w:rPr>
      <w:rFonts w:ascii="Calibri" w:eastAsia="SimSu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B33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xjd">
    <w:name w:val="Table xjd"/>
    <w:basedOn w:val="NoSpacing"/>
    <w:link w:val="TablexjdChar"/>
    <w:qFormat/>
    <w:rsid w:val="00B330B3"/>
    <w:rPr>
      <w:sz w:val="20"/>
      <w:szCs w:val="20"/>
      <w:lang w:eastAsia="en-US" w:bidi="en-US"/>
    </w:rPr>
  </w:style>
  <w:style w:type="character" w:customStyle="1" w:styleId="TablexjdChar">
    <w:name w:val="Table xjd Char"/>
    <w:basedOn w:val="NoSpacingChar1"/>
    <w:link w:val="Tablexjd"/>
    <w:rsid w:val="00B330B3"/>
    <w:rPr>
      <w:rFonts w:ascii="Times New Roman" w:eastAsia="SimSun" w:hAnsi="Times New Roman" w:cs="Times New Roman"/>
      <w:sz w:val="20"/>
      <w:szCs w:val="20"/>
      <w:lang w:eastAsia="en-US" w:bidi="en-US"/>
    </w:rPr>
  </w:style>
  <w:style w:type="paragraph" w:styleId="Title">
    <w:name w:val="Title"/>
    <w:basedOn w:val="Normal"/>
    <w:next w:val="Normal"/>
    <w:link w:val="TitleChar"/>
    <w:uiPriority w:val="10"/>
    <w:qFormat/>
    <w:rsid w:val="00B330B3"/>
    <w:pPr>
      <w:adjustRightInd w:val="0"/>
      <w:snapToGrid w:val="0"/>
      <w:spacing w:before="120" w:after="120"/>
    </w:pPr>
    <w:rPr>
      <w:rFonts w:ascii="Cambria" w:eastAsia="SimSun" w:hAnsi="Cambria" w:cs="Times New Roman"/>
      <w:b/>
      <w:bCs/>
      <w:i/>
      <w:iCs/>
      <w:spacing w:val="10"/>
      <w:sz w:val="60"/>
      <w:szCs w:val="60"/>
      <w:lang w:eastAsia="en-US" w:bidi="en-US"/>
    </w:rPr>
  </w:style>
  <w:style w:type="character" w:customStyle="1" w:styleId="TitleChar">
    <w:name w:val="Title Char"/>
    <w:basedOn w:val="DefaultParagraphFont"/>
    <w:link w:val="Title"/>
    <w:uiPriority w:val="10"/>
    <w:rsid w:val="00B330B3"/>
    <w:rPr>
      <w:rFonts w:ascii="Cambria" w:eastAsia="SimSun" w:hAnsi="Cambria" w:cs="Times New Roman"/>
      <w:b/>
      <w:bCs/>
      <w:i/>
      <w:iCs/>
      <w:spacing w:val="10"/>
      <w:sz w:val="60"/>
      <w:szCs w:val="60"/>
      <w:lang w:eastAsia="en-US" w:bidi="en-US"/>
    </w:rPr>
  </w:style>
  <w:style w:type="paragraph" w:customStyle="1" w:styleId="TOCHeading1">
    <w:name w:val="TOC Heading1"/>
    <w:basedOn w:val="Heading1"/>
    <w:next w:val="Normal"/>
    <w:uiPriority w:val="39"/>
    <w:qFormat/>
    <w:rsid w:val="00B330B3"/>
    <w:pPr>
      <w:keepNext w:val="0"/>
      <w:keepLines w:val="0"/>
      <w:adjustRightInd w:val="0"/>
      <w:snapToGrid w:val="0"/>
      <w:spacing w:before="360" w:line="360" w:lineRule="auto"/>
      <w:jc w:val="center"/>
      <w:outlineLvl w:val="9"/>
    </w:pPr>
    <w:rPr>
      <w:rFonts w:ascii="Cambria" w:eastAsia="Calibri" w:hAnsi="Cambria" w:cs="Times New Roman"/>
      <w:i/>
      <w:iCs/>
      <w:color w:val="auto"/>
      <w:sz w:val="24"/>
      <w:szCs w:val="24"/>
      <w:lang w:eastAsia="en-US" w:bidi="en-US"/>
    </w:rPr>
  </w:style>
  <w:style w:type="paragraph" w:customStyle="1" w:styleId="reference">
    <w:name w:val="reference"/>
    <w:basedOn w:val="Normal"/>
    <w:qFormat/>
    <w:rsid w:val="00C87019"/>
    <w:rPr>
      <w:rFonts w:eastAsia="SimSun" w:cs="Times New Roman"/>
      <w:szCs w:val="23"/>
    </w:rPr>
  </w:style>
  <w:style w:type="paragraph" w:customStyle="1" w:styleId="Default">
    <w:name w:val="Default"/>
    <w:rsid w:val="00E013D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5">
    <w:name w:val="Table Grid5"/>
    <w:basedOn w:val="TableNormal"/>
    <w:next w:val="TableGrid"/>
    <w:uiPriority w:val="59"/>
    <w:rsid w:val="00D57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B156A2"/>
  </w:style>
  <w:style w:type="character" w:customStyle="1" w:styleId="authors">
    <w:name w:val="authors"/>
    <w:basedOn w:val="DefaultParagraphFont"/>
    <w:rsid w:val="004B2297"/>
  </w:style>
  <w:style w:type="character" w:customStyle="1" w:styleId="worktitle">
    <w:name w:val="worktitle"/>
    <w:basedOn w:val="DefaultParagraphFont"/>
    <w:rsid w:val="00D30D48"/>
    <w:rPr>
      <w:i/>
      <w:iCs/>
    </w:rPr>
  </w:style>
  <w:style w:type="character" w:customStyle="1" w:styleId="articletitle">
    <w:name w:val="articletitle"/>
    <w:basedOn w:val="DefaultParagraphFont"/>
    <w:rsid w:val="00D30D48"/>
    <w:rPr>
      <w:i/>
      <w:iCs/>
    </w:rPr>
  </w:style>
  <w:style w:type="character" w:customStyle="1" w:styleId="name">
    <w:name w:val="name"/>
    <w:basedOn w:val="DefaultParagraphFont"/>
    <w:rsid w:val="00D30D48"/>
  </w:style>
  <w:style w:type="character" w:customStyle="1" w:styleId="Date1">
    <w:name w:val="Date1"/>
    <w:basedOn w:val="DefaultParagraphFont"/>
    <w:rsid w:val="00D30D48"/>
  </w:style>
  <w:style w:type="character" w:customStyle="1" w:styleId="volume">
    <w:name w:val="volume"/>
    <w:basedOn w:val="DefaultParagraphFont"/>
    <w:rsid w:val="00D30D48"/>
  </w:style>
  <w:style w:type="character" w:customStyle="1" w:styleId="number">
    <w:name w:val="number"/>
    <w:basedOn w:val="DefaultParagraphFont"/>
    <w:rsid w:val="00D30D48"/>
  </w:style>
  <w:style w:type="character" w:customStyle="1" w:styleId="pages">
    <w:name w:val="pages"/>
    <w:basedOn w:val="DefaultParagraphFont"/>
    <w:rsid w:val="00D30D48"/>
  </w:style>
  <w:style w:type="character" w:customStyle="1" w:styleId="nlmstring-name">
    <w:name w:val="nlm_string-name"/>
    <w:basedOn w:val="DefaultParagraphFont"/>
    <w:rsid w:val="00F51FDE"/>
  </w:style>
  <w:style w:type="character" w:customStyle="1" w:styleId="nlmyear">
    <w:name w:val="nlm_year"/>
    <w:basedOn w:val="DefaultParagraphFont"/>
    <w:rsid w:val="00F51FDE"/>
  </w:style>
  <w:style w:type="character" w:customStyle="1" w:styleId="nlmarticle-title">
    <w:name w:val="nlm_article-title"/>
    <w:basedOn w:val="DefaultParagraphFont"/>
    <w:rsid w:val="00F51FDE"/>
  </w:style>
  <w:style w:type="character" w:customStyle="1" w:styleId="nlmfpage">
    <w:name w:val="nlm_fpage"/>
    <w:basedOn w:val="DefaultParagraphFont"/>
    <w:rsid w:val="00F51FDE"/>
  </w:style>
  <w:style w:type="character" w:customStyle="1" w:styleId="nlmlpage">
    <w:name w:val="nlm_lpage"/>
    <w:basedOn w:val="DefaultParagraphFont"/>
    <w:rsid w:val="00F51FDE"/>
  </w:style>
  <w:style w:type="numbering" w:customStyle="1" w:styleId="NumEquation2">
    <w:name w:val="NumEquation2"/>
    <w:uiPriority w:val="99"/>
    <w:rsid w:val="0035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7638">
      <w:bodyDiv w:val="1"/>
      <w:marLeft w:val="0"/>
      <w:marRight w:val="0"/>
      <w:marTop w:val="0"/>
      <w:marBottom w:val="0"/>
      <w:divBdr>
        <w:top w:val="none" w:sz="0" w:space="0" w:color="auto"/>
        <w:left w:val="none" w:sz="0" w:space="0" w:color="auto"/>
        <w:bottom w:val="none" w:sz="0" w:space="0" w:color="auto"/>
        <w:right w:val="none" w:sz="0" w:space="0" w:color="auto"/>
      </w:divBdr>
    </w:div>
    <w:div w:id="113524933">
      <w:bodyDiv w:val="1"/>
      <w:marLeft w:val="0"/>
      <w:marRight w:val="0"/>
      <w:marTop w:val="0"/>
      <w:marBottom w:val="0"/>
      <w:divBdr>
        <w:top w:val="none" w:sz="0" w:space="0" w:color="auto"/>
        <w:left w:val="none" w:sz="0" w:space="0" w:color="auto"/>
        <w:bottom w:val="none" w:sz="0" w:space="0" w:color="auto"/>
        <w:right w:val="none" w:sz="0" w:space="0" w:color="auto"/>
      </w:divBdr>
    </w:div>
    <w:div w:id="202596601">
      <w:bodyDiv w:val="1"/>
      <w:marLeft w:val="0"/>
      <w:marRight w:val="0"/>
      <w:marTop w:val="0"/>
      <w:marBottom w:val="0"/>
      <w:divBdr>
        <w:top w:val="none" w:sz="0" w:space="0" w:color="auto"/>
        <w:left w:val="none" w:sz="0" w:space="0" w:color="auto"/>
        <w:bottom w:val="none" w:sz="0" w:space="0" w:color="auto"/>
        <w:right w:val="none" w:sz="0" w:space="0" w:color="auto"/>
      </w:divBdr>
    </w:div>
    <w:div w:id="230653403">
      <w:bodyDiv w:val="1"/>
      <w:marLeft w:val="0"/>
      <w:marRight w:val="0"/>
      <w:marTop w:val="0"/>
      <w:marBottom w:val="0"/>
      <w:divBdr>
        <w:top w:val="none" w:sz="0" w:space="0" w:color="auto"/>
        <w:left w:val="none" w:sz="0" w:space="0" w:color="auto"/>
        <w:bottom w:val="none" w:sz="0" w:space="0" w:color="auto"/>
        <w:right w:val="none" w:sz="0" w:space="0" w:color="auto"/>
      </w:divBdr>
      <w:divsChild>
        <w:div w:id="191191870">
          <w:marLeft w:val="0"/>
          <w:marRight w:val="0"/>
          <w:marTop w:val="0"/>
          <w:marBottom w:val="0"/>
          <w:divBdr>
            <w:top w:val="none" w:sz="0" w:space="0" w:color="auto"/>
            <w:left w:val="none" w:sz="0" w:space="0" w:color="auto"/>
            <w:bottom w:val="none" w:sz="0" w:space="0" w:color="auto"/>
            <w:right w:val="none" w:sz="0" w:space="0" w:color="auto"/>
          </w:divBdr>
          <w:divsChild>
            <w:div w:id="150558443">
              <w:marLeft w:val="0"/>
              <w:marRight w:val="0"/>
              <w:marTop w:val="0"/>
              <w:marBottom w:val="0"/>
              <w:divBdr>
                <w:top w:val="none" w:sz="0" w:space="0" w:color="auto"/>
                <w:left w:val="none" w:sz="0" w:space="0" w:color="auto"/>
                <w:bottom w:val="none" w:sz="0" w:space="0" w:color="auto"/>
                <w:right w:val="none" w:sz="0" w:space="0" w:color="auto"/>
              </w:divBdr>
              <w:divsChild>
                <w:div w:id="59836441">
                  <w:marLeft w:val="0"/>
                  <w:marRight w:val="0"/>
                  <w:marTop w:val="0"/>
                  <w:marBottom w:val="0"/>
                  <w:divBdr>
                    <w:top w:val="none" w:sz="0" w:space="0" w:color="auto"/>
                    <w:left w:val="none" w:sz="0" w:space="0" w:color="auto"/>
                    <w:bottom w:val="none" w:sz="0" w:space="0" w:color="auto"/>
                    <w:right w:val="none" w:sz="0" w:space="0" w:color="auto"/>
                  </w:divBdr>
                </w:div>
                <w:div w:id="1093280817">
                  <w:marLeft w:val="0"/>
                  <w:marRight w:val="0"/>
                  <w:marTop w:val="0"/>
                  <w:marBottom w:val="0"/>
                  <w:divBdr>
                    <w:top w:val="none" w:sz="0" w:space="0" w:color="auto"/>
                    <w:left w:val="none" w:sz="0" w:space="0" w:color="auto"/>
                    <w:bottom w:val="none" w:sz="0" w:space="0" w:color="auto"/>
                    <w:right w:val="none" w:sz="0" w:space="0" w:color="auto"/>
                  </w:divBdr>
                </w:div>
              </w:divsChild>
            </w:div>
            <w:div w:id="17907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6601">
      <w:bodyDiv w:val="1"/>
      <w:marLeft w:val="0"/>
      <w:marRight w:val="0"/>
      <w:marTop w:val="0"/>
      <w:marBottom w:val="0"/>
      <w:divBdr>
        <w:top w:val="none" w:sz="0" w:space="0" w:color="auto"/>
        <w:left w:val="none" w:sz="0" w:space="0" w:color="auto"/>
        <w:bottom w:val="none" w:sz="0" w:space="0" w:color="auto"/>
        <w:right w:val="none" w:sz="0" w:space="0" w:color="auto"/>
      </w:divBdr>
    </w:div>
    <w:div w:id="606961593">
      <w:bodyDiv w:val="1"/>
      <w:marLeft w:val="0"/>
      <w:marRight w:val="0"/>
      <w:marTop w:val="0"/>
      <w:marBottom w:val="0"/>
      <w:divBdr>
        <w:top w:val="none" w:sz="0" w:space="0" w:color="auto"/>
        <w:left w:val="none" w:sz="0" w:space="0" w:color="auto"/>
        <w:bottom w:val="none" w:sz="0" w:space="0" w:color="auto"/>
        <w:right w:val="none" w:sz="0" w:space="0" w:color="auto"/>
      </w:divBdr>
    </w:div>
    <w:div w:id="758212985">
      <w:bodyDiv w:val="1"/>
      <w:marLeft w:val="0"/>
      <w:marRight w:val="0"/>
      <w:marTop w:val="0"/>
      <w:marBottom w:val="0"/>
      <w:divBdr>
        <w:top w:val="none" w:sz="0" w:space="0" w:color="auto"/>
        <w:left w:val="none" w:sz="0" w:space="0" w:color="auto"/>
        <w:bottom w:val="none" w:sz="0" w:space="0" w:color="auto"/>
        <w:right w:val="none" w:sz="0" w:space="0" w:color="auto"/>
      </w:divBdr>
    </w:div>
    <w:div w:id="825318673">
      <w:bodyDiv w:val="1"/>
      <w:marLeft w:val="0"/>
      <w:marRight w:val="0"/>
      <w:marTop w:val="0"/>
      <w:marBottom w:val="0"/>
      <w:divBdr>
        <w:top w:val="none" w:sz="0" w:space="0" w:color="auto"/>
        <w:left w:val="none" w:sz="0" w:space="0" w:color="auto"/>
        <w:bottom w:val="none" w:sz="0" w:space="0" w:color="auto"/>
        <w:right w:val="none" w:sz="0" w:space="0" w:color="auto"/>
      </w:divBdr>
    </w:div>
    <w:div w:id="838543382">
      <w:bodyDiv w:val="1"/>
      <w:marLeft w:val="0"/>
      <w:marRight w:val="0"/>
      <w:marTop w:val="0"/>
      <w:marBottom w:val="0"/>
      <w:divBdr>
        <w:top w:val="none" w:sz="0" w:space="0" w:color="auto"/>
        <w:left w:val="none" w:sz="0" w:space="0" w:color="auto"/>
        <w:bottom w:val="none" w:sz="0" w:space="0" w:color="auto"/>
        <w:right w:val="none" w:sz="0" w:space="0" w:color="auto"/>
      </w:divBdr>
    </w:div>
    <w:div w:id="861166921">
      <w:bodyDiv w:val="1"/>
      <w:marLeft w:val="0"/>
      <w:marRight w:val="0"/>
      <w:marTop w:val="0"/>
      <w:marBottom w:val="0"/>
      <w:divBdr>
        <w:top w:val="none" w:sz="0" w:space="0" w:color="auto"/>
        <w:left w:val="none" w:sz="0" w:space="0" w:color="auto"/>
        <w:bottom w:val="none" w:sz="0" w:space="0" w:color="auto"/>
        <w:right w:val="none" w:sz="0" w:space="0" w:color="auto"/>
      </w:divBdr>
    </w:div>
    <w:div w:id="1258057054">
      <w:bodyDiv w:val="1"/>
      <w:marLeft w:val="0"/>
      <w:marRight w:val="0"/>
      <w:marTop w:val="0"/>
      <w:marBottom w:val="0"/>
      <w:divBdr>
        <w:top w:val="none" w:sz="0" w:space="0" w:color="auto"/>
        <w:left w:val="none" w:sz="0" w:space="0" w:color="auto"/>
        <w:bottom w:val="none" w:sz="0" w:space="0" w:color="auto"/>
        <w:right w:val="none" w:sz="0" w:space="0" w:color="auto"/>
      </w:divBdr>
    </w:div>
    <w:div w:id="1264991892">
      <w:bodyDiv w:val="1"/>
      <w:marLeft w:val="0"/>
      <w:marRight w:val="0"/>
      <w:marTop w:val="0"/>
      <w:marBottom w:val="0"/>
      <w:divBdr>
        <w:top w:val="none" w:sz="0" w:space="0" w:color="auto"/>
        <w:left w:val="none" w:sz="0" w:space="0" w:color="auto"/>
        <w:bottom w:val="none" w:sz="0" w:space="0" w:color="auto"/>
        <w:right w:val="none" w:sz="0" w:space="0" w:color="auto"/>
      </w:divBdr>
    </w:div>
    <w:div w:id="1351881145">
      <w:bodyDiv w:val="1"/>
      <w:marLeft w:val="0"/>
      <w:marRight w:val="0"/>
      <w:marTop w:val="0"/>
      <w:marBottom w:val="0"/>
      <w:divBdr>
        <w:top w:val="none" w:sz="0" w:space="0" w:color="auto"/>
        <w:left w:val="none" w:sz="0" w:space="0" w:color="auto"/>
        <w:bottom w:val="none" w:sz="0" w:space="0" w:color="auto"/>
        <w:right w:val="none" w:sz="0" w:space="0" w:color="auto"/>
      </w:divBdr>
    </w:div>
    <w:div w:id="1451587763">
      <w:bodyDiv w:val="1"/>
      <w:marLeft w:val="0"/>
      <w:marRight w:val="0"/>
      <w:marTop w:val="0"/>
      <w:marBottom w:val="0"/>
      <w:divBdr>
        <w:top w:val="none" w:sz="0" w:space="0" w:color="auto"/>
        <w:left w:val="none" w:sz="0" w:space="0" w:color="auto"/>
        <w:bottom w:val="none" w:sz="0" w:space="0" w:color="auto"/>
        <w:right w:val="none" w:sz="0" w:space="0" w:color="auto"/>
      </w:divBdr>
    </w:div>
    <w:div w:id="1454862986">
      <w:bodyDiv w:val="1"/>
      <w:marLeft w:val="0"/>
      <w:marRight w:val="0"/>
      <w:marTop w:val="0"/>
      <w:marBottom w:val="0"/>
      <w:divBdr>
        <w:top w:val="none" w:sz="0" w:space="0" w:color="auto"/>
        <w:left w:val="none" w:sz="0" w:space="0" w:color="auto"/>
        <w:bottom w:val="none" w:sz="0" w:space="0" w:color="auto"/>
        <w:right w:val="none" w:sz="0" w:space="0" w:color="auto"/>
      </w:divBdr>
    </w:div>
    <w:div w:id="1461144590">
      <w:bodyDiv w:val="1"/>
      <w:marLeft w:val="0"/>
      <w:marRight w:val="0"/>
      <w:marTop w:val="0"/>
      <w:marBottom w:val="0"/>
      <w:divBdr>
        <w:top w:val="none" w:sz="0" w:space="0" w:color="auto"/>
        <w:left w:val="none" w:sz="0" w:space="0" w:color="auto"/>
        <w:bottom w:val="none" w:sz="0" w:space="0" w:color="auto"/>
        <w:right w:val="none" w:sz="0" w:space="0" w:color="auto"/>
      </w:divBdr>
    </w:div>
    <w:div w:id="1674602435">
      <w:bodyDiv w:val="1"/>
      <w:marLeft w:val="0"/>
      <w:marRight w:val="0"/>
      <w:marTop w:val="0"/>
      <w:marBottom w:val="0"/>
      <w:divBdr>
        <w:top w:val="none" w:sz="0" w:space="0" w:color="auto"/>
        <w:left w:val="none" w:sz="0" w:space="0" w:color="auto"/>
        <w:bottom w:val="none" w:sz="0" w:space="0" w:color="auto"/>
        <w:right w:val="none" w:sz="0" w:space="0" w:color="auto"/>
      </w:divBdr>
      <w:divsChild>
        <w:div w:id="1835028601">
          <w:marLeft w:val="0"/>
          <w:marRight w:val="0"/>
          <w:marTop w:val="0"/>
          <w:marBottom w:val="600"/>
          <w:divBdr>
            <w:top w:val="none" w:sz="0" w:space="0" w:color="auto"/>
            <w:left w:val="none" w:sz="0" w:space="0" w:color="auto"/>
            <w:bottom w:val="none" w:sz="0" w:space="0" w:color="auto"/>
            <w:right w:val="none" w:sz="0" w:space="0" w:color="auto"/>
          </w:divBdr>
          <w:divsChild>
            <w:div w:id="865947513">
              <w:marLeft w:val="0"/>
              <w:marRight w:val="0"/>
              <w:marTop w:val="0"/>
              <w:marBottom w:val="0"/>
              <w:divBdr>
                <w:top w:val="none" w:sz="0" w:space="0" w:color="auto"/>
                <w:left w:val="none" w:sz="0" w:space="0" w:color="auto"/>
                <w:bottom w:val="none" w:sz="0" w:space="0" w:color="auto"/>
                <w:right w:val="none" w:sz="0" w:space="0" w:color="auto"/>
              </w:divBdr>
              <w:divsChild>
                <w:div w:id="1939947359">
                  <w:marLeft w:val="0"/>
                  <w:marRight w:val="0"/>
                  <w:marTop w:val="0"/>
                  <w:marBottom w:val="0"/>
                  <w:divBdr>
                    <w:top w:val="none" w:sz="0" w:space="0" w:color="auto"/>
                    <w:left w:val="none" w:sz="0" w:space="0" w:color="auto"/>
                    <w:bottom w:val="single" w:sz="36" w:space="11" w:color="522A84"/>
                    <w:right w:val="none" w:sz="0" w:space="0" w:color="auto"/>
                  </w:divBdr>
                  <w:divsChild>
                    <w:div w:id="1715500690">
                      <w:marLeft w:val="0"/>
                      <w:marRight w:val="0"/>
                      <w:marTop w:val="0"/>
                      <w:marBottom w:val="0"/>
                      <w:divBdr>
                        <w:top w:val="none" w:sz="0" w:space="0" w:color="auto"/>
                        <w:left w:val="none" w:sz="0" w:space="0" w:color="auto"/>
                        <w:bottom w:val="none" w:sz="0" w:space="0" w:color="auto"/>
                        <w:right w:val="none" w:sz="0" w:space="0" w:color="auto"/>
                      </w:divBdr>
                      <w:divsChild>
                        <w:div w:id="750666516">
                          <w:marLeft w:val="0"/>
                          <w:marRight w:val="0"/>
                          <w:marTop w:val="0"/>
                          <w:marBottom w:val="0"/>
                          <w:divBdr>
                            <w:top w:val="none" w:sz="0" w:space="0" w:color="auto"/>
                            <w:left w:val="none" w:sz="0" w:space="0" w:color="auto"/>
                            <w:bottom w:val="none" w:sz="0" w:space="0" w:color="auto"/>
                            <w:right w:val="none" w:sz="0" w:space="0" w:color="auto"/>
                          </w:divBdr>
                          <w:divsChild>
                            <w:div w:id="753665052">
                              <w:marLeft w:val="0"/>
                              <w:marRight w:val="0"/>
                              <w:marTop w:val="0"/>
                              <w:marBottom w:val="0"/>
                              <w:divBdr>
                                <w:top w:val="none" w:sz="0" w:space="0" w:color="auto"/>
                                <w:left w:val="none" w:sz="0" w:space="0" w:color="auto"/>
                                <w:bottom w:val="none" w:sz="0" w:space="0" w:color="auto"/>
                                <w:right w:val="none" w:sz="0" w:space="0" w:color="auto"/>
                              </w:divBdr>
                              <w:divsChild>
                                <w:div w:id="1319263596">
                                  <w:marLeft w:val="0"/>
                                  <w:marRight w:val="0"/>
                                  <w:marTop w:val="0"/>
                                  <w:marBottom w:val="0"/>
                                  <w:divBdr>
                                    <w:top w:val="none" w:sz="0" w:space="0" w:color="auto"/>
                                    <w:left w:val="none" w:sz="0" w:space="0" w:color="auto"/>
                                    <w:bottom w:val="none" w:sz="0" w:space="0" w:color="auto"/>
                                    <w:right w:val="none" w:sz="0" w:space="0" w:color="auto"/>
                                  </w:divBdr>
                                  <w:divsChild>
                                    <w:div w:id="2050301939">
                                      <w:marLeft w:val="0"/>
                                      <w:marRight w:val="0"/>
                                      <w:marTop w:val="0"/>
                                      <w:marBottom w:val="0"/>
                                      <w:divBdr>
                                        <w:top w:val="none" w:sz="0" w:space="0" w:color="auto"/>
                                        <w:left w:val="none" w:sz="0" w:space="0" w:color="auto"/>
                                        <w:bottom w:val="none" w:sz="0" w:space="0" w:color="auto"/>
                                        <w:right w:val="none" w:sz="0" w:space="0" w:color="auto"/>
                                      </w:divBdr>
                                      <w:divsChild>
                                        <w:div w:id="1744254826">
                                          <w:marLeft w:val="0"/>
                                          <w:marRight w:val="0"/>
                                          <w:marTop w:val="0"/>
                                          <w:marBottom w:val="0"/>
                                          <w:divBdr>
                                            <w:top w:val="none" w:sz="0" w:space="0" w:color="auto"/>
                                            <w:left w:val="none" w:sz="0" w:space="0" w:color="auto"/>
                                            <w:bottom w:val="none" w:sz="0" w:space="0" w:color="auto"/>
                                            <w:right w:val="none" w:sz="0" w:space="0" w:color="auto"/>
                                          </w:divBdr>
                                          <w:divsChild>
                                            <w:div w:id="966928439">
                                              <w:marLeft w:val="150"/>
                                              <w:marRight w:val="225"/>
                                              <w:marTop w:val="225"/>
                                              <w:marBottom w:val="0"/>
                                              <w:divBdr>
                                                <w:top w:val="none" w:sz="0" w:space="0" w:color="auto"/>
                                                <w:left w:val="none" w:sz="0" w:space="0" w:color="auto"/>
                                                <w:bottom w:val="none" w:sz="0" w:space="0" w:color="auto"/>
                                                <w:right w:val="none" w:sz="0" w:space="0" w:color="auto"/>
                                              </w:divBdr>
                                              <w:divsChild>
                                                <w:div w:id="848329841">
                                                  <w:marLeft w:val="0"/>
                                                  <w:marRight w:val="0"/>
                                                  <w:marTop w:val="0"/>
                                                  <w:marBottom w:val="0"/>
                                                  <w:divBdr>
                                                    <w:top w:val="none" w:sz="0" w:space="0" w:color="auto"/>
                                                    <w:left w:val="none" w:sz="0" w:space="0" w:color="auto"/>
                                                    <w:bottom w:val="none" w:sz="0" w:space="0" w:color="auto"/>
                                                    <w:right w:val="none" w:sz="0" w:space="0" w:color="auto"/>
                                                  </w:divBdr>
                                                  <w:divsChild>
                                                    <w:div w:id="144857859">
                                                      <w:marLeft w:val="0"/>
                                                      <w:marRight w:val="225"/>
                                                      <w:marTop w:val="75"/>
                                                      <w:marBottom w:val="225"/>
                                                      <w:divBdr>
                                                        <w:top w:val="none" w:sz="0" w:space="0" w:color="auto"/>
                                                        <w:left w:val="none" w:sz="0" w:space="0" w:color="auto"/>
                                                        <w:bottom w:val="none" w:sz="0" w:space="0" w:color="auto"/>
                                                        <w:right w:val="none" w:sz="0" w:space="0" w:color="auto"/>
                                                      </w:divBdr>
                                                      <w:divsChild>
                                                        <w:div w:id="1048534006">
                                                          <w:marLeft w:val="0"/>
                                                          <w:marRight w:val="300"/>
                                                          <w:marTop w:val="120"/>
                                                          <w:marBottom w:val="0"/>
                                                          <w:divBdr>
                                                            <w:top w:val="none" w:sz="0" w:space="0" w:color="auto"/>
                                                            <w:left w:val="none" w:sz="0" w:space="0" w:color="auto"/>
                                                            <w:bottom w:val="none" w:sz="0" w:space="0" w:color="auto"/>
                                                            <w:right w:val="none" w:sz="0" w:space="0" w:color="auto"/>
                                                          </w:divBdr>
                                                          <w:divsChild>
                                                            <w:div w:id="16222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7875883">
      <w:bodyDiv w:val="1"/>
      <w:marLeft w:val="0"/>
      <w:marRight w:val="0"/>
      <w:marTop w:val="0"/>
      <w:marBottom w:val="0"/>
      <w:divBdr>
        <w:top w:val="none" w:sz="0" w:space="0" w:color="auto"/>
        <w:left w:val="none" w:sz="0" w:space="0" w:color="auto"/>
        <w:bottom w:val="none" w:sz="0" w:space="0" w:color="auto"/>
        <w:right w:val="none" w:sz="0" w:space="0" w:color="auto"/>
      </w:divBdr>
    </w:div>
    <w:div w:id="1725372926">
      <w:bodyDiv w:val="1"/>
      <w:marLeft w:val="0"/>
      <w:marRight w:val="0"/>
      <w:marTop w:val="0"/>
      <w:marBottom w:val="0"/>
      <w:divBdr>
        <w:top w:val="none" w:sz="0" w:space="0" w:color="auto"/>
        <w:left w:val="none" w:sz="0" w:space="0" w:color="auto"/>
        <w:bottom w:val="none" w:sz="0" w:space="0" w:color="auto"/>
        <w:right w:val="none" w:sz="0" w:space="0" w:color="auto"/>
      </w:divBdr>
    </w:div>
    <w:div w:id="1801223801">
      <w:bodyDiv w:val="1"/>
      <w:marLeft w:val="0"/>
      <w:marRight w:val="0"/>
      <w:marTop w:val="0"/>
      <w:marBottom w:val="0"/>
      <w:divBdr>
        <w:top w:val="none" w:sz="0" w:space="0" w:color="auto"/>
        <w:left w:val="none" w:sz="0" w:space="0" w:color="auto"/>
        <w:bottom w:val="none" w:sz="0" w:space="0" w:color="auto"/>
        <w:right w:val="none" w:sz="0" w:space="0" w:color="auto"/>
      </w:divBdr>
    </w:div>
    <w:div w:id="1922831025">
      <w:bodyDiv w:val="1"/>
      <w:marLeft w:val="0"/>
      <w:marRight w:val="0"/>
      <w:marTop w:val="0"/>
      <w:marBottom w:val="0"/>
      <w:divBdr>
        <w:top w:val="none" w:sz="0" w:space="0" w:color="auto"/>
        <w:left w:val="none" w:sz="0" w:space="0" w:color="auto"/>
        <w:bottom w:val="none" w:sz="0" w:space="0" w:color="auto"/>
        <w:right w:val="none" w:sz="0" w:space="0" w:color="auto"/>
      </w:divBdr>
    </w:div>
    <w:div w:id="1923681655">
      <w:bodyDiv w:val="1"/>
      <w:marLeft w:val="0"/>
      <w:marRight w:val="0"/>
      <w:marTop w:val="0"/>
      <w:marBottom w:val="0"/>
      <w:divBdr>
        <w:top w:val="none" w:sz="0" w:space="0" w:color="auto"/>
        <w:left w:val="none" w:sz="0" w:space="0" w:color="auto"/>
        <w:bottom w:val="none" w:sz="0" w:space="0" w:color="auto"/>
        <w:right w:val="none" w:sz="0" w:space="0" w:color="auto"/>
      </w:divBdr>
      <w:divsChild>
        <w:div w:id="1127775157">
          <w:marLeft w:val="0"/>
          <w:marRight w:val="0"/>
          <w:marTop w:val="0"/>
          <w:marBottom w:val="0"/>
          <w:divBdr>
            <w:top w:val="none" w:sz="0" w:space="0" w:color="auto"/>
            <w:left w:val="none" w:sz="0" w:space="0" w:color="auto"/>
            <w:bottom w:val="none" w:sz="0" w:space="0" w:color="auto"/>
            <w:right w:val="none" w:sz="0" w:space="0" w:color="auto"/>
          </w:divBdr>
          <w:divsChild>
            <w:div w:id="1499729903">
              <w:marLeft w:val="0"/>
              <w:marRight w:val="0"/>
              <w:marTop w:val="0"/>
              <w:marBottom w:val="0"/>
              <w:divBdr>
                <w:top w:val="none" w:sz="0" w:space="0" w:color="auto"/>
                <w:left w:val="none" w:sz="0" w:space="0" w:color="auto"/>
                <w:bottom w:val="none" w:sz="0" w:space="0" w:color="auto"/>
                <w:right w:val="none" w:sz="0" w:space="0" w:color="auto"/>
              </w:divBdr>
              <w:divsChild>
                <w:div w:id="1147480459">
                  <w:marLeft w:val="0"/>
                  <w:marRight w:val="0"/>
                  <w:marTop w:val="0"/>
                  <w:marBottom w:val="0"/>
                  <w:divBdr>
                    <w:top w:val="none" w:sz="0" w:space="0" w:color="auto"/>
                    <w:left w:val="none" w:sz="0" w:space="0" w:color="auto"/>
                    <w:bottom w:val="none" w:sz="0" w:space="0" w:color="auto"/>
                    <w:right w:val="none" w:sz="0" w:space="0" w:color="auto"/>
                  </w:divBdr>
                  <w:divsChild>
                    <w:div w:id="899294643">
                      <w:marLeft w:val="0"/>
                      <w:marRight w:val="0"/>
                      <w:marTop w:val="0"/>
                      <w:marBottom w:val="0"/>
                      <w:divBdr>
                        <w:top w:val="none" w:sz="0" w:space="0" w:color="auto"/>
                        <w:left w:val="none" w:sz="0" w:space="0" w:color="auto"/>
                        <w:bottom w:val="none" w:sz="0" w:space="0" w:color="auto"/>
                        <w:right w:val="none" w:sz="0" w:space="0" w:color="auto"/>
                      </w:divBdr>
                      <w:divsChild>
                        <w:div w:id="1978339944">
                          <w:marLeft w:val="0"/>
                          <w:marRight w:val="0"/>
                          <w:marTop w:val="0"/>
                          <w:marBottom w:val="0"/>
                          <w:divBdr>
                            <w:top w:val="none" w:sz="0" w:space="0" w:color="auto"/>
                            <w:left w:val="none" w:sz="0" w:space="0" w:color="auto"/>
                            <w:bottom w:val="none" w:sz="0" w:space="0" w:color="auto"/>
                            <w:right w:val="none" w:sz="0" w:space="0" w:color="auto"/>
                          </w:divBdr>
                          <w:divsChild>
                            <w:div w:id="1457680435">
                              <w:marLeft w:val="0"/>
                              <w:marRight w:val="0"/>
                              <w:marTop w:val="0"/>
                              <w:marBottom w:val="0"/>
                              <w:divBdr>
                                <w:top w:val="none" w:sz="0" w:space="0" w:color="auto"/>
                                <w:left w:val="none" w:sz="0" w:space="0" w:color="auto"/>
                                <w:bottom w:val="none" w:sz="0" w:space="0" w:color="auto"/>
                                <w:right w:val="none" w:sz="0" w:space="0" w:color="auto"/>
                              </w:divBdr>
                              <w:divsChild>
                                <w:div w:id="909458845">
                                  <w:marLeft w:val="0"/>
                                  <w:marRight w:val="0"/>
                                  <w:marTop w:val="0"/>
                                  <w:marBottom w:val="0"/>
                                  <w:divBdr>
                                    <w:top w:val="none" w:sz="0" w:space="0" w:color="auto"/>
                                    <w:left w:val="none" w:sz="0" w:space="0" w:color="auto"/>
                                    <w:bottom w:val="none" w:sz="0" w:space="0" w:color="auto"/>
                                    <w:right w:val="none" w:sz="0" w:space="0" w:color="auto"/>
                                  </w:divBdr>
                                  <w:divsChild>
                                    <w:div w:id="2527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999373">
      <w:bodyDiv w:val="1"/>
      <w:marLeft w:val="0"/>
      <w:marRight w:val="0"/>
      <w:marTop w:val="0"/>
      <w:marBottom w:val="0"/>
      <w:divBdr>
        <w:top w:val="none" w:sz="0" w:space="0" w:color="auto"/>
        <w:left w:val="none" w:sz="0" w:space="0" w:color="auto"/>
        <w:bottom w:val="none" w:sz="0" w:space="0" w:color="auto"/>
        <w:right w:val="none" w:sz="0" w:space="0" w:color="auto"/>
      </w:divBdr>
      <w:divsChild>
        <w:div w:id="815948423">
          <w:marLeft w:val="0"/>
          <w:marRight w:val="0"/>
          <w:marTop w:val="0"/>
          <w:marBottom w:val="0"/>
          <w:divBdr>
            <w:top w:val="single" w:sz="2" w:space="0" w:color="2E2E2E"/>
            <w:left w:val="single" w:sz="2" w:space="0" w:color="2E2E2E"/>
            <w:bottom w:val="single" w:sz="2" w:space="0" w:color="2E2E2E"/>
            <w:right w:val="single" w:sz="2" w:space="0" w:color="2E2E2E"/>
          </w:divBdr>
          <w:divsChild>
            <w:div w:id="1962572830">
              <w:marLeft w:val="0"/>
              <w:marRight w:val="0"/>
              <w:marTop w:val="0"/>
              <w:marBottom w:val="0"/>
              <w:divBdr>
                <w:top w:val="single" w:sz="6" w:space="0" w:color="C9C9C9"/>
                <w:left w:val="none" w:sz="0" w:space="0" w:color="auto"/>
                <w:bottom w:val="none" w:sz="0" w:space="0" w:color="auto"/>
                <w:right w:val="none" w:sz="0" w:space="0" w:color="auto"/>
              </w:divBdr>
              <w:divsChild>
                <w:div w:id="1250626544">
                  <w:marLeft w:val="0"/>
                  <w:marRight w:val="0"/>
                  <w:marTop w:val="0"/>
                  <w:marBottom w:val="0"/>
                  <w:divBdr>
                    <w:top w:val="none" w:sz="0" w:space="0" w:color="auto"/>
                    <w:left w:val="none" w:sz="0" w:space="0" w:color="auto"/>
                    <w:bottom w:val="none" w:sz="0" w:space="0" w:color="auto"/>
                    <w:right w:val="none" w:sz="0" w:space="0" w:color="auto"/>
                  </w:divBdr>
                  <w:divsChild>
                    <w:div w:id="1381053359">
                      <w:marLeft w:val="0"/>
                      <w:marRight w:val="0"/>
                      <w:marTop w:val="0"/>
                      <w:marBottom w:val="0"/>
                      <w:divBdr>
                        <w:top w:val="none" w:sz="0" w:space="0" w:color="auto"/>
                        <w:left w:val="none" w:sz="0" w:space="0" w:color="auto"/>
                        <w:bottom w:val="none" w:sz="0" w:space="0" w:color="auto"/>
                        <w:right w:val="none" w:sz="0" w:space="0" w:color="auto"/>
                      </w:divBdr>
                      <w:divsChild>
                        <w:div w:id="1494567159">
                          <w:marLeft w:val="0"/>
                          <w:marRight w:val="0"/>
                          <w:marTop w:val="0"/>
                          <w:marBottom w:val="0"/>
                          <w:divBdr>
                            <w:top w:val="none" w:sz="0" w:space="0" w:color="auto"/>
                            <w:left w:val="none" w:sz="0" w:space="0" w:color="auto"/>
                            <w:bottom w:val="none" w:sz="0" w:space="0" w:color="auto"/>
                            <w:right w:val="none" w:sz="0" w:space="0" w:color="auto"/>
                          </w:divBdr>
                          <w:divsChild>
                            <w:div w:id="13877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8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imulus_%28psychology%2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Reward_syste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Pradeep.Chintagunta@chicagobooth.edu" TargetMode="External"/><Relationship Id="rId1" Type="http://schemas.openxmlformats.org/officeDocument/2006/relationships/hyperlink" Target="mailto:xdong1@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C14EA-05BC-438F-BD42-19B4066D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24</Pages>
  <Words>7513</Words>
  <Characters>42829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xjdong</dc:creator>
  <cp:lastModifiedBy>Xiaojing Dong</cp:lastModifiedBy>
  <cp:revision>6</cp:revision>
  <cp:lastPrinted>2015-04-22T00:03:00Z</cp:lastPrinted>
  <dcterms:created xsi:type="dcterms:W3CDTF">2015-04-21T23:01:00Z</dcterms:created>
  <dcterms:modified xsi:type="dcterms:W3CDTF">2015-04-22T00:03:00Z</dcterms:modified>
</cp:coreProperties>
</file>