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w5jt0xwa5qy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RStudio includes an R console pane for executing commands, a source editor pane for writing code, and an environment pane for managing loaded data. RStudio does not include a Command pane.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Pipe (R): a tool in R for expressing a sequence of multiple operations, represented with “%&gt;%”</w:t>
      </w:r>
    </w:p>
    <w:p w:rsidR="00000000" w:rsidDel="00000000" w:rsidP="00000000" w:rsidRDefault="00000000" w:rsidRPr="00000000" w14:paraId="00000004">
      <w:pPr>
        <w:ind w:left="720" w:firstLine="0"/>
        <w:rPr>
          <w:color w:val="1f1f1f"/>
          <w:sz w:val="24"/>
          <w:szCs w:val="24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</w:rPr>
        <w:drawing>
          <wp:inline distB="114300" distT="114300" distL="114300" distR="114300">
            <wp:extent cx="3481388" cy="19374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93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tidyr:a package used for data cleaning to make tidy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readr: used for importing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dplyr: offers a consistent set of functions that help you complete some common data manipulation tasks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</w:rPr>
        <w:drawing>
          <wp:inline distB="114300" distT="114300" distL="114300" distR="114300">
            <wp:extent cx="3357563" cy="17452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745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df5f5" w:val="clear"/>
        </w:rPr>
      </w:pPr>
      <w:r w:rsidDel="00000000" w:rsidR="00000000" w:rsidRPr="00000000">
        <w:rPr>
          <w:color w:val="1f1f1f"/>
          <w:sz w:val="24"/>
          <w:szCs w:val="24"/>
          <w:shd w:fill="f7fbf9" w:val="clear"/>
          <w:rtl w:val="0"/>
        </w:rPr>
        <w:t xml:space="preserve">Tibbles can make printing easier. They also help you avoid overloading your console when working with large datasets. Tibbles are automatically set to only return the first ten rows of a dataset and as many columns as it can fit on the screen.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f1f1f"/>
          <w:sz w:val="24"/>
          <w:szCs w:val="24"/>
          <w:u w:val="none"/>
          <w:shd w:fill="f7fbf9" w:val="clear"/>
        </w:rPr>
      </w:pPr>
      <w:r w:rsidDel="00000000" w:rsidR="00000000" w:rsidRPr="00000000">
        <w:rPr>
          <w:color w:val="1f1f1f"/>
          <w:sz w:val="24"/>
          <w:szCs w:val="24"/>
          <w:shd w:fill="fdf5f5" w:val="clear"/>
          <w:rtl w:val="0"/>
        </w:rPr>
        <w:t xml:space="preserve">A geom is the geometric object used to represent your data. In this case, the function geom_point() tells R to represent your data with points. Each geom function in ggplot2 takes a mapping argument. The mapping argument defines how variables in your dataset are mapped to visual properties, and is always paired with the aes() function. The x and y arguments of the aes() function specify which variables to map to the x-axis and the y-axis of your plot. In this case, you want to map the variable “flipper_length_mm” to the x-axis, and the variable “body_mass_g” to the y-axis.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